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xml" ContentType="application/vnd.openxmlformats-officedocument.wordprocessingml.header+xml"/>
  <Override PartName="/word/footer20.xml" ContentType="application/vnd.openxmlformats-officedocument.wordprocessingml.footer+xml"/>
  <Override PartName="/word/header2.xml" ContentType="application/vnd.openxmlformats-officedocument.wordprocessingml.header+xml"/>
  <Override PartName="/word/footer21.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10.xml" ContentType="application/vnd.openxmlformats-officedocument.wordprocessingml.header+xml"/>
  <Override PartName="/word/footer29.xml" ContentType="application/vnd.openxmlformats-officedocument.wordprocessingml.footer+xml"/>
  <Override PartName="/word/header11.xml" ContentType="application/vnd.openxmlformats-officedocument.wordprocessingml.header+xml"/>
  <Override PartName="/word/footer30.xml" ContentType="application/vnd.openxmlformats-officedocument.wordprocessingml.footer+xml"/>
  <Override PartName="/word/header12.xml" ContentType="application/vnd.openxmlformats-officedocument.wordprocessingml.header+xml"/>
  <Override PartName="/word/footer31.xml" ContentType="application/vnd.openxmlformats-officedocument.wordprocessingml.footer+xml"/>
  <Override PartName="/word/header13.xml" ContentType="application/vnd.openxmlformats-officedocument.wordprocessingml.header+xml"/>
  <Override PartName="/word/footer32.xml" ContentType="application/vnd.openxmlformats-officedocument.wordprocessingml.footer+xml"/>
  <Override PartName="/word/header14.xml" ContentType="application/vnd.openxmlformats-officedocument.wordprocessingml.header+xml"/>
  <Override PartName="/word/footer33.xml" ContentType="application/vnd.openxmlformats-officedocument.wordprocessingml.footer+xml"/>
  <Override PartName="/word/header15.xml" ContentType="application/vnd.openxmlformats-officedocument.wordprocessingml.header+xml"/>
  <Override PartName="/word/footer34.xml" ContentType="application/vnd.openxmlformats-officedocument.wordprocessingml.footer+xml"/>
  <Override PartName="/word/header16.xml" ContentType="application/vnd.openxmlformats-officedocument.wordprocessingml.header+xml"/>
  <Override PartName="/word/footer35.xml" ContentType="application/vnd.openxmlformats-officedocument.wordprocessingml.footer+xml"/>
  <Override PartName="/word/header17.xml" ContentType="application/vnd.openxmlformats-officedocument.wordprocessingml.header+xml"/>
  <Override PartName="/word/footer36.xml" ContentType="application/vnd.openxmlformats-officedocument.wordprocessingml.footer+xml"/>
  <Override PartName="/word/header18.xml" ContentType="application/vnd.openxmlformats-officedocument.wordprocessingml.header+xml"/>
  <Override PartName="/word/footer37.xml" ContentType="application/vnd.openxmlformats-officedocument.wordprocessingml.footer+xml"/>
  <Override PartName="/word/header1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65B" w:rsidRPr="00907702" w:rsidRDefault="00CD1F71" w:rsidP="00DC2656">
      <w:pPr>
        <w:framePr w:h="12418" w:hSpace="10080" w:wrap="notBeside" w:vAnchor="text" w:hAnchor="margin" w:x="1" w:y="1"/>
        <w:rPr>
          <w:rFonts w:ascii="Calibri" w:hAnsi="Calibri" w:cs="Calibri"/>
          <w:sz w:val="24"/>
          <w:szCs w:val="24"/>
        </w:rPr>
      </w:pPr>
      <w:r>
        <w:rPr>
          <w:noProof/>
          <w:lang w:val="en-US" w:bidi="ar-SA"/>
        </w:rPr>
        <w:drawing>
          <wp:anchor distT="0" distB="0" distL="6400800" distR="6400800" simplePos="0" relativeHeight="251638784" behindDoc="1" locked="0" layoutInCell="0" allowOverlap="1">
            <wp:simplePos x="0" y="0"/>
            <wp:positionH relativeFrom="margin">
              <wp:posOffset>635</wp:posOffset>
            </wp:positionH>
            <wp:positionV relativeFrom="paragraph">
              <wp:posOffset>635</wp:posOffset>
            </wp:positionV>
            <wp:extent cx="7556500" cy="10688320"/>
            <wp:effectExtent l="0" t="0" r="0" b="0"/>
            <wp:wrapNone/>
            <wp:docPr id="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0" cy="1068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65B" w:rsidRPr="00907702" w:rsidRDefault="006C7D2F" w:rsidP="00A06243">
      <w:pPr>
        <w:framePr w:w="5481" w:h="936" w:hRule="exact" w:hSpace="10080" w:wrap="notBeside" w:vAnchor="text" w:hAnchor="margin" w:x="932" w:y="14981"/>
        <w:rPr>
          <w:rFonts w:ascii="Calibri" w:hAnsi="Calibri" w:cs="Calibri"/>
        </w:rPr>
      </w:pPr>
      <w:r>
        <w:rPr>
          <w:rFonts w:ascii="Calibri" w:hAnsi="Calibri"/>
          <w:b/>
          <w:color w:val="FFFFFF"/>
          <w:sz w:val="50"/>
        </w:rPr>
        <w:t>оновлення 2021 року.</w:t>
      </w:r>
    </w:p>
    <w:p w:rsidR="00ED665B" w:rsidRPr="00A06243" w:rsidRDefault="006C7D2F" w:rsidP="00A06243">
      <w:pPr>
        <w:framePr w:w="2376" w:h="1198" w:hRule="exact" w:hSpace="10080" w:wrap="notBeside" w:vAnchor="text" w:hAnchor="margin" w:x="9279" w:y="14999"/>
        <w:rPr>
          <w:rFonts w:ascii="Calibri" w:hAnsi="Calibri" w:cs="Calibri"/>
          <w:sz w:val="16"/>
          <w:szCs w:val="18"/>
        </w:rPr>
      </w:pPr>
      <w:r w:rsidRPr="00A06243">
        <w:rPr>
          <w:rFonts w:ascii="Calibri" w:hAnsi="Calibri"/>
          <w:b/>
          <w:color w:val="FFFFFF"/>
          <w:sz w:val="24"/>
        </w:rPr>
        <w:t>Всесвітня організація охорони здоров’я</w:t>
      </w:r>
    </w:p>
    <w:p w:rsidR="00ED665B" w:rsidRPr="00907702" w:rsidRDefault="00CD1F71" w:rsidP="00DC2656">
      <w:pPr>
        <w:rPr>
          <w:rFonts w:ascii="Calibri" w:hAnsi="Calibri" w:cs="Calibri"/>
          <w:sz w:val="2"/>
          <w:szCs w:val="2"/>
        </w:rPr>
      </w:pPr>
      <w:r>
        <w:rPr>
          <w:noProof/>
          <w:lang w:val="en-US" w:bidi="ar-SA"/>
        </w:rPr>
        <mc:AlternateContent>
          <mc:Choice Requires="wps">
            <w:drawing>
              <wp:anchor distT="0" distB="0" distL="114300" distR="114300" simplePos="0" relativeHeight="251639808" behindDoc="0" locked="0" layoutInCell="1" allowOverlap="1">
                <wp:simplePos x="0" y="0"/>
                <wp:positionH relativeFrom="page">
                  <wp:posOffset>771525</wp:posOffset>
                </wp:positionH>
                <wp:positionV relativeFrom="page">
                  <wp:posOffset>2419350</wp:posOffset>
                </wp:positionV>
                <wp:extent cx="5610225" cy="6429375"/>
                <wp:effectExtent l="0" t="0" r="0" b="0"/>
                <wp:wrapNone/>
                <wp:docPr id="532" name="Надпись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225" cy="6429375"/>
                        </a:xfrm>
                        <a:prstGeom prst="rect">
                          <a:avLst/>
                        </a:prstGeom>
                        <a:noFill/>
                        <a:ln w="6350">
                          <a:noFill/>
                        </a:ln>
                      </wps:spPr>
                      <wps:txbx>
                        <w:txbxContent>
                          <w:p w:rsidR="00BE6F5B" w:rsidRPr="00DF25B6" w:rsidRDefault="00BE6F5B" w:rsidP="00DC2656">
                            <w:pPr>
                              <w:pStyle w:val="Default"/>
                              <w:rPr>
                                <w:rFonts w:ascii="Calibri" w:hAnsi="Calibri" w:cs="Calibri"/>
                                <w:color w:val="FFFFFF"/>
                                <w:sz w:val="120"/>
                                <w:szCs w:val="120"/>
                              </w:rPr>
                            </w:pPr>
                            <w:r>
                              <w:rPr>
                                <w:rFonts w:ascii="Calibri" w:hAnsi="Calibri"/>
                              </w:rPr>
                              <w:t xml:space="preserve"> </w:t>
                            </w:r>
                            <w:r>
                              <w:rPr>
                                <w:rFonts w:ascii="Calibri" w:hAnsi="Calibri"/>
                                <w:color w:val="FFFFFF"/>
                                <w:sz w:val="120"/>
                              </w:rPr>
                              <w:t xml:space="preserve">Консолідовані настанови </w:t>
                            </w:r>
                            <w:r>
                              <w:rPr>
                                <w:rFonts w:ascii="Calibri" w:hAnsi="Calibri"/>
                                <w:color w:val="EB2428"/>
                                <w:sz w:val="120"/>
                              </w:rPr>
                              <w:t xml:space="preserve">ВООЗ </w:t>
                            </w:r>
                            <w:r>
                              <w:rPr>
                                <w:rFonts w:ascii="Calibri" w:hAnsi="Calibri"/>
                                <w:color w:val="FFFFFF"/>
                                <w:sz w:val="120"/>
                              </w:rPr>
                              <w:t xml:space="preserve">з туберкульозу </w:t>
                            </w:r>
                          </w:p>
                          <w:p w:rsidR="00BE6F5B" w:rsidRPr="00907702" w:rsidRDefault="00BE6F5B" w:rsidP="00907702">
                            <w:pPr>
                              <w:pStyle w:val="Default"/>
                              <w:spacing w:before="480"/>
                              <w:rPr>
                                <w:rFonts w:ascii="Calibri" w:hAnsi="Calibri" w:cs="Calibri"/>
                                <w:color w:val="FFFFFF"/>
                                <w:sz w:val="80"/>
                                <w:szCs w:val="80"/>
                              </w:rPr>
                            </w:pPr>
                            <w:r>
                              <w:rPr>
                                <w:rFonts w:ascii="Calibri" w:hAnsi="Calibri"/>
                                <w:color w:val="FFFFFF"/>
                                <w:sz w:val="80"/>
                              </w:rPr>
                              <w:t>Модуль 3: Діагноз</w:t>
                            </w:r>
                          </w:p>
                          <w:p w:rsidR="00BE6F5B" w:rsidRPr="00907702" w:rsidRDefault="00BE6F5B" w:rsidP="00907702">
                            <w:pPr>
                              <w:pStyle w:val="Default"/>
                              <w:spacing w:before="240"/>
                              <w:rPr>
                                <w:rFonts w:ascii="Calibri" w:hAnsi="Calibri" w:cs="Calibri"/>
                                <w:sz w:val="60"/>
                                <w:szCs w:val="60"/>
                              </w:rPr>
                            </w:pPr>
                            <w:r>
                              <w:rPr>
                                <w:rFonts w:ascii="Calibri" w:hAnsi="Calibri"/>
                                <w:b/>
                                <w:color w:val="FFFFFF"/>
                                <w:sz w:val="60"/>
                              </w:rPr>
                              <w:t>Швидка діагностика для виявлення туберкульозу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32" o:spid="_x0000_s1026" type="#_x0000_t202" style="position:absolute;margin-left:60.75pt;margin-top:190.5pt;width:441.75pt;height:506.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" filled="f" stroked="f" strokeweight=".5pt">
                <v:path arrowok="t"/>
                <v:textbox inset="0,0,0,0">
                  <w:txbxContent>
                    <w:p w:rsidR="00BE6F5B" w:rsidRPr="00DF25B6" w:rsidRDefault="00BE6F5B" w:rsidP="00DC2656">
                      <w:pPr>
                        <w:pStyle w:val="Default"/>
                        <w:rPr>
                          <w:rFonts w:ascii="Calibri" w:hAnsi="Calibri" w:cs="Calibri"/>
                          <w:color w:val="FFFFFF"/>
                          <w:sz w:val="120"/>
                          <w:szCs w:val="120"/>
                        </w:rPr>
                      </w:pPr>
                      <w:r>
                        <w:rPr>
                          <w:rFonts w:ascii="Calibri" w:hAnsi="Calibri"/>
                        </w:rPr>
                        <w:t xml:space="preserve"> </w:t>
                      </w:r>
                      <w:r>
                        <w:rPr>
                          <w:rFonts w:ascii="Calibri" w:hAnsi="Calibri"/>
                          <w:color w:val="FFFFFF"/>
                          <w:sz w:val="120"/>
                        </w:rPr>
                        <w:t xml:space="preserve">Консолідовані настанови </w:t>
                      </w:r>
                      <w:r>
                        <w:rPr>
                          <w:rFonts w:ascii="Calibri" w:hAnsi="Calibri"/>
                          <w:color w:val="EB2428"/>
                          <w:sz w:val="120"/>
                        </w:rPr>
                        <w:t xml:space="preserve">ВООЗ </w:t>
                      </w:r>
                      <w:r>
                        <w:rPr>
                          <w:rFonts w:ascii="Calibri" w:hAnsi="Calibri"/>
                          <w:color w:val="FFFFFF"/>
                          <w:sz w:val="120"/>
                        </w:rPr>
                        <w:t xml:space="preserve">з туберкульозу </w:t>
                      </w:r>
                    </w:p>
                    <w:p w:rsidR="00BE6F5B" w:rsidRPr="00907702" w:rsidRDefault="00BE6F5B" w:rsidP="00907702">
                      <w:pPr>
                        <w:pStyle w:val="Default"/>
                        <w:spacing w:before="480"/>
                        <w:rPr>
                          <w:rFonts w:ascii="Calibri" w:hAnsi="Calibri" w:cs="Calibri"/>
                          <w:color w:val="FFFFFF"/>
                          <w:sz w:val="80"/>
                          <w:szCs w:val="80"/>
                        </w:rPr>
                      </w:pPr>
                      <w:r>
                        <w:rPr>
                          <w:rFonts w:ascii="Calibri" w:hAnsi="Calibri"/>
                          <w:color w:val="FFFFFF"/>
                          <w:sz w:val="80"/>
                        </w:rPr>
                        <w:t>Модуль 3: Діагноз</w:t>
                      </w:r>
                    </w:p>
                    <w:p w:rsidR="00BE6F5B" w:rsidRPr="00907702" w:rsidRDefault="00BE6F5B" w:rsidP="00907702">
                      <w:pPr>
                        <w:pStyle w:val="Default"/>
                        <w:spacing w:before="240"/>
                        <w:rPr>
                          <w:rFonts w:ascii="Calibri" w:hAnsi="Calibri" w:cs="Calibri"/>
                          <w:sz w:val="60"/>
                          <w:szCs w:val="60"/>
                        </w:rPr>
                      </w:pPr>
                      <w:r>
                        <w:rPr>
                          <w:rFonts w:ascii="Calibri" w:hAnsi="Calibri"/>
                          <w:b/>
                          <w:color w:val="FFFFFF"/>
                          <w:sz w:val="60"/>
                        </w:rPr>
                        <w:t>Швидка діагностика для виявлення туберкульозу</w:t>
                      </w:r>
                    </w:p>
                  </w:txbxContent>
                </v:textbox>
                <w10:wrap anchorx="page" anchory="page"/>
              </v:shape>
            </w:pict>
          </mc:Fallback>
        </mc:AlternateContent>
      </w:r>
    </w:p>
    <w:p w:rsidR="00ED665B" w:rsidRPr="00907702" w:rsidRDefault="00ED665B" w:rsidP="00DC2656">
      <w:pPr>
        <w:framePr w:w="1772" w:h="662" w:hRule="exact" w:hSpace="10080" w:wrap="notBeside" w:vAnchor="text" w:hAnchor="margin" w:x="9279" w:y="14987"/>
        <w:rPr>
          <w:rFonts w:ascii="Calibri" w:hAnsi="Calibri" w:cs="Calibri"/>
        </w:rPr>
        <w:sectPr w:rsidR="00ED665B" w:rsidRPr="00907702">
          <w:type w:val="continuous"/>
          <w:pgSz w:w="11904" w:h="16838"/>
          <w:pgMar w:top="0" w:right="0" w:bottom="0" w:left="0" w:header="720" w:footer="720" w:gutter="0"/>
          <w:cols w:space="720"/>
          <w:noEndnote/>
        </w:sectPr>
      </w:pPr>
    </w:p>
    <w:p w:rsidR="00ED665B" w:rsidRPr="00907702" w:rsidRDefault="00ED665B" w:rsidP="00DC2656">
      <w:pPr>
        <w:rPr>
          <w:rFonts w:ascii="Calibri" w:hAnsi="Calibri" w:cs="Calibri"/>
        </w:rPr>
      </w:pPr>
    </w:p>
    <w:p w:rsidR="00ED665B" w:rsidRPr="00907702" w:rsidRDefault="00ED665B" w:rsidP="00DC2656">
      <w:pPr>
        <w:rPr>
          <w:rFonts w:ascii="Calibri" w:hAnsi="Calibri" w:cs="Calibri"/>
        </w:rPr>
        <w:sectPr w:rsidR="00ED665B" w:rsidRPr="00907702">
          <w:pgSz w:w="11904" w:h="16838"/>
          <w:pgMar w:top="1363" w:right="1392" w:bottom="14866" w:left="1219" w:header="720" w:footer="720" w:gutter="0"/>
          <w:cols w:space="60"/>
          <w:noEndnote/>
        </w:sectPr>
      </w:pPr>
    </w:p>
    <w:p w:rsidR="00ED665B" w:rsidRPr="00907702" w:rsidRDefault="006C7D2F" w:rsidP="00DC2656">
      <w:pPr>
        <w:ind w:left="96"/>
        <w:rPr>
          <w:rFonts w:ascii="Calibri" w:hAnsi="Calibri" w:cs="Calibri"/>
        </w:rPr>
      </w:pPr>
      <w:r>
        <w:rPr>
          <w:rFonts w:ascii="Calibri" w:hAnsi="Calibri"/>
          <w:color w:val="000000"/>
          <w:sz w:val="122"/>
        </w:rPr>
        <w:lastRenderedPageBreak/>
        <w:t>Консолідовані</w:t>
      </w:r>
    </w:p>
    <w:p w:rsidR="00ED665B" w:rsidRPr="00907702" w:rsidRDefault="006C7D2F" w:rsidP="00DC2656">
      <w:pPr>
        <w:ind w:left="96" w:right="2266"/>
        <w:rPr>
          <w:rFonts w:ascii="Calibri" w:hAnsi="Calibri" w:cs="Calibri"/>
        </w:rPr>
      </w:pPr>
      <w:r>
        <w:rPr>
          <w:rFonts w:ascii="Calibri" w:hAnsi="Calibri"/>
          <w:color w:val="EB262A"/>
          <w:sz w:val="122"/>
        </w:rPr>
        <w:t xml:space="preserve">настанови </w:t>
      </w:r>
      <w:r>
        <w:rPr>
          <w:rFonts w:ascii="Calibri" w:hAnsi="Calibri"/>
          <w:color w:val="000000"/>
          <w:sz w:val="122"/>
        </w:rPr>
        <w:t>ВООЗ із туберкульозу:</w:t>
      </w:r>
    </w:p>
    <w:p w:rsidR="00ED665B" w:rsidRPr="00907702" w:rsidRDefault="006C7D2F" w:rsidP="00DC2656">
      <w:pPr>
        <w:spacing w:before="1022"/>
        <w:ind w:left="96"/>
        <w:rPr>
          <w:rFonts w:ascii="Calibri" w:hAnsi="Calibri" w:cs="Calibri"/>
        </w:rPr>
      </w:pPr>
      <w:r>
        <w:rPr>
          <w:rFonts w:ascii="Calibri" w:hAnsi="Calibri"/>
          <w:color w:val="000000"/>
          <w:sz w:val="58"/>
        </w:rPr>
        <w:t>Модуль 3: Діагноз</w:t>
      </w:r>
    </w:p>
    <w:p w:rsidR="00ED665B" w:rsidRPr="00907702" w:rsidRDefault="006C7D2F" w:rsidP="00DC2656">
      <w:pPr>
        <w:spacing w:before="331"/>
        <w:ind w:left="96" w:right="2266"/>
        <w:rPr>
          <w:rFonts w:ascii="Calibri" w:hAnsi="Calibri" w:cs="Calibri"/>
        </w:rPr>
      </w:pPr>
      <w:r>
        <w:rPr>
          <w:rFonts w:ascii="Calibri" w:hAnsi="Calibri"/>
          <w:b/>
          <w:color w:val="005221"/>
          <w:sz w:val="62"/>
        </w:rPr>
        <w:t>Швидка діагностика для виявлення туберкульозу</w:t>
      </w:r>
    </w:p>
    <w:p w:rsidR="00ED665B" w:rsidRPr="00907702" w:rsidRDefault="00ED665B" w:rsidP="00DC2656">
      <w:pPr>
        <w:spacing w:after="1440"/>
        <w:rPr>
          <w:rFonts w:ascii="Calibri" w:hAnsi="Calibri" w:cs="Calibri"/>
          <w:sz w:val="2"/>
          <w:szCs w:val="2"/>
        </w:rPr>
      </w:pPr>
    </w:p>
    <w:tbl>
      <w:tblPr>
        <w:tblW w:w="10592" w:type="dxa"/>
        <w:tblInd w:w="40" w:type="dxa"/>
        <w:tblLayout w:type="fixed"/>
        <w:tblCellMar>
          <w:left w:w="40" w:type="dxa"/>
          <w:right w:w="40" w:type="dxa"/>
        </w:tblCellMar>
        <w:tblLook w:val="0000" w:firstRow="0" w:lastRow="0" w:firstColumn="0" w:lastColumn="0" w:noHBand="0" w:noVBand="0"/>
      </w:tblPr>
      <w:tblGrid>
        <w:gridCol w:w="7118"/>
        <w:gridCol w:w="1291"/>
        <w:gridCol w:w="2183"/>
      </w:tblGrid>
      <w:tr w:rsidR="00ED665B" w:rsidRPr="00907702" w:rsidTr="00A06243">
        <w:trPr>
          <w:trHeight w:hRule="exact" w:val="1330"/>
        </w:trPr>
        <w:tc>
          <w:tcPr>
            <w:tcW w:w="7118" w:type="dxa"/>
            <w:tcBorders>
              <w:top w:val="nil"/>
              <w:left w:val="nil"/>
              <w:bottom w:val="nil"/>
              <w:right w:val="nil"/>
            </w:tcBorders>
            <w:shd w:val="clear" w:color="auto" w:fill="FFFFFF"/>
          </w:tcPr>
          <w:p w:rsidR="00ED665B" w:rsidRPr="00907702" w:rsidRDefault="006C7D2F" w:rsidP="00DC2656">
            <w:pPr>
              <w:ind w:left="14"/>
              <w:rPr>
                <w:rFonts w:ascii="Calibri" w:hAnsi="Calibri" w:cs="Calibri"/>
              </w:rPr>
            </w:pPr>
            <w:r>
              <w:rPr>
                <w:rFonts w:ascii="Calibri" w:hAnsi="Calibri"/>
                <w:color w:val="000000"/>
                <w:sz w:val="50"/>
              </w:rPr>
              <w:t>оновлення 2021 року.</w:t>
            </w:r>
          </w:p>
        </w:tc>
        <w:tc>
          <w:tcPr>
            <w:tcW w:w="1291"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19150" cy="6121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612140"/>
                          </a:xfrm>
                          <a:prstGeom prst="rect">
                            <a:avLst/>
                          </a:prstGeom>
                          <a:noFill/>
                          <a:ln>
                            <a:noFill/>
                          </a:ln>
                        </pic:spPr>
                      </pic:pic>
                    </a:graphicData>
                  </a:graphic>
                </wp:inline>
              </w:drawing>
            </w:r>
          </w:p>
        </w:tc>
        <w:tc>
          <w:tcPr>
            <w:tcW w:w="2183" w:type="dxa"/>
            <w:tcBorders>
              <w:top w:val="nil"/>
              <w:left w:val="nil"/>
              <w:bottom w:val="nil"/>
              <w:right w:val="nil"/>
            </w:tcBorders>
            <w:shd w:val="clear" w:color="auto" w:fill="FFFFFF"/>
          </w:tcPr>
          <w:p w:rsidR="00ED665B" w:rsidRPr="00A06243" w:rsidRDefault="006C7D2F" w:rsidP="00DC2656">
            <w:pPr>
              <w:ind w:right="10"/>
              <w:rPr>
                <w:rFonts w:ascii="Calibri" w:hAnsi="Calibri" w:cs="Calibri"/>
                <w:sz w:val="24"/>
              </w:rPr>
            </w:pPr>
            <w:r w:rsidRPr="00A06243">
              <w:rPr>
                <w:rFonts w:ascii="Calibri" w:hAnsi="Calibri"/>
                <w:b/>
                <w:color w:val="0586C0"/>
                <w:sz w:val="24"/>
              </w:rPr>
              <w:t>Всесвітня організація охорони здоров’я</w:t>
            </w:r>
          </w:p>
        </w:tc>
      </w:tr>
    </w:tbl>
    <w:p w:rsidR="00ED665B" w:rsidRPr="00907702" w:rsidRDefault="00ED665B" w:rsidP="00DC2656">
      <w:pPr>
        <w:rPr>
          <w:rFonts w:ascii="Calibri" w:hAnsi="Calibri" w:cs="Calibri"/>
        </w:rPr>
        <w:sectPr w:rsidR="00ED665B" w:rsidRPr="00907702">
          <w:pgSz w:w="11904" w:h="16838"/>
          <w:pgMar w:top="3302" w:right="763" w:bottom="1051" w:left="792" w:header="720" w:footer="720" w:gutter="0"/>
          <w:cols w:space="60"/>
          <w:noEndnote/>
        </w:sectPr>
      </w:pPr>
    </w:p>
    <w:p w:rsidR="00ED665B" w:rsidRPr="00907702" w:rsidRDefault="006C7D2F" w:rsidP="00A06243">
      <w:pPr>
        <w:jc w:val="both"/>
        <w:rPr>
          <w:rFonts w:ascii="Calibri" w:hAnsi="Calibri" w:cs="Calibri"/>
        </w:rPr>
      </w:pPr>
      <w:r>
        <w:rPr>
          <w:rFonts w:ascii="Calibri" w:hAnsi="Calibri"/>
          <w:color w:val="000000"/>
          <w:sz w:val="16"/>
        </w:rPr>
        <w:lastRenderedPageBreak/>
        <w:t>Консолідовані настанови ВООЗ із туберкульозу. Модуль 3: встановлення діагнозу – швидка діагностика для діагностики туберкульозу, оновлення 2021 року.</w:t>
      </w:r>
    </w:p>
    <w:p w:rsidR="00907702" w:rsidRPr="00907702" w:rsidRDefault="006C7D2F" w:rsidP="00DC2656">
      <w:pPr>
        <w:spacing w:before="96"/>
        <w:ind w:right="5875"/>
        <w:rPr>
          <w:rFonts w:ascii="Calibri" w:hAnsi="Calibri" w:cs="Calibri"/>
          <w:color w:val="000000"/>
          <w:sz w:val="16"/>
          <w:szCs w:val="16"/>
        </w:rPr>
      </w:pPr>
      <w:r>
        <w:rPr>
          <w:rFonts w:ascii="Calibri" w:hAnsi="Calibri"/>
          <w:color w:val="000000"/>
          <w:sz w:val="16"/>
        </w:rPr>
        <w:t xml:space="preserve">ISBN 978–92–4-002941-5 (електронна версія) </w:t>
      </w:r>
    </w:p>
    <w:p w:rsidR="00ED665B" w:rsidRPr="00907702" w:rsidRDefault="006C7D2F" w:rsidP="00DC2656">
      <w:pPr>
        <w:spacing w:before="96"/>
        <w:ind w:right="5875"/>
        <w:rPr>
          <w:rFonts w:ascii="Calibri" w:hAnsi="Calibri" w:cs="Calibri"/>
        </w:rPr>
      </w:pPr>
      <w:r>
        <w:rPr>
          <w:rFonts w:ascii="Calibri" w:hAnsi="Calibri"/>
          <w:color w:val="000000"/>
          <w:sz w:val="16"/>
        </w:rPr>
        <w:t>ISBN 978–92–4-002942-2 (друкована версія)</w:t>
      </w:r>
    </w:p>
    <w:p w:rsidR="00ED665B" w:rsidRPr="00A06243" w:rsidRDefault="006C7D2F" w:rsidP="00DC2656">
      <w:pPr>
        <w:spacing w:before="269"/>
        <w:rPr>
          <w:rFonts w:ascii="Calibri" w:hAnsi="Calibri" w:cs="Calibri"/>
          <w:b/>
          <w:bCs/>
        </w:rPr>
      </w:pPr>
      <w:r>
        <w:rPr>
          <w:rFonts w:ascii="Calibri" w:hAnsi="Calibri"/>
          <w:b/>
          <w:color w:val="000000"/>
          <w:sz w:val="16"/>
        </w:rPr>
        <w:t xml:space="preserve">© </w:t>
      </w:r>
      <w:r w:rsidRPr="00A06243">
        <w:rPr>
          <w:rFonts w:ascii="Calibri" w:hAnsi="Calibri"/>
          <w:b/>
          <w:sz w:val="16"/>
        </w:rPr>
        <w:t>Всесвітня організація охорони здоров’я, 2021 рік</w:t>
      </w:r>
    </w:p>
    <w:p w:rsidR="00ED665B" w:rsidRPr="00A06243" w:rsidRDefault="006C7D2F" w:rsidP="00DC2656">
      <w:pPr>
        <w:spacing w:before="173"/>
        <w:jc w:val="both"/>
        <w:rPr>
          <w:rFonts w:ascii="Calibri" w:hAnsi="Calibri" w:cs="Calibri"/>
        </w:rPr>
      </w:pPr>
      <w:r w:rsidRPr="00A06243">
        <w:rPr>
          <w:rFonts w:ascii="Calibri" w:hAnsi="Calibri"/>
          <w:sz w:val="16"/>
        </w:rPr>
        <w:t>Деякі права захищені. Ці настанови доступні на умовах Ліцензії Creative Commons Із зазначенням авторства — Розповсюдження на тих самих умовах 3.0 IGO (CC BY-NC-SA 3.0 IGO; https://creativecommons.org/licenses/by-nc-sa/3.0/igo).</w:t>
      </w:r>
    </w:p>
    <w:p w:rsidR="00ED665B" w:rsidRPr="00A06243" w:rsidRDefault="006C7D2F" w:rsidP="00DC2656">
      <w:pPr>
        <w:spacing w:before="168"/>
        <w:ind w:right="5"/>
        <w:jc w:val="both"/>
        <w:rPr>
          <w:rFonts w:ascii="Calibri" w:hAnsi="Calibri" w:cs="Calibri"/>
        </w:rPr>
      </w:pPr>
      <w:r w:rsidRPr="00A06243">
        <w:rPr>
          <w:rFonts w:ascii="Calibri" w:hAnsi="Calibri"/>
          <w:sz w:val="16"/>
        </w:rPr>
        <w:t>Згідно з умовами цієї ліцензії копіювання, поширення та адаптація роботи для некомерційних цілей дозволяється за умови відповідного цитування цих настанов, як зазначено нижче. Використання цих настанов не означає, що ВООЗ схвалює будь-яку конкретну організацію, продукцію чи послуги. Використання логотипу ВООЗ заборонене. У разі адаптації настанов необхідно ліцензувати свою роботу відповідно до умов тієї ж або аналогічної ліцензії Creative Commons. У разі перекладу цих настанов слід додати наступну відмову від відповідальності разом із запропонованим цитуванням: «Всесвітня організація охорони здоров’я (ВООЗ) не є автором цього перекладу. ВООЗ не несе відповідальності за зміст або точність цього перекладу. Оригінальне видання англійською мовою є обов’язковим і автентичним виданням».</w:t>
      </w:r>
    </w:p>
    <w:p w:rsidR="00ED665B" w:rsidRPr="00A06243" w:rsidRDefault="006C7D2F" w:rsidP="00DC2656">
      <w:pPr>
        <w:spacing w:before="168"/>
        <w:ind w:right="5"/>
        <w:jc w:val="both"/>
        <w:rPr>
          <w:rFonts w:ascii="Calibri" w:hAnsi="Calibri" w:cs="Calibri"/>
        </w:rPr>
      </w:pPr>
      <w:r w:rsidRPr="00A06243">
        <w:rPr>
          <w:rFonts w:ascii="Calibri" w:hAnsi="Calibri"/>
          <w:sz w:val="16"/>
        </w:rPr>
        <w:t>Будь-яке посередництво, що стосується суперечок, які виникають за ліцензією, здійснюється відповідно до правил посередництва Всесвітньої організації інтелектуальної власності (http://www.wipo.int/amc/en/mediation/rules/).</w:t>
      </w:r>
    </w:p>
    <w:p w:rsidR="00ED665B" w:rsidRPr="00A06243" w:rsidRDefault="006C7D2F" w:rsidP="00DC2656">
      <w:pPr>
        <w:spacing w:before="173"/>
        <w:ind w:right="5"/>
        <w:jc w:val="both"/>
        <w:rPr>
          <w:rFonts w:ascii="Calibri" w:hAnsi="Calibri" w:cs="Calibri"/>
        </w:rPr>
      </w:pPr>
      <w:r w:rsidRPr="00A06243">
        <w:rPr>
          <w:rFonts w:ascii="Calibri" w:hAnsi="Calibri"/>
          <w:b/>
          <w:sz w:val="16"/>
        </w:rPr>
        <w:t>Пропоноване цитування.</w:t>
      </w:r>
      <w:r w:rsidRPr="00A06243">
        <w:rPr>
          <w:rFonts w:ascii="Calibri" w:hAnsi="Calibri"/>
          <w:sz w:val="16"/>
        </w:rPr>
        <w:t xml:space="preserve"> Консолідовані настанови ВООЗ із туберкульозу. Модуль 3: встановлення діагнозу – швидка діагностика для діагностики туберкульозу, оновлення 2021 року. Geneva: World Health Organization; 2021. Ліцензія: CC BY-NC-SA 3.0 IGO.</w:t>
      </w:r>
    </w:p>
    <w:p w:rsidR="00ED665B" w:rsidRPr="00A06243" w:rsidRDefault="006C7D2F" w:rsidP="00DC2656">
      <w:pPr>
        <w:spacing w:before="173"/>
        <w:rPr>
          <w:rFonts w:ascii="Calibri" w:hAnsi="Calibri" w:cs="Calibri"/>
        </w:rPr>
      </w:pPr>
      <w:r w:rsidRPr="00A06243">
        <w:rPr>
          <w:rFonts w:ascii="Calibri" w:hAnsi="Calibri"/>
          <w:b/>
          <w:sz w:val="16"/>
        </w:rPr>
        <w:t>Дані каталогізації документів перед їхньою публікацією.</w:t>
      </w:r>
      <w:r w:rsidRPr="00A06243">
        <w:rPr>
          <w:rFonts w:ascii="Calibri" w:hAnsi="Calibri"/>
          <w:sz w:val="16"/>
        </w:rPr>
        <w:t xml:space="preserve"> БЗ доступний на вебсайті http://apps.who.int/iris.</w:t>
      </w:r>
    </w:p>
    <w:p w:rsidR="00ED665B" w:rsidRPr="00A06243" w:rsidRDefault="006C7D2F" w:rsidP="00DC2656">
      <w:pPr>
        <w:spacing w:before="173"/>
        <w:ind w:right="14"/>
        <w:jc w:val="both"/>
        <w:rPr>
          <w:rFonts w:ascii="Calibri" w:hAnsi="Calibri" w:cs="Calibri"/>
        </w:rPr>
      </w:pPr>
      <w:r w:rsidRPr="00A06243">
        <w:rPr>
          <w:rFonts w:ascii="Calibri" w:hAnsi="Calibri"/>
          <w:b/>
          <w:sz w:val="16"/>
        </w:rPr>
        <w:t>Продажі, права та ліцензування.</w:t>
      </w:r>
      <w:r w:rsidRPr="00A06243">
        <w:rPr>
          <w:rFonts w:ascii="Calibri" w:hAnsi="Calibri"/>
          <w:sz w:val="16"/>
        </w:rPr>
        <w:t xml:space="preserve"> Щоб придбати публікації ВООЗ, перейдіть за посиланнямhttp://apps.who.int/bookorders. Інформацію щодо подання запитів стосовно комерційного використання та запитів стосовно прав та ліцензування, див. http://www.who.int/about/licensing.</w:t>
      </w:r>
    </w:p>
    <w:p w:rsidR="00ED665B" w:rsidRPr="00A06243" w:rsidRDefault="006C7D2F" w:rsidP="00DC2656">
      <w:pPr>
        <w:spacing w:before="168"/>
        <w:ind w:right="5"/>
        <w:jc w:val="both"/>
        <w:rPr>
          <w:rFonts w:ascii="Calibri" w:hAnsi="Calibri" w:cs="Calibri"/>
        </w:rPr>
      </w:pPr>
      <w:r w:rsidRPr="00A06243">
        <w:rPr>
          <w:rFonts w:ascii="Calibri" w:hAnsi="Calibri"/>
          <w:b/>
          <w:sz w:val="16"/>
        </w:rPr>
        <w:t>Сторонні матеріали.</w:t>
      </w:r>
      <w:r w:rsidRPr="00A06243">
        <w:rPr>
          <w:rFonts w:ascii="Calibri" w:hAnsi="Calibri"/>
          <w:sz w:val="16"/>
        </w:rPr>
        <w:t xml:space="preserve"> Якщо ви хочете повторно використовувати матеріали з цих настанов, які належать третім сторонам, наприклад, таблиці, рисунки чи зображення, ви несете відповідальність за визначення необхідності отримання дозволу для цього повторного використання та отримання дозволу від власника авторських прав. Ризик претензій внаслідок порушення будь-якого зі сторонніх компонентів у роботі покладається виключно на користувача.</w:t>
      </w:r>
    </w:p>
    <w:p w:rsidR="00ED665B" w:rsidRPr="00907702" w:rsidRDefault="006C7D2F" w:rsidP="00DC2656">
      <w:pPr>
        <w:spacing w:before="173"/>
        <w:ind w:right="5"/>
        <w:jc w:val="both"/>
        <w:rPr>
          <w:rFonts w:ascii="Calibri" w:hAnsi="Calibri" w:cs="Calibri"/>
        </w:rPr>
      </w:pPr>
      <w:r w:rsidRPr="00A06243">
        <w:rPr>
          <w:rFonts w:ascii="Calibri" w:hAnsi="Calibri"/>
          <w:b/>
          <w:sz w:val="16"/>
        </w:rPr>
        <w:t>Загальні відмови від відповідальності.</w:t>
      </w:r>
      <w:r w:rsidRPr="00A06243">
        <w:rPr>
          <w:rFonts w:ascii="Calibri" w:hAnsi="Calibri"/>
          <w:sz w:val="16"/>
        </w:rPr>
        <w:t xml:space="preserve"> Використані позначення та подання матеріалів у цій публікації не означають висловлення будь-якої думки з боку ВООЗ щодо правового статусу будь-якої країни, території, міста </w:t>
      </w:r>
      <w:r>
        <w:rPr>
          <w:rFonts w:ascii="Calibri" w:hAnsi="Calibri"/>
          <w:color w:val="000000"/>
          <w:sz w:val="16"/>
        </w:rPr>
        <w:t>чи району чи їхніх органів влади, або щодо розмежування їхніх меж або кордонів. Пунктирні лінії на картах – це приблизні межі, які, можливо, ще не є повністю погодженими.</w:t>
      </w:r>
    </w:p>
    <w:p w:rsidR="00ED665B" w:rsidRPr="00907702" w:rsidRDefault="006C7D2F" w:rsidP="00DC2656">
      <w:pPr>
        <w:spacing w:before="168"/>
        <w:ind w:right="10"/>
        <w:jc w:val="both"/>
        <w:rPr>
          <w:rFonts w:ascii="Calibri" w:hAnsi="Calibri" w:cs="Calibri"/>
        </w:rPr>
      </w:pPr>
      <w:r>
        <w:rPr>
          <w:rFonts w:ascii="Calibri" w:hAnsi="Calibri"/>
          <w:color w:val="000000"/>
          <w:sz w:val="16"/>
        </w:rPr>
        <w:t>Згадка про конкретні компанії чи продукцію певних виробників не означає, що ВООЗ затвердила або рекомендує їх, надаючи перевагу іншим виробникам аналогічної продукції, не згаданим у цих настановах. За винятком помилок та упущень, назви фірмових продуктів вирізняються першими великими літерами.</w:t>
      </w:r>
    </w:p>
    <w:p w:rsidR="00ED665B" w:rsidRPr="00907702" w:rsidRDefault="006C7D2F" w:rsidP="00DC2656">
      <w:pPr>
        <w:spacing w:before="173"/>
        <w:ind w:right="5"/>
        <w:jc w:val="both"/>
        <w:rPr>
          <w:rFonts w:ascii="Calibri" w:hAnsi="Calibri" w:cs="Calibri"/>
        </w:rPr>
      </w:pPr>
      <w:r>
        <w:rPr>
          <w:rFonts w:ascii="Calibri" w:hAnsi="Calibri"/>
          <w:color w:val="000000"/>
          <w:sz w:val="16"/>
        </w:rPr>
        <w:t>ВООЗ вжила всіх розумних запобіжних заходів для перевірки інформації, що міститься у цій публікації. Однак опублікований матеріал поширюється без жодних явних чи неявних гарантій. Відповідальність за інтерпретацію і використання матеріалу покладається на читача. ВООЗ у жодному разі не несе відповідальності за збитки, що виникли внаслідок використання цього матеріалу.</w:t>
      </w:r>
    </w:p>
    <w:p w:rsidR="00ED665B" w:rsidRPr="00907702" w:rsidRDefault="00ED665B" w:rsidP="00DC2656">
      <w:pPr>
        <w:spacing w:before="173"/>
        <w:ind w:right="5"/>
        <w:jc w:val="both"/>
        <w:rPr>
          <w:rFonts w:ascii="Calibri" w:hAnsi="Calibri" w:cs="Calibri"/>
        </w:rPr>
        <w:sectPr w:rsidR="00ED665B" w:rsidRPr="00907702" w:rsidSect="00907702">
          <w:pgSz w:w="11904" w:h="16838"/>
          <w:pgMar w:top="6237" w:right="1411" w:bottom="1358" w:left="1416" w:header="720" w:footer="720" w:gutter="0"/>
          <w:cols w:space="60"/>
          <w:noEndnote/>
        </w:sectPr>
      </w:pPr>
    </w:p>
    <w:p w:rsidR="00ED665B" w:rsidRPr="00907702" w:rsidRDefault="006C7D2F" w:rsidP="00DC2656">
      <w:pPr>
        <w:ind w:left="24"/>
        <w:rPr>
          <w:rFonts w:ascii="Calibri" w:hAnsi="Calibri" w:cs="Calibri"/>
          <w:color w:val="009649"/>
        </w:rPr>
      </w:pPr>
      <w:r>
        <w:rPr>
          <w:rFonts w:ascii="Calibri" w:hAnsi="Calibri"/>
          <w:color w:val="009649"/>
          <w:sz w:val="62"/>
        </w:rPr>
        <w:lastRenderedPageBreak/>
        <w:t>Зміст</w:t>
      </w:r>
    </w:p>
    <w:p w:rsidR="00ED665B" w:rsidRPr="007E777D" w:rsidRDefault="006C7D2F" w:rsidP="00907702">
      <w:pPr>
        <w:tabs>
          <w:tab w:val="right" w:leader="dot" w:pos="8931"/>
        </w:tabs>
        <w:spacing w:before="480"/>
        <w:ind w:left="567" w:hanging="567"/>
        <w:rPr>
          <w:rFonts w:ascii="Calibri" w:hAnsi="Calibri" w:cs="Calibri"/>
          <w:b/>
          <w:bCs/>
          <w:color w:val="009649"/>
          <w:sz w:val="24"/>
          <w:szCs w:val="24"/>
        </w:rPr>
      </w:pPr>
      <w:r>
        <w:rPr>
          <w:rFonts w:ascii="Calibri" w:hAnsi="Calibri"/>
          <w:b/>
          <w:color w:val="009649"/>
          <w:sz w:val="24"/>
        </w:rPr>
        <w:t>Подяка</w:t>
      </w:r>
      <w:r>
        <w:rPr>
          <w:rFonts w:ascii="Calibri" w:hAnsi="Calibri"/>
          <w:b/>
          <w:color w:val="009649"/>
          <w:sz w:val="24"/>
        </w:rPr>
        <w:tab/>
        <w:t>vii</w:t>
      </w:r>
    </w:p>
    <w:p w:rsidR="00ED665B" w:rsidRPr="007E777D" w:rsidRDefault="006C7D2F" w:rsidP="00907702">
      <w:pPr>
        <w:tabs>
          <w:tab w:val="right" w:leader="dot" w:pos="8931"/>
        </w:tabs>
        <w:spacing w:before="120"/>
        <w:ind w:left="567" w:hanging="567"/>
        <w:rPr>
          <w:rFonts w:ascii="Calibri" w:hAnsi="Calibri" w:cs="Calibri"/>
          <w:b/>
          <w:bCs/>
          <w:color w:val="009649"/>
          <w:sz w:val="24"/>
          <w:szCs w:val="24"/>
        </w:rPr>
      </w:pPr>
      <w:r>
        <w:rPr>
          <w:rFonts w:ascii="Calibri" w:hAnsi="Calibri"/>
          <w:b/>
          <w:color w:val="009649"/>
          <w:sz w:val="24"/>
        </w:rPr>
        <w:t>Скорочення та абревіатури</w:t>
      </w:r>
      <w:r>
        <w:rPr>
          <w:rFonts w:ascii="Calibri" w:hAnsi="Calibri"/>
          <w:b/>
          <w:color w:val="009649"/>
          <w:sz w:val="24"/>
        </w:rPr>
        <w:tab/>
        <w:t>xvі</w:t>
      </w:r>
    </w:p>
    <w:p w:rsidR="00ED665B" w:rsidRPr="007E777D" w:rsidRDefault="006C7D2F" w:rsidP="00907702">
      <w:pPr>
        <w:tabs>
          <w:tab w:val="right" w:leader="dot" w:pos="8931"/>
        </w:tabs>
        <w:spacing w:before="120"/>
        <w:ind w:left="567" w:hanging="567"/>
        <w:rPr>
          <w:rFonts w:ascii="Calibri" w:hAnsi="Calibri" w:cs="Calibri"/>
          <w:b/>
          <w:bCs/>
          <w:color w:val="009649"/>
          <w:sz w:val="24"/>
          <w:szCs w:val="24"/>
        </w:rPr>
      </w:pPr>
      <w:r>
        <w:rPr>
          <w:rFonts w:ascii="Calibri" w:hAnsi="Calibri"/>
          <w:b/>
          <w:color w:val="009649"/>
          <w:sz w:val="24"/>
        </w:rPr>
        <w:t>Визначення</w:t>
      </w:r>
      <w:r>
        <w:rPr>
          <w:rFonts w:ascii="Calibri" w:hAnsi="Calibri"/>
          <w:b/>
          <w:color w:val="009649"/>
          <w:sz w:val="24"/>
        </w:rPr>
        <w:tab/>
        <w:t>хviii</w:t>
      </w:r>
    </w:p>
    <w:p w:rsidR="00ED665B" w:rsidRPr="007E777D" w:rsidRDefault="006C7D2F" w:rsidP="00907702">
      <w:pPr>
        <w:tabs>
          <w:tab w:val="right" w:leader="dot" w:pos="8931"/>
        </w:tabs>
        <w:spacing w:before="120"/>
        <w:ind w:left="567" w:hanging="567"/>
        <w:rPr>
          <w:rFonts w:ascii="Calibri" w:hAnsi="Calibri" w:cs="Calibri"/>
          <w:b/>
          <w:bCs/>
          <w:color w:val="009649"/>
          <w:sz w:val="24"/>
          <w:szCs w:val="24"/>
        </w:rPr>
      </w:pPr>
      <w:r>
        <w:rPr>
          <w:rFonts w:ascii="Calibri" w:hAnsi="Calibri"/>
          <w:b/>
          <w:color w:val="009649"/>
          <w:sz w:val="24"/>
        </w:rPr>
        <w:t>Короткий огляд змісту</w:t>
      </w:r>
      <w:r>
        <w:rPr>
          <w:rFonts w:ascii="Calibri" w:hAnsi="Calibri"/>
          <w:b/>
          <w:color w:val="009649"/>
          <w:sz w:val="24"/>
        </w:rPr>
        <w:tab/>
        <w:t>xiх</w:t>
      </w:r>
    </w:p>
    <w:p w:rsidR="00ED665B" w:rsidRPr="007E777D" w:rsidRDefault="006C7D2F" w:rsidP="00907702">
      <w:pPr>
        <w:tabs>
          <w:tab w:val="right" w:leader="dot" w:pos="8931"/>
        </w:tabs>
        <w:spacing w:before="120"/>
        <w:ind w:left="567" w:hanging="567"/>
        <w:rPr>
          <w:rFonts w:ascii="Calibri" w:hAnsi="Calibri" w:cs="Calibri"/>
          <w:b/>
          <w:bCs/>
          <w:color w:val="009649"/>
          <w:sz w:val="24"/>
          <w:szCs w:val="24"/>
        </w:rPr>
      </w:pPr>
      <w:r>
        <w:rPr>
          <w:rFonts w:ascii="Calibri" w:hAnsi="Calibri"/>
          <w:b/>
          <w:color w:val="009649"/>
          <w:sz w:val="24"/>
        </w:rPr>
        <w:t>1.</w:t>
      </w:r>
      <w:r>
        <w:rPr>
          <w:rFonts w:ascii="Calibri" w:hAnsi="Calibri"/>
          <w:b/>
          <w:color w:val="009649"/>
          <w:sz w:val="24"/>
        </w:rPr>
        <w:tab/>
        <w:t>Вступ</w:t>
      </w:r>
      <w:r>
        <w:rPr>
          <w:rFonts w:ascii="Calibri" w:hAnsi="Calibri"/>
          <w:b/>
          <w:color w:val="009649"/>
          <w:sz w:val="24"/>
        </w:rPr>
        <w:tab/>
        <w:t xml:space="preserve"> 1</w:t>
      </w:r>
    </w:p>
    <w:p w:rsidR="00ED665B" w:rsidRPr="007E777D" w:rsidRDefault="006C7D2F" w:rsidP="00907702">
      <w:pPr>
        <w:numPr>
          <w:ilvl w:val="0"/>
          <w:numId w:val="1"/>
        </w:numPr>
        <w:tabs>
          <w:tab w:val="right" w:leader="dot" w:pos="8931"/>
        </w:tabs>
        <w:spacing w:before="120"/>
        <w:ind w:left="993" w:hanging="426"/>
        <w:rPr>
          <w:rFonts w:ascii="Calibri" w:hAnsi="Calibri" w:cs="Calibri"/>
          <w:color w:val="000000"/>
          <w:sz w:val="22"/>
          <w:szCs w:val="22"/>
        </w:rPr>
      </w:pPr>
      <w:r>
        <w:rPr>
          <w:rFonts w:ascii="Calibri" w:hAnsi="Calibri"/>
          <w:color w:val="000000"/>
          <w:sz w:val="22"/>
        </w:rPr>
        <w:t>Загальна інформація.</w:t>
      </w:r>
      <w:r>
        <w:rPr>
          <w:rFonts w:ascii="Calibri" w:hAnsi="Calibri"/>
          <w:color w:val="000000"/>
          <w:sz w:val="22"/>
        </w:rPr>
        <w:tab/>
        <w:t>1</w:t>
      </w:r>
    </w:p>
    <w:p w:rsidR="00ED665B" w:rsidRPr="007E777D" w:rsidRDefault="006C7D2F" w:rsidP="00907702">
      <w:pPr>
        <w:numPr>
          <w:ilvl w:val="0"/>
          <w:numId w:val="1"/>
        </w:numPr>
        <w:tabs>
          <w:tab w:val="right" w:leader="dot" w:pos="8931"/>
        </w:tabs>
        <w:spacing w:before="60"/>
        <w:ind w:left="993" w:hanging="426"/>
        <w:rPr>
          <w:rFonts w:ascii="Calibri" w:hAnsi="Calibri" w:cs="Calibri"/>
          <w:color w:val="000000"/>
          <w:sz w:val="22"/>
          <w:szCs w:val="22"/>
        </w:rPr>
      </w:pPr>
      <w:r>
        <w:rPr>
          <w:rFonts w:ascii="Calibri" w:hAnsi="Calibri"/>
          <w:color w:val="000000"/>
          <w:sz w:val="22"/>
        </w:rPr>
        <w:t>Сфера застосування документа</w:t>
      </w:r>
      <w:r>
        <w:rPr>
          <w:rFonts w:ascii="Calibri" w:hAnsi="Calibri"/>
          <w:color w:val="000000"/>
          <w:sz w:val="22"/>
        </w:rPr>
        <w:tab/>
        <w:t>4</w:t>
      </w:r>
    </w:p>
    <w:p w:rsidR="00ED665B" w:rsidRPr="007E777D" w:rsidRDefault="006C7D2F" w:rsidP="00907702">
      <w:pPr>
        <w:numPr>
          <w:ilvl w:val="0"/>
          <w:numId w:val="1"/>
        </w:numPr>
        <w:tabs>
          <w:tab w:val="right" w:leader="dot" w:pos="8931"/>
        </w:tabs>
        <w:spacing w:before="60"/>
        <w:ind w:left="993" w:hanging="426"/>
        <w:rPr>
          <w:rFonts w:ascii="Calibri" w:hAnsi="Calibri" w:cs="Calibri"/>
          <w:color w:val="000000"/>
          <w:sz w:val="22"/>
          <w:szCs w:val="22"/>
        </w:rPr>
      </w:pPr>
      <w:r>
        <w:rPr>
          <w:rFonts w:ascii="Calibri" w:hAnsi="Calibri"/>
          <w:color w:val="000000"/>
          <w:sz w:val="22"/>
        </w:rPr>
        <w:t xml:space="preserve">Цільова аудиторія </w:t>
      </w:r>
      <w:r>
        <w:rPr>
          <w:rFonts w:ascii="Calibri" w:hAnsi="Calibri"/>
          <w:color w:val="000000"/>
          <w:sz w:val="22"/>
        </w:rPr>
        <w:tab/>
        <w:t>4</w:t>
      </w:r>
    </w:p>
    <w:p w:rsidR="00ED665B" w:rsidRPr="007E777D" w:rsidRDefault="006C7D2F" w:rsidP="00907702">
      <w:pPr>
        <w:tabs>
          <w:tab w:val="right" w:leader="dot" w:pos="8931"/>
        </w:tabs>
        <w:spacing w:before="120"/>
        <w:ind w:left="567" w:hanging="567"/>
        <w:rPr>
          <w:rFonts w:ascii="Calibri" w:hAnsi="Calibri" w:cs="Calibri"/>
          <w:b/>
          <w:bCs/>
          <w:color w:val="009649"/>
          <w:sz w:val="24"/>
          <w:szCs w:val="24"/>
        </w:rPr>
      </w:pPr>
      <w:r>
        <w:rPr>
          <w:rFonts w:ascii="Calibri" w:hAnsi="Calibri"/>
          <w:b/>
          <w:color w:val="009649"/>
          <w:sz w:val="24"/>
        </w:rPr>
        <w:t>2.</w:t>
      </w:r>
      <w:r>
        <w:rPr>
          <w:rFonts w:ascii="Calibri" w:hAnsi="Calibri"/>
          <w:b/>
          <w:color w:val="009649"/>
          <w:sz w:val="24"/>
        </w:rPr>
        <w:tab/>
        <w:t>Рекомендації</w:t>
      </w:r>
      <w:r>
        <w:rPr>
          <w:rFonts w:ascii="Calibri" w:hAnsi="Calibri"/>
          <w:b/>
          <w:color w:val="009649"/>
          <w:sz w:val="24"/>
        </w:rPr>
        <w:tab/>
        <w:t>5</w:t>
      </w:r>
    </w:p>
    <w:p w:rsidR="00ED665B" w:rsidRPr="007E777D" w:rsidRDefault="006C7D2F" w:rsidP="00907702">
      <w:pPr>
        <w:tabs>
          <w:tab w:val="right" w:leader="dot" w:pos="8931"/>
        </w:tabs>
        <w:spacing w:before="120"/>
        <w:ind w:left="993" w:hanging="426"/>
        <w:rPr>
          <w:rFonts w:ascii="Calibri" w:hAnsi="Calibri" w:cs="Calibri"/>
          <w:sz w:val="22"/>
          <w:szCs w:val="22"/>
        </w:rPr>
      </w:pPr>
      <w:r>
        <w:rPr>
          <w:rFonts w:ascii="Calibri" w:hAnsi="Calibri"/>
          <w:color w:val="000000"/>
          <w:sz w:val="22"/>
        </w:rPr>
        <w:t>2.1.</w:t>
      </w:r>
      <w:r>
        <w:rPr>
          <w:rFonts w:ascii="Calibri" w:hAnsi="Calibri"/>
          <w:color w:val="000000"/>
          <w:sz w:val="22"/>
        </w:rPr>
        <w:tab/>
        <w:t>Початкові діагностичні тести для діагностики туберкульозу з виявленням резистентності до препаратів.</w:t>
      </w:r>
      <w:r>
        <w:rPr>
          <w:rFonts w:ascii="Calibri" w:hAnsi="Calibri"/>
          <w:color w:val="000000"/>
          <w:sz w:val="22"/>
        </w:rPr>
        <w:tab/>
        <w:t>5</w:t>
      </w:r>
    </w:p>
    <w:p w:rsidR="00ED665B" w:rsidRPr="007E777D" w:rsidRDefault="006C7D2F" w:rsidP="00907702">
      <w:pPr>
        <w:tabs>
          <w:tab w:val="right" w:leader="dot" w:pos="8931"/>
        </w:tabs>
        <w:spacing w:before="60"/>
        <w:ind w:left="993"/>
        <w:rPr>
          <w:rFonts w:ascii="Calibri" w:hAnsi="Calibri" w:cs="Calibri"/>
          <w:sz w:val="22"/>
          <w:szCs w:val="22"/>
        </w:rPr>
      </w:pPr>
      <w:r>
        <w:rPr>
          <w:rFonts w:ascii="Calibri" w:hAnsi="Calibri"/>
          <w:color w:val="000000"/>
          <w:sz w:val="22"/>
        </w:rPr>
        <w:t>Тести Xpert MTB/RIF і Xpert MTB/RIF Ultra</w:t>
      </w:r>
      <w:r>
        <w:rPr>
          <w:rFonts w:ascii="Calibri" w:hAnsi="Calibri"/>
          <w:color w:val="000000"/>
          <w:sz w:val="22"/>
        </w:rPr>
        <w:tab/>
        <w:t>5</w:t>
      </w:r>
    </w:p>
    <w:p w:rsidR="00ED665B" w:rsidRPr="007E777D" w:rsidRDefault="006C7D2F" w:rsidP="00907702">
      <w:pPr>
        <w:tabs>
          <w:tab w:val="right" w:leader="dot" w:pos="8931"/>
        </w:tabs>
        <w:spacing w:before="60"/>
        <w:ind w:left="993"/>
        <w:rPr>
          <w:rFonts w:ascii="Calibri" w:hAnsi="Calibri" w:cs="Calibri"/>
          <w:sz w:val="22"/>
          <w:szCs w:val="22"/>
        </w:rPr>
      </w:pPr>
      <w:r>
        <w:rPr>
          <w:rFonts w:ascii="Calibri" w:hAnsi="Calibri"/>
          <w:color w:val="000000"/>
          <w:sz w:val="22"/>
        </w:rPr>
        <w:t>Тести Truenat MTB, MTB Plus та MTB-RIF Dx</w:t>
      </w:r>
      <w:r>
        <w:rPr>
          <w:rFonts w:ascii="Calibri" w:hAnsi="Calibri"/>
          <w:color w:val="000000"/>
          <w:sz w:val="22"/>
        </w:rPr>
        <w:tab/>
        <w:t>43</w:t>
      </w:r>
    </w:p>
    <w:p w:rsidR="00ED665B" w:rsidRPr="007E777D" w:rsidRDefault="006C7D2F" w:rsidP="00907702">
      <w:pPr>
        <w:tabs>
          <w:tab w:val="right" w:leader="dot" w:pos="8931"/>
        </w:tabs>
        <w:spacing w:before="60"/>
        <w:ind w:left="993"/>
        <w:rPr>
          <w:rFonts w:ascii="Calibri" w:hAnsi="Calibri" w:cs="Calibri"/>
          <w:sz w:val="22"/>
          <w:szCs w:val="22"/>
        </w:rPr>
      </w:pPr>
      <w:r>
        <w:rPr>
          <w:rFonts w:ascii="Calibri" w:hAnsi="Calibri"/>
          <w:color w:val="000000"/>
          <w:sz w:val="22"/>
        </w:rPr>
        <w:t>Автоматизовані ТАНК помірної складності для виявлення туберкульозу та резистентності до рифампіцину та ізоніазиду</w:t>
      </w:r>
      <w:r w:rsidRPr="00A06243">
        <w:rPr>
          <w:rFonts w:ascii="Calibri" w:hAnsi="Calibri"/>
          <w:b/>
          <w:color w:val="000000"/>
          <w:sz w:val="22"/>
        </w:rPr>
        <w:t xml:space="preserve"> </w:t>
      </w:r>
      <w:r w:rsidR="00A06243" w:rsidRPr="00A06243">
        <w:rPr>
          <w:rFonts w:ascii="Calibri" w:hAnsi="Calibri"/>
          <w:b/>
          <w:color w:val="000000"/>
          <w:sz w:val="22"/>
          <w:shd w:val="clear" w:color="auto" w:fill="009649"/>
        </w:rPr>
        <w:t xml:space="preserve"> </w:t>
      </w:r>
      <w:r w:rsidRPr="00A06243">
        <w:rPr>
          <w:rFonts w:ascii="Calibri" w:hAnsi="Calibri"/>
          <w:b/>
          <w:color w:val="FFFFFF"/>
          <w:sz w:val="22"/>
          <w:shd w:val="clear" w:color="auto" w:fill="009649"/>
        </w:rPr>
        <w:t>НОВИЙ</w:t>
      </w:r>
      <w:r>
        <w:rPr>
          <w:rFonts w:ascii="Calibri" w:hAnsi="Calibri"/>
          <w:color w:val="2E9C75"/>
          <w:sz w:val="22"/>
          <w:shd w:val="clear" w:color="auto" w:fill="009649"/>
        </w:rPr>
        <w:t>-</w:t>
      </w:r>
      <w:r>
        <w:rPr>
          <w:rFonts w:ascii="Calibri" w:hAnsi="Calibri"/>
          <w:color w:val="000000"/>
          <w:sz w:val="22"/>
        </w:rPr>
        <w:tab/>
        <w:t>50</w:t>
      </w:r>
    </w:p>
    <w:p w:rsidR="00ED665B" w:rsidRPr="007E777D" w:rsidRDefault="006C7D2F" w:rsidP="00907702">
      <w:pPr>
        <w:tabs>
          <w:tab w:val="right" w:leader="dot" w:pos="8931"/>
        </w:tabs>
        <w:spacing w:before="120"/>
        <w:ind w:left="993" w:hanging="426"/>
        <w:rPr>
          <w:rFonts w:ascii="Calibri" w:hAnsi="Calibri" w:cs="Calibri"/>
          <w:sz w:val="22"/>
          <w:szCs w:val="22"/>
        </w:rPr>
      </w:pPr>
      <w:r>
        <w:rPr>
          <w:rFonts w:ascii="Calibri" w:hAnsi="Calibri"/>
          <w:color w:val="000000"/>
          <w:sz w:val="22"/>
        </w:rPr>
        <w:t>2.2.</w:t>
      </w:r>
      <w:r>
        <w:rPr>
          <w:rFonts w:ascii="Calibri" w:hAnsi="Calibri"/>
          <w:color w:val="000000"/>
          <w:sz w:val="22"/>
        </w:rPr>
        <w:tab/>
        <w:t>Початкові діагностичні тести для діагностики туберкульозу без виявлення резистентності до препаратів</w:t>
      </w:r>
      <w:r>
        <w:rPr>
          <w:rFonts w:ascii="Calibri" w:hAnsi="Calibri"/>
          <w:color w:val="000000"/>
          <w:sz w:val="22"/>
        </w:rPr>
        <w:tab/>
        <w:t>67</w:t>
      </w:r>
    </w:p>
    <w:p w:rsidR="00ED665B" w:rsidRPr="007E777D" w:rsidRDefault="006C7D2F" w:rsidP="00907702">
      <w:pPr>
        <w:tabs>
          <w:tab w:val="right" w:leader="dot" w:pos="8931"/>
        </w:tabs>
        <w:spacing w:before="60"/>
        <w:ind w:left="993"/>
        <w:rPr>
          <w:rFonts w:ascii="Calibri" w:hAnsi="Calibri" w:cs="Calibri"/>
          <w:sz w:val="22"/>
          <w:szCs w:val="22"/>
        </w:rPr>
      </w:pPr>
      <w:r>
        <w:rPr>
          <w:rFonts w:ascii="Calibri" w:hAnsi="Calibri"/>
          <w:color w:val="000000"/>
          <w:sz w:val="22"/>
        </w:rPr>
        <w:t>Петльова ізотермічна ампліфікація</w:t>
      </w:r>
      <w:r>
        <w:rPr>
          <w:rFonts w:ascii="Calibri" w:hAnsi="Calibri"/>
          <w:color w:val="000000"/>
          <w:sz w:val="22"/>
        </w:rPr>
        <w:tab/>
        <w:t>67</w:t>
      </w:r>
    </w:p>
    <w:p w:rsidR="00ED665B" w:rsidRPr="007E777D" w:rsidRDefault="006C7D2F" w:rsidP="00907702">
      <w:pPr>
        <w:tabs>
          <w:tab w:val="right" w:leader="dot" w:pos="8931"/>
        </w:tabs>
        <w:spacing w:before="60"/>
        <w:ind w:left="993"/>
        <w:rPr>
          <w:rFonts w:ascii="Calibri" w:hAnsi="Calibri" w:cs="Calibri"/>
          <w:sz w:val="22"/>
          <w:szCs w:val="22"/>
        </w:rPr>
      </w:pPr>
      <w:r>
        <w:rPr>
          <w:rFonts w:ascii="Calibri" w:hAnsi="Calibri"/>
          <w:color w:val="000000"/>
          <w:sz w:val="22"/>
        </w:rPr>
        <w:t>Ліпоарабіноманнановий тест бокового зсуву</w:t>
      </w:r>
      <w:r>
        <w:rPr>
          <w:rFonts w:ascii="Calibri" w:hAnsi="Calibri"/>
          <w:color w:val="000000"/>
          <w:sz w:val="22"/>
        </w:rPr>
        <w:tab/>
        <w:t>74</w:t>
      </w:r>
    </w:p>
    <w:p w:rsidR="00ED665B" w:rsidRPr="007E777D" w:rsidRDefault="006C7D2F" w:rsidP="00907702">
      <w:pPr>
        <w:tabs>
          <w:tab w:val="right" w:leader="dot" w:pos="8931"/>
        </w:tabs>
        <w:spacing w:before="120"/>
        <w:ind w:left="993" w:hanging="426"/>
        <w:rPr>
          <w:rFonts w:ascii="Calibri" w:hAnsi="Calibri" w:cs="Calibri"/>
          <w:sz w:val="22"/>
          <w:szCs w:val="22"/>
        </w:rPr>
      </w:pPr>
      <w:r>
        <w:rPr>
          <w:rFonts w:ascii="Calibri" w:hAnsi="Calibri"/>
          <w:color w:val="000000"/>
          <w:sz w:val="22"/>
        </w:rPr>
        <w:t>2.3.</w:t>
      </w:r>
      <w:r>
        <w:rPr>
          <w:rFonts w:ascii="Calibri" w:hAnsi="Calibri"/>
          <w:color w:val="000000"/>
          <w:sz w:val="22"/>
        </w:rPr>
        <w:tab/>
        <w:t>Подальші діагностичні тести для виявлення додаткової медикаментозної резистентності</w:t>
      </w:r>
      <w:r>
        <w:rPr>
          <w:rFonts w:ascii="Calibri" w:hAnsi="Calibri"/>
          <w:color w:val="000000"/>
          <w:sz w:val="22"/>
        </w:rPr>
        <w:tab/>
        <w:t>87</w:t>
      </w:r>
    </w:p>
    <w:p w:rsidR="00ED665B" w:rsidRPr="007E777D" w:rsidRDefault="006C7D2F" w:rsidP="00907702">
      <w:pPr>
        <w:tabs>
          <w:tab w:val="right" w:leader="dot" w:pos="8931"/>
        </w:tabs>
        <w:spacing w:before="60"/>
        <w:ind w:left="993"/>
        <w:rPr>
          <w:rFonts w:ascii="Calibri" w:hAnsi="Calibri" w:cs="Calibri"/>
          <w:sz w:val="22"/>
          <w:szCs w:val="22"/>
        </w:rPr>
      </w:pPr>
      <w:r>
        <w:rPr>
          <w:rFonts w:ascii="Calibri" w:hAnsi="Calibri"/>
          <w:color w:val="000000"/>
          <w:sz w:val="22"/>
        </w:rPr>
        <w:t xml:space="preserve">Автоматизовані ТАНК низької складності для виявлення резистентності до ізоніазидів та протитуберкульозних препаратів другого ряду </w:t>
      </w:r>
      <w:r w:rsidR="00A06243" w:rsidRPr="00A06243">
        <w:rPr>
          <w:rFonts w:ascii="Calibri" w:hAnsi="Calibri"/>
          <w:color w:val="000000"/>
          <w:sz w:val="22"/>
          <w:shd w:val="clear" w:color="auto" w:fill="009649"/>
        </w:rPr>
        <w:t xml:space="preserve"> </w:t>
      </w:r>
      <w:r w:rsidRPr="00A06243">
        <w:rPr>
          <w:rFonts w:ascii="Calibri" w:hAnsi="Calibri"/>
          <w:b/>
          <w:color w:val="FFFFFF"/>
          <w:sz w:val="22"/>
          <w:shd w:val="clear" w:color="auto" w:fill="009649"/>
        </w:rPr>
        <w:t>НОВИЙ</w:t>
      </w:r>
      <w:r w:rsidR="00A06243">
        <w:rPr>
          <w:rFonts w:ascii="Calibri" w:hAnsi="Calibri"/>
          <w:b/>
          <w:color w:val="FFFFFF"/>
          <w:sz w:val="22"/>
          <w:shd w:val="clear" w:color="auto" w:fill="009649"/>
        </w:rPr>
        <w:t xml:space="preserve"> </w:t>
      </w:r>
      <w:r>
        <w:rPr>
          <w:rFonts w:ascii="Calibri" w:hAnsi="Calibri"/>
          <w:color w:val="000000"/>
          <w:sz w:val="22"/>
        </w:rPr>
        <w:tab/>
        <w:t>87</w:t>
      </w:r>
    </w:p>
    <w:p w:rsidR="00ED665B" w:rsidRPr="007E777D" w:rsidRDefault="006C7D2F" w:rsidP="00907702">
      <w:pPr>
        <w:tabs>
          <w:tab w:val="right" w:leader="dot" w:pos="8931"/>
        </w:tabs>
        <w:spacing w:before="60"/>
        <w:ind w:left="993"/>
        <w:rPr>
          <w:rFonts w:ascii="Calibri" w:hAnsi="Calibri" w:cs="Calibri"/>
          <w:sz w:val="22"/>
          <w:szCs w:val="22"/>
        </w:rPr>
      </w:pPr>
      <w:r>
        <w:rPr>
          <w:rFonts w:ascii="Calibri" w:hAnsi="Calibri"/>
          <w:color w:val="000000"/>
          <w:sz w:val="22"/>
        </w:rPr>
        <w:t>LPA до препаратів першого ряду</w:t>
      </w:r>
      <w:r>
        <w:rPr>
          <w:rFonts w:ascii="Calibri" w:hAnsi="Calibri"/>
          <w:color w:val="000000"/>
          <w:sz w:val="22"/>
        </w:rPr>
        <w:tab/>
        <w:t>101</w:t>
      </w:r>
    </w:p>
    <w:p w:rsidR="00ED665B" w:rsidRPr="007E777D" w:rsidRDefault="006C7D2F" w:rsidP="00907702">
      <w:pPr>
        <w:tabs>
          <w:tab w:val="right" w:leader="dot" w:pos="8931"/>
        </w:tabs>
        <w:spacing w:before="60"/>
        <w:ind w:left="993"/>
        <w:rPr>
          <w:rFonts w:ascii="Calibri" w:hAnsi="Calibri" w:cs="Calibri"/>
          <w:sz w:val="22"/>
          <w:szCs w:val="22"/>
        </w:rPr>
      </w:pPr>
      <w:r>
        <w:rPr>
          <w:rFonts w:ascii="Calibri" w:hAnsi="Calibri"/>
          <w:color w:val="000000"/>
          <w:sz w:val="22"/>
        </w:rPr>
        <w:t>LPA до препаратів другого ряду</w:t>
      </w:r>
      <w:r>
        <w:rPr>
          <w:rFonts w:ascii="Calibri" w:hAnsi="Calibri"/>
          <w:color w:val="000000"/>
          <w:sz w:val="22"/>
        </w:rPr>
        <w:tab/>
        <w:t>108</w:t>
      </w:r>
    </w:p>
    <w:p w:rsidR="00ED665B" w:rsidRPr="007E777D" w:rsidRDefault="006C7D2F" w:rsidP="00907702">
      <w:pPr>
        <w:tabs>
          <w:tab w:val="right" w:leader="dot" w:pos="8931"/>
        </w:tabs>
        <w:spacing w:before="60"/>
        <w:ind w:left="993"/>
        <w:rPr>
          <w:rFonts w:ascii="Calibri" w:hAnsi="Calibri" w:cs="Calibri"/>
          <w:sz w:val="22"/>
          <w:szCs w:val="22"/>
        </w:rPr>
      </w:pPr>
      <w:r>
        <w:rPr>
          <w:rFonts w:ascii="Calibri" w:hAnsi="Calibri"/>
          <w:color w:val="000000"/>
          <w:sz w:val="22"/>
        </w:rPr>
        <w:t>ТАНК високої складності на основі зворотної гібридизації для виявлення</w:t>
      </w:r>
    </w:p>
    <w:p w:rsidR="00ED665B" w:rsidRPr="00907702" w:rsidRDefault="006C7D2F" w:rsidP="00907702">
      <w:pPr>
        <w:tabs>
          <w:tab w:val="right" w:leader="dot" w:pos="8931"/>
        </w:tabs>
        <w:spacing w:before="60"/>
        <w:ind w:left="993"/>
        <w:rPr>
          <w:rFonts w:ascii="Calibri" w:hAnsi="Calibri" w:cs="Calibri"/>
        </w:rPr>
      </w:pPr>
      <w:r>
        <w:rPr>
          <w:rFonts w:ascii="Calibri" w:hAnsi="Calibri"/>
          <w:color w:val="000000"/>
        </w:rPr>
        <w:t>резистентності до піразинаміду</w:t>
      </w:r>
      <w:r w:rsidR="00A06243">
        <w:rPr>
          <w:rFonts w:ascii="Calibri" w:hAnsi="Calibri"/>
          <w:color w:val="000000"/>
        </w:rPr>
        <w:t xml:space="preserve"> </w:t>
      </w:r>
      <w:r w:rsidR="00A06243" w:rsidRPr="00A06243">
        <w:rPr>
          <w:rFonts w:ascii="Calibri" w:hAnsi="Calibri"/>
          <w:color w:val="000000"/>
          <w:sz w:val="22"/>
          <w:shd w:val="clear" w:color="auto" w:fill="009649"/>
        </w:rPr>
        <w:t xml:space="preserve"> </w:t>
      </w:r>
      <w:r w:rsidRPr="00A06243">
        <w:rPr>
          <w:rFonts w:ascii="Calibri" w:hAnsi="Calibri"/>
          <w:b/>
          <w:color w:val="FFFFFF"/>
          <w:sz w:val="22"/>
          <w:shd w:val="clear" w:color="auto" w:fill="009649"/>
        </w:rPr>
        <w:t>НОВИЙ</w:t>
      </w:r>
      <w:r w:rsidR="00A06243" w:rsidRPr="00A06243">
        <w:rPr>
          <w:rFonts w:ascii="Calibri" w:hAnsi="Calibri"/>
          <w:color w:val="FFFFFF"/>
          <w:sz w:val="22"/>
          <w:shd w:val="clear" w:color="auto" w:fill="009649"/>
        </w:rPr>
        <w:t xml:space="preserve"> </w:t>
      </w:r>
      <w:r>
        <w:rPr>
          <w:rFonts w:ascii="Calibri" w:hAnsi="Calibri"/>
          <w:b/>
          <w:color w:val="000000"/>
        </w:rPr>
        <w:tab/>
      </w:r>
      <w:r>
        <w:rPr>
          <w:rFonts w:ascii="Calibri" w:hAnsi="Calibri"/>
          <w:color w:val="000000"/>
        </w:rPr>
        <w:t>115</w:t>
      </w:r>
    </w:p>
    <w:p w:rsidR="00ED665B" w:rsidRPr="007E777D" w:rsidRDefault="00CD1F71" w:rsidP="00907702">
      <w:pPr>
        <w:tabs>
          <w:tab w:val="right" w:leader="dot" w:pos="8931"/>
        </w:tabs>
        <w:spacing w:before="120"/>
        <w:ind w:left="567" w:hanging="567"/>
        <w:rPr>
          <w:rFonts w:ascii="Calibri" w:hAnsi="Calibri" w:cs="Calibri"/>
          <w:b/>
          <w:bCs/>
          <w:color w:val="009649"/>
          <w:sz w:val="24"/>
          <w:szCs w:val="24"/>
        </w:rPr>
      </w:pPr>
      <w:r>
        <w:rPr>
          <w:noProof/>
          <w:sz w:val="24"/>
          <w:lang w:val="en-US" w:bidi="ar-SA"/>
        </w:rPr>
        <w:drawing>
          <wp:anchor distT="0" distB="0" distL="6400800" distR="6400800" simplePos="0" relativeHeight="251640832" behindDoc="0" locked="0" layoutInCell="0" allowOverlap="1">
            <wp:simplePos x="0" y="0"/>
            <wp:positionH relativeFrom="page">
              <wp:posOffset>10795</wp:posOffset>
            </wp:positionH>
            <wp:positionV relativeFrom="page">
              <wp:posOffset>8295640</wp:posOffset>
            </wp:positionV>
            <wp:extent cx="7556500" cy="2380615"/>
            <wp:effectExtent l="0" t="0" r="0" b="0"/>
            <wp:wrapNone/>
            <wp:docPr id="241"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6500"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color w:val="009649"/>
          <w:sz w:val="24"/>
        </w:rPr>
        <w:t>Список літератури</w:t>
      </w:r>
      <w:r>
        <w:rPr>
          <w:rFonts w:ascii="Calibri" w:hAnsi="Calibri"/>
          <w:b/>
          <w:color w:val="009649"/>
          <w:sz w:val="24"/>
        </w:rPr>
        <w:tab/>
        <w:t>125</w:t>
      </w:r>
    </w:p>
    <w:p w:rsidR="00ED665B" w:rsidRPr="007E777D" w:rsidRDefault="00ED665B" w:rsidP="00DC2656">
      <w:pPr>
        <w:tabs>
          <w:tab w:val="left" w:leader="dot" w:pos="8640"/>
        </w:tabs>
        <w:spacing w:before="192"/>
        <w:ind w:left="14"/>
        <w:rPr>
          <w:rFonts w:ascii="Calibri" w:hAnsi="Calibri" w:cs="Calibri"/>
          <w:b/>
          <w:bCs/>
          <w:color w:val="009649"/>
          <w:sz w:val="24"/>
          <w:szCs w:val="24"/>
        </w:rPr>
        <w:sectPr w:rsidR="00ED665B" w:rsidRPr="007E777D" w:rsidSect="00DC2656">
          <w:pgSz w:w="11904" w:h="16838"/>
          <w:pgMar w:top="1469" w:right="1421" w:bottom="3261" w:left="1426" w:header="720" w:footer="720" w:gutter="0"/>
          <w:cols w:space="60"/>
          <w:noEndnote/>
        </w:sectPr>
      </w:pPr>
    </w:p>
    <w:p w:rsidR="00ED665B" w:rsidRPr="007E777D" w:rsidRDefault="006C7D2F" w:rsidP="007E777D">
      <w:pPr>
        <w:tabs>
          <w:tab w:val="right" w:leader="dot" w:pos="8931"/>
        </w:tabs>
        <w:rPr>
          <w:rFonts w:ascii="Calibri" w:hAnsi="Calibri" w:cs="Calibri"/>
          <w:b/>
          <w:bCs/>
          <w:color w:val="009649"/>
          <w:sz w:val="24"/>
          <w:szCs w:val="24"/>
        </w:rPr>
      </w:pPr>
      <w:r>
        <w:rPr>
          <w:rFonts w:ascii="Calibri" w:hAnsi="Calibri"/>
          <w:b/>
          <w:color w:val="009649"/>
          <w:sz w:val="24"/>
        </w:rPr>
        <w:lastRenderedPageBreak/>
        <w:t>Додаток 1: Методи розробки настанов</w:t>
      </w:r>
      <w:r>
        <w:rPr>
          <w:rFonts w:ascii="Calibri" w:hAnsi="Calibri"/>
          <w:b/>
          <w:color w:val="009649"/>
          <w:sz w:val="24"/>
        </w:rPr>
        <w:tab/>
        <w:t>129</w:t>
      </w:r>
    </w:p>
    <w:p w:rsidR="00ED665B" w:rsidRPr="007E777D" w:rsidRDefault="006C7D2F" w:rsidP="007E777D">
      <w:pPr>
        <w:tabs>
          <w:tab w:val="right" w:leader="dot" w:pos="8931"/>
        </w:tabs>
        <w:spacing w:before="120"/>
        <w:rPr>
          <w:rFonts w:ascii="Calibri" w:hAnsi="Calibri" w:cs="Calibri"/>
          <w:b/>
          <w:bCs/>
          <w:color w:val="009649"/>
          <w:sz w:val="24"/>
          <w:szCs w:val="24"/>
        </w:rPr>
      </w:pPr>
      <w:r>
        <w:rPr>
          <w:rFonts w:ascii="Calibri" w:hAnsi="Calibri"/>
          <w:b/>
          <w:color w:val="009649"/>
          <w:sz w:val="24"/>
        </w:rPr>
        <w:t>Додаток 2: Оцінка конфлікту інтересів для членів Групи з розробки настанов і Групи зовнішнього рецензування</w:t>
      </w:r>
      <w:r>
        <w:rPr>
          <w:rFonts w:ascii="Calibri" w:hAnsi="Calibri"/>
          <w:b/>
          <w:color w:val="009649"/>
          <w:sz w:val="24"/>
        </w:rPr>
        <w:tab/>
        <w:t>133</w:t>
      </w:r>
    </w:p>
    <w:p w:rsidR="007E777D" w:rsidRPr="007E777D" w:rsidRDefault="006C7D2F" w:rsidP="00A06243">
      <w:pPr>
        <w:tabs>
          <w:tab w:val="right" w:leader="dot" w:pos="8931"/>
        </w:tabs>
        <w:spacing w:before="360"/>
        <w:rPr>
          <w:rFonts w:ascii="Calibri" w:hAnsi="Calibri" w:cs="Calibri"/>
          <w:b/>
          <w:bCs/>
          <w:color w:val="009649"/>
          <w:sz w:val="24"/>
          <w:szCs w:val="24"/>
        </w:rPr>
      </w:pPr>
      <w:r>
        <w:rPr>
          <w:rFonts w:ascii="Calibri" w:hAnsi="Calibri"/>
          <w:b/>
          <w:color w:val="009649"/>
          <w:sz w:val="24"/>
        </w:rPr>
        <w:t xml:space="preserve">Вебдодаток 1. Список досліджень, що входять до систематичних оглядів </w:t>
      </w:r>
    </w:p>
    <w:p w:rsidR="007E777D" w:rsidRDefault="006C7D2F" w:rsidP="007E777D">
      <w:pPr>
        <w:tabs>
          <w:tab w:val="right" w:leader="dot" w:pos="8931"/>
        </w:tabs>
        <w:spacing w:before="120"/>
        <w:ind w:left="284"/>
        <w:rPr>
          <w:rFonts w:ascii="Calibri" w:hAnsi="Calibri" w:cs="Calibri"/>
          <w:color w:val="000000"/>
          <w:sz w:val="22"/>
          <w:szCs w:val="22"/>
        </w:rPr>
      </w:pPr>
      <w:r>
        <w:rPr>
          <w:rFonts w:ascii="Calibri" w:hAnsi="Calibri"/>
          <w:color w:val="000000"/>
          <w:sz w:val="22"/>
        </w:rPr>
        <w:t xml:space="preserve">Вебдодаток 1.1 Xpert MTB/RIF та Xpert Ultra </w:t>
      </w:r>
    </w:p>
    <w:p w:rsidR="007E777D" w:rsidRDefault="006C7D2F" w:rsidP="007E777D">
      <w:pPr>
        <w:tabs>
          <w:tab w:val="right" w:leader="dot" w:pos="8931"/>
        </w:tabs>
        <w:spacing w:before="60"/>
        <w:ind w:left="284"/>
        <w:rPr>
          <w:rFonts w:ascii="Calibri" w:hAnsi="Calibri" w:cs="Calibri"/>
          <w:color w:val="000000"/>
          <w:sz w:val="22"/>
          <w:szCs w:val="22"/>
        </w:rPr>
      </w:pPr>
      <w:r>
        <w:rPr>
          <w:rFonts w:ascii="Calibri" w:hAnsi="Calibri"/>
          <w:color w:val="000000"/>
          <w:sz w:val="22"/>
        </w:rPr>
        <w:t xml:space="preserve">Вебдодаток 1.2 Truenat MTB, MTB Plus, MTB-RIF Dx </w:t>
      </w:r>
    </w:p>
    <w:p w:rsidR="007E777D" w:rsidRDefault="006C7D2F" w:rsidP="007E777D">
      <w:pPr>
        <w:tabs>
          <w:tab w:val="right" w:leader="dot" w:pos="8931"/>
        </w:tabs>
        <w:spacing w:before="60"/>
        <w:ind w:left="284"/>
        <w:rPr>
          <w:rFonts w:ascii="Calibri" w:hAnsi="Calibri" w:cs="Calibri"/>
          <w:color w:val="000000"/>
          <w:sz w:val="22"/>
          <w:szCs w:val="22"/>
        </w:rPr>
      </w:pPr>
      <w:r>
        <w:rPr>
          <w:rFonts w:ascii="Calibri" w:hAnsi="Calibri"/>
          <w:color w:val="000000"/>
          <w:sz w:val="22"/>
        </w:rPr>
        <w:t xml:space="preserve">Вебдодаток 1.3 Автоматизовані ТАНК помірної складності </w:t>
      </w:r>
    </w:p>
    <w:p w:rsidR="007E777D" w:rsidRDefault="006C7D2F" w:rsidP="007E777D">
      <w:pPr>
        <w:tabs>
          <w:tab w:val="right" w:leader="dot" w:pos="8931"/>
        </w:tabs>
        <w:spacing w:before="60"/>
        <w:ind w:left="284"/>
        <w:rPr>
          <w:rFonts w:ascii="Calibri" w:hAnsi="Calibri" w:cs="Calibri"/>
          <w:color w:val="000000"/>
          <w:sz w:val="22"/>
          <w:szCs w:val="22"/>
        </w:rPr>
      </w:pPr>
      <w:r>
        <w:rPr>
          <w:rFonts w:ascii="Calibri" w:hAnsi="Calibri"/>
          <w:color w:val="000000"/>
          <w:sz w:val="22"/>
        </w:rPr>
        <w:t xml:space="preserve">Вебдодаток 1.4 Петльова ізотермічна ампліфікація (ТБ-LAMP) </w:t>
      </w:r>
    </w:p>
    <w:p w:rsidR="007E777D" w:rsidRDefault="006C7D2F" w:rsidP="007E777D">
      <w:pPr>
        <w:tabs>
          <w:tab w:val="right" w:leader="dot" w:pos="8931"/>
        </w:tabs>
        <w:spacing w:before="60"/>
        <w:ind w:left="284"/>
        <w:rPr>
          <w:rFonts w:ascii="Calibri" w:hAnsi="Calibri" w:cs="Calibri"/>
          <w:color w:val="000000"/>
          <w:sz w:val="22"/>
          <w:szCs w:val="22"/>
        </w:rPr>
      </w:pPr>
      <w:r>
        <w:rPr>
          <w:rFonts w:ascii="Calibri" w:hAnsi="Calibri"/>
          <w:color w:val="000000"/>
          <w:sz w:val="22"/>
        </w:rPr>
        <w:t xml:space="preserve">Вебдодаток 1.5 Ліпоарабіноманнановий тест бокового зсуву (тест сечі LF-LAM) </w:t>
      </w:r>
    </w:p>
    <w:p w:rsidR="007E777D" w:rsidRDefault="006C7D2F" w:rsidP="007E777D">
      <w:pPr>
        <w:tabs>
          <w:tab w:val="right" w:leader="dot" w:pos="8931"/>
        </w:tabs>
        <w:spacing w:before="60"/>
        <w:ind w:left="284"/>
        <w:rPr>
          <w:rFonts w:ascii="Calibri" w:hAnsi="Calibri" w:cs="Calibri"/>
          <w:color w:val="000000"/>
          <w:sz w:val="22"/>
          <w:szCs w:val="22"/>
        </w:rPr>
      </w:pPr>
      <w:r>
        <w:rPr>
          <w:rFonts w:ascii="Calibri" w:hAnsi="Calibri"/>
          <w:color w:val="000000"/>
          <w:sz w:val="22"/>
        </w:rPr>
        <w:t xml:space="preserve">Вебдодаток 1.6 Автоматизовані ТАНК низької складності </w:t>
      </w:r>
    </w:p>
    <w:p w:rsidR="007E777D" w:rsidRDefault="006C7D2F" w:rsidP="007E777D">
      <w:pPr>
        <w:tabs>
          <w:tab w:val="right" w:leader="dot" w:pos="8931"/>
        </w:tabs>
        <w:spacing w:before="60"/>
        <w:ind w:left="284"/>
        <w:rPr>
          <w:rFonts w:ascii="Calibri" w:hAnsi="Calibri" w:cs="Calibri"/>
          <w:color w:val="000000"/>
          <w:sz w:val="22"/>
          <w:szCs w:val="22"/>
        </w:rPr>
      </w:pPr>
      <w:r>
        <w:rPr>
          <w:rFonts w:ascii="Calibri" w:hAnsi="Calibri"/>
          <w:color w:val="000000"/>
          <w:sz w:val="22"/>
        </w:rPr>
        <w:t xml:space="preserve">Вебдодаток 1.7 Лінійний зонд-аналіз препаратів першої лінії (FL-LPA) </w:t>
      </w:r>
    </w:p>
    <w:p w:rsidR="007E777D" w:rsidRDefault="006C7D2F" w:rsidP="007E777D">
      <w:pPr>
        <w:tabs>
          <w:tab w:val="right" w:leader="dot" w:pos="8931"/>
        </w:tabs>
        <w:spacing w:before="60"/>
        <w:ind w:left="284"/>
        <w:rPr>
          <w:rFonts w:ascii="Calibri" w:hAnsi="Calibri" w:cs="Calibri"/>
          <w:color w:val="000000"/>
          <w:sz w:val="22"/>
          <w:szCs w:val="22"/>
        </w:rPr>
      </w:pPr>
      <w:r>
        <w:rPr>
          <w:rFonts w:ascii="Calibri" w:hAnsi="Calibri"/>
          <w:color w:val="000000"/>
          <w:sz w:val="22"/>
        </w:rPr>
        <w:t xml:space="preserve">Вебдодаток 1.8 Лінійний зонд-аналіз препаратів другої лінії (SL-LPA) </w:t>
      </w:r>
    </w:p>
    <w:p w:rsidR="00ED665B" w:rsidRPr="007E777D" w:rsidRDefault="006C7D2F" w:rsidP="007E777D">
      <w:pPr>
        <w:tabs>
          <w:tab w:val="right" w:leader="dot" w:pos="8931"/>
        </w:tabs>
        <w:spacing w:before="60"/>
        <w:ind w:left="284"/>
        <w:rPr>
          <w:rFonts w:ascii="Calibri" w:hAnsi="Calibri" w:cs="Calibri"/>
          <w:sz w:val="22"/>
          <w:szCs w:val="22"/>
        </w:rPr>
      </w:pPr>
      <w:r>
        <w:rPr>
          <w:rFonts w:ascii="Calibri" w:hAnsi="Calibri"/>
          <w:color w:val="000000"/>
          <w:sz w:val="22"/>
        </w:rPr>
        <w:t>Вебдодаток 1.9 ТАНК високої складності на основі зворотної гібридизації</w:t>
      </w:r>
    </w:p>
    <w:p w:rsidR="00ED665B" w:rsidRPr="007E777D" w:rsidRDefault="006C7D2F" w:rsidP="007E777D">
      <w:pPr>
        <w:tabs>
          <w:tab w:val="right" w:leader="dot" w:pos="8931"/>
        </w:tabs>
        <w:spacing w:before="120"/>
        <w:rPr>
          <w:rFonts w:ascii="Calibri" w:hAnsi="Calibri" w:cs="Calibri"/>
          <w:b/>
          <w:bCs/>
          <w:color w:val="009649"/>
          <w:sz w:val="24"/>
          <w:szCs w:val="24"/>
        </w:rPr>
      </w:pPr>
      <w:r>
        <w:rPr>
          <w:rFonts w:ascii="Calibri" w:hAnsi="Calibri"/>
          <w:b/>
          <w:color w:val="009649"/>
          <w:sz w:val="24"/>
        </w:rPr>
        <w:t>Вебдодаток 2. Профілі GRADE</w:t>
      </w:r>
    </w:p>
    <w:p w:rsidR="00ED665B" w:rsidRPr="007E777D" w:rsidRDefault="006C7D2F" w:rsidP="00FC3C49">
      <w:pPr>
        <w:tabs>
          <w:tab w:val="right" w:leader="dot" w:pos="8931"/>
        </w:tabs>
        <w:spacing w:before="120"/>
        <w:ind w:left="284"/>
        <w:rPr>
          <w:rFonts w:ascii="Calibri" w:hAnsi="Calibri" w:cs="Calibri"/>
          <w:sz w:val="22"/>
          <w:szCs w:val="22"/>
        </w:rPr>
      </w:pPr>
      <w:r>
        <w:rPr>
          <w:rFonts w:ascii="Calibri" w:hAnsi="Calibri"/>
          <w:color w:val="000000"/>
          <w:sz w:val="22"/>
        </w:rPr>
        <w:t>Вебдодаток 2.1 Xpert MTB/RIF та Xpert Ultra</w:t>
      </w:r>
    </w:p>
    <w:p w:rsidR="00ED665B" w:rsidRPr="007E777D" w:rsidRDefault="006C7D2F" w:rsidP="007E777D">
      <w:pPr>
        <w:tabs>
          <w:tab w:val="right" w:leader="dot" w:pos="8931"/>
        </w:tabs>
        <w:spacing w:before="60"/>
        <w:ind w:left="284"/>
        <w:rPr>
          <w:rFonts w:ascii="Calibri" w:hAnsi="Calibri" w:cs="Calibri"/>
          <w:sz w:val="22"/>
          <w:szCs w:val="22"/>
        </w:rPr>
      </w:pPr>
      <w:r>
        <w:rPr>
          <w:rFonts w:ascii="Calibri" w:hAnsi="Calibri"/>
          <w:color w:val="000000"/>
          <w:sz w:val="22"/>
        </w:rPr>
        <w:t>Вебдодаток 2.2 Truenat MTB, MTB Plus, MTB-RIF Dx</w:t>
      </w:r>
    </w:p>
    <w:p w:rsidR="00ED665B" w:rsidRPr="007E777D" w:rsidRDefault="00CD1F71" w:rsidP="007E777D">
      <w:pPr>
        <w:tabs>
          <w:tab w:val="right" w:leader="dot" w:pos="8931"/>
        </w:tabs>
        <w:spacing w:before="60"/>
        <w:ind w:left="284"/>
        <w:rPr>
          <w:rFonts w:ascii="Calibri" w:hAnsi="Calibri" w:cs="Calibri"/>
          <w:sz w:val="22"/>
          <w:szCs w:val="22"/>
        </w:rPr>
      </w:pPr>
      <w:r>
        <w:rPr>
          <w:rFonts w:ascii="Calibri" w:hAnsi="Calibri"/>
          <w:noProof/>
          <w:color w:val="000000"/>
          <w:sz w:val="22"/>
          <w:lang w:val="en-US" w:bidi="ar-SA"/>
        </w:rPr>
        <w:drawing>
          <wp:anchor distT="0" distB="0" distL="6400800" distR="6400800" simplePos="0" relativeHeight="251641856" behindDoc="0" locked="0" layoutInCell="0" allowOverlap="1">
            <wp:simplePos x="0" y="0"/>
            <wp:positionH relativeFrom="page">
              <wp:posOffset>0</wp:posOffset>
            </wp:positionH>
            <wp:positionV relativeFrom="page">
              <wp:posOffset>8209280</wp:posOffset>
            </wp:positionV>
            <wp:extent cx="7562850" cy="2486025"/>
            <wp:effectExtent l="0" t="0" r="0" b="0"/>
            <wp:wrapNone/>
            <wp:docPr id="2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22"/>
        </w:rPr>
        <w:t>Вебдодаток 2.3 Автоматизовані ТАНК помірної складності</w:t>
      </w:r>
    </w:p>
    <w:p w:rsidR="00ED665B" w:rsidRPr="007E777D" w:rsidRDefault="006C7D2F" w:rsidP="007E777D">
      <w:pPr>
        <w:tabs>
          <w:tab w:val="right" w:leader="dot" w:pos="8931"/>
        </w:tabs>
        <w:spacing w:before="60"/>
        <w:ind w:left="284"/>
        <w:rPr>
          <w:rFonts w:ascii="Calibri" w:hAnsi="Calibri" w:cs="Calibri"/>
          <w:sz w:val="22"/>
          <w:szCs w:val="22"/>
        </w:rPr>
      </w:pPr>
      <w:r>
        <w:rPr>
          <w:rFonts w:ascii="Calibri" w:hAnsi="Calibri"/>
          <w:color w:val="000000"/>
          <w:sz w:val="22"/>
        </w:rPr>
        <w:t>Вебдодаток 2.4 Ліпоарабіноманнановий тест бокового зсуву (тест сечі LF-LAM)</w:t>
      </w:r>
    </w:p>
    <w:p w:rsidR="00ED665B" w:rsidRPr="007E777D" w:rsidRDefault="006C7D2F" w:rsidP="007E777D">
      <w:pPr>
        <w:tabs>
          <w:tab w:val="right" w:leader="dot" w:pos="8931"/>
        </w:tabs>
        <w:spacing w:before="60"/>
        <w:ind w:left="284"/>
        <w:rPr>
          <w:rFonts w:ascii="Calibri" w:hAnsi="Calibri" w:cs="Calibri"/>
          <w:sz w:val="22"/>
          <w:szCs w:val="22"/>
        </w:rPr>
      </w:pPr>
      <w:r>
        <w:rPr>
          <w:rFonts w:ascii="Calibri" w:hAnsi="Calibri"/>
          <w:color w:val="000000"/>
          <w:sz w:val="22"/>
        </w:rPr>
        <w:t>Вебдодаток 2.5 Автоматизовані ТАНК низької складності</w:t>
      </w:r>
    </w:p>
    <w:p w:rsidR="00ED665B" w:rsidRPr="007E777D" w:rsidRDefault="006C7D2F" w:rsidP="007E777D">
      <w:pPr>
        <w:tabs>
          <w:tab w:val="right" w:leader="dot" w:pos="8931"/>
        </w:tabs>
        <w:spacing w:before="60"/>
        <w:ind w:left="284"/>
        <w:rPr>
          <w:rFonts w:ascii="Calibri" w:hAnsi="Calibri" w:cs="Calibri"/>
          <w:sz w:val="22"/>
          <w:szCs w:val="22"/>
        </w:rPr>
      </w:pPr>
      <w:r>
        <w:rPr>
          <w:rFonts w:ascii="Calibri" w:hAnsi="Calibri"/>
          <w:color w:val="000000"/>
          <w:sz w:val="22"/>
        </w:rPr>
        <w:t>Вебдодаток 2.6 Лінійний зонд-аналіз препаратів першої лінії (FL-LPA)</w:t>
      </w:r>
    </w:p>
    <w:p w:rsidR="00ED665B" w:rsidRPr="007E777D" w:rsidRDefault="006C7D2F" w:rsidP="007E777D">
      <w:pPr>
        <w:tabs>
          <w:tab w:val="right" w:leader="dot" w:pos="8931"/>
        </w:tabs>
        <w:spacing w:before="60"/>
        <w:ind w:left="284"/>
        <w:rPr>
          <w:rFonts w:ascii="Calibri" w:hAnsi="Calibri" w:cs="Calibri"/>
          <w:sz w:val="22"/>
          <w:szCs w:val="22"/>
        </w:rPr>
      </w:pPr>
      <w:r>
        <w:rPr>
          <w:rFonts w:ascii="Calibri" w:hAnsi="Calibri"/>
          <w:color w:val="000000"/>
          <w:sz w:val="22"/>
        </w:rPr>
        <w:t>Вебдодаток 2.7 Лінійний зонд-аналіз препаратів другої лінії (SL-LPA)</w:t>
      </w:r>
    </w:p>
    <w:p w:rsidR="00ED665B" w:rsidRPr="007E777D" w:rsidRDefault="006C7D2F" w:rsidP="007E777D">
      <w:pPr>
        <w:tabs>
          <w:tab w:val="right" w:leader="dot" w:pos="8931"/>
        </w:tabs>
        <w:spacing w:before="60"/>
        <w:ind w:left="284"/>
        <w:rPr>
          <w:rFonts w:ascii="Calibri" w:hAnsi="Calibri" w:cs="Calibri"/>
          <w:sz w:val="22"/>
          <w:szCs w:val="22"/>
        </w:rPr>
      </w:pPr>
      <w:r>
        <w:rPr>
          <w:rFonts w:ascii="Calibri" w:hAnsi="Calibri"/>
          <w:color w:val="000000"/>
          <w:sz w:val="22"/>
        </w:rPr>
        <w:t>Вебдодаток 2.8 ТАНК високої складності на основі зворотної гібридизації</w:t>
      </w:r>
    </w:p>
    <w:p w:rsidR="007E777D" w:rsidRPr="007E777D" w:rsidRDefault="006C7D2F" w:rsidP="007E777D">
      <w:pPr>
        <w:tabs>
          <w:tab w:val="right" w:leader="dot" w:pos="8931"/>
        </w:tabs>
        <w:spacing w:before="120"/>
        <w:rPr>
          <w:rFonts w:ascii="Calibri" w:hAnsi="Calibri" w:cs="Calibri"/>
          <w:b/>
          <w:bCs/>
          <w:color w:val="009649"/>
          <w:sz w:val="24"/>
          <w:szCs w:val="24"/>
        </w:rPr>
      </w:pPr>
      <w:r>
        <w:rPr>
          <w:rFonts w:ascii="Calibri" w:hAnsi="Calibri"/>
          <w:b/>
          <w:color w:val="009649"/>
          <w:sz w:val="24"/>
        </w:rPr>
        <w:t xml:space="preserve">Вебдодаток 3. Таблиці прийняття рішень на основі доказів </w:t>
      </w:r>
    </w:p>
    <w:p w:rsidR="007E777D" w:rsidRDefault="006C7D2F" w:rsidP="007E777D">
      <w:pPr>
        <w:tabs>
          <w:tab w:val="right" w:leader="dot" w:pos="8931"/>
        </w:tabs>
        <w:spacing w:before="120"/>
        <w:ind w:left="284"/>
        <w:rPr>
          <w:rFonts w:ascii="Calibri" w:hAnsi="Calibri" w:cs="Calibri"/>
          <w:color w:val="000000"/>
          <w:sz w:val="22"/>
          <w:szCs w:val="22"/>
        </w:rPr>
      </w:pPr>
      <w:r>
        <w:rPr>
          <w:rFonts w:ascii="Calibri" w:hAnsi="Calibri"/>
          <w:color w:val="000000"/>
          <w:sz w:val="22"/>
        </w:rPr>
        <w:t xml:space="preserve">Вебдодаток 3.1 Xpert MTB/RIF та Xpert Ultra </w:t>
      </w:r>
    </w:p>
    <w:p w:rsidR="007E777D" w:rsidRDefault="006C7D2F" w:rsidP="007E777D">
      <w:pPr>
        <w:tabs>
          <w:tab w:val="right" w:leader="dot" w:pos="8931"/>
        </w:tabs>
        <w:spacing w:before="60"/>
        <w:ind w:left="284"/>
        <w:rPr>
          <w:rFonts w:ascii="Calibri" w:hAnsi="Calibri" w:cs="Calibri"/>
          <w:color w:val="000000"/>
          <w:sz w:val="22"/>
          <w:szCs w:val="22"/>
        </w:rPr>
      </w:pPr>
      <w:r>
        <w:rPr>
          <w:rFonts w:ascii="Calibri" w:hAnsi="Calibri"/>
          <w:color w:val="000000"/>
          <w:sz w:val="22"/>
        </w:rPr>
        <w:t xml:space="preserve">Вебдодаток 3.2 Truenat MTB, MTB Plus, MTB-RIF Dx </w:t>
      </w:r>
    </w:p>
    <w:p w:rsidR="007E777D" w:rsidRDefault="006C7D2F" w:rsidP="007E777D">
      <w:pPr>
        <w:tabs>
          <w:tab w:val="right" w:leader="dot" w:pos="8931"/>
        </w:tabs>
        <w:spacing w:before="60"/>
        <w:ind w:left="284"/>
        <w:rPr>
          <w:rFonts w:ascii="Calibri" w:hAnsi="Calibri" w:cs="Calibri"/>
          <w:color w:val="000000"/>
          <w:sz w:val="22"/>
          <w:szCs w:val="22"/>
        </w:rPr>
      </w:pPr>
      <w:r>
        <w:rPr>
          <w:rFonts w:ascii="Calibri" w:hAnsi="Calibri"/>
          <w:color w:val="000000"/>
          <w:sz w:val="22"/>
        </w:rPr>
        <w:t xml:space="preserve">Вебдодаток 3.3 Автоматизовані ТАНК помірної складності </w:t>
      </w:r>
    </w:p>
    <w:p w:rsidR="007E777D" w:rsidRDefault="006C7D2F" w:rsidP="007E777D">
      <w:pPr>
        <w:tabs>
          <w:tab w:val="right" w:leader="dot" w:pos="8931"/>
        </w:tabs>
        <w:spacing w:before="60"/>
        <w:ind w:left="284"/>
        <w:rPr>
          <w:rFonts w:ascii="Calibri" w:hAnsi="Calibri" w:cs="Calibri"/>
          <w:color w:val="000000"/>
          <w:sz w:val="22"/>
          <w:szCs w:val="22"/>
        </w:rPr>
      </w:pPr>
      <w:r>
        <w:rPr>
          <w:rFonts w:ascii="Calibri" w:hAnsi="Calibri"/>
          <w:color w:val="000000"/>
          <w:sz w:val="22"/>
        </w:rPr>
        <w:t xml:space="preserve">Вебдодаток 3.4 Петльова ізотермічна ампліфікація (ТБ-LAMP) </w:t>
      </w:r>
    </w:p>
    <w:p w:rsidR="007E777D" w:rsidRDefault="006C7D2F" w:rsidP="007E777D">
      <w:pPr>
        <w:tabs>
          <w:tab w:val="right" w:leader="dot" w:pos="8931"/>
        </w:tabs>
        <w:spacing w:before="60"/>
        <w:ind w:left="284"/>
        <w:rPr>
          <w:rFonts w:ascii="Calibri" w:hAnsi="Calibri" w:cs="Calibri"/>
          <w:color w:val="000000"/>
          <w:sz w:val="22"/>
          <w:szCs w:val="22"/>
        </w:rPr>
      </w:pPr>
      <w:r>
        <w:rPr>
          <w:rFonts w:ascii="Calibri" w:hAnsi="Calibri"/>
          <w:color w:val="000000"/>
          <w:sz w:val="22"/>
        </w:rPr>
        <w:t xml:space="preserve">Вебдодаток 3.5 Ліпоарабіноманнановий тест бокового зсуву (тест сечі LF-LAM) </w:t>
      </w:r>
    </w:p>
    <w:p w:rsidR="00ED665B" w:rsidRPr="007E777D" w:rsidRDefault="006C7D2F" w:rsidP="007E777D">
      <w:pPr>
        <w:tabs>
          <w:tab w:val="right" w:leader="dot" w:pos="8931"/>
        </w:tabs>
        <w:spacing w:before="60"/>
        <w:ind w:left="284"/>
        <w:rPr>
          <w:rFonts w:ascii="Calibri" w:hAnsi="Calibri" w:cs="Calibri"/>
          <w:sz w:val="22"/>
          <w:szCs w:val="22"/>
        </w:rPr>
      </w:pPr>
      <w:r>
        <w:rPr>
          <w:rFonts w:ascii="Calibri" w:hAnsi="Calibri"/>
          <w:color w:val="000000"/>
          <w:sz w:val="22"/>
        </w:rPr>
        <w:t>Вебдодаток 3.6 Автоматизовані ТАНК низької складності</w:t>
      </w:r>
    </w:p>
    <w:p w:rsidR="00ED665B" w:rsidRPr="007E777D" w:rsidRDefault="00ED665B" w:rsidP="00DC2656">
      <w:pPr>
        <w:spacing w:before="158"/>
        <w:ind w:left="259" w:right="1997" w:hanging="259"/>
        <w:rPr>
          <w:rFonts w:ascii="Calibri" w:hAnsi="Calibri" w:cs="Calibri"/>
          <w:sz w:val="22"/>
          <w:szCs w:val="22"/>
        </w:rPr>
        <w:sectPr w:rsidR="00ED665B" w:rsidRPr="007E777D">
          <w:pgSz w:w="11904" w:h="16838"/>
          <w:pgMar w:top="1382" w:right="1416" w:bottom="4128" w:left="1416" w:header="720" w:footer="720" w:gutter="0"/>
          <w:cols w:space="60"/>
          <w:noEndnote/>
        </w:sectPr>
      </w:pPr>
    </w:p>
    <w:p w:rsidR="00ED665B" w:rsidRPr="00907702" w:rsidRDefault="00CD1F71" w:rsidP="00FC3C49">
      <w:pPr>
        <w:ind w:left="259"/>
        <w:rPr>
          <w:rFonts w:ascii="Calibri" w:hAnsi="Calibri" w:cs="Calibri"/>
        </w:rPr>
      </w:pPr>
      <w:r>
        <w:rPr>
          <w:rFonts w:ascii="Calibri" w:hAnsi="Calibri"/>
          <w:noProof/>
          <w:color w:val="000000"/>
          <w:sz w:val="22"/>
          <w:lang w:val="en-US" w:bidi="ar-SA"/>
        </w:rPr>
        <w:lastRenderedPageBreak/>
        <w:drawing>
          <wp:anchor distT="0" distB="0" distL="6400800" distR="6400800" simplePos="0" relativeHeight="251642880" behindDoc="0" locked="0" layoutInCell="0" allowOverlap="1">
            <wp:simplePos x="0" y="0"/>
            <wp:positionH relativeFrom="page">
              <wp:posOffset>0</wp:posOffset>
            </wp:positionH>
            <wp:positionV relativeFrom="page">
              <wp:posOffset>8176895</wp:posOffset>
            </wp:positionV>
            <wp:extent cx="7562850" cy="2514600"/>
            <wp:effectExtent l="0" t="0" r="0" b="0"/>
            <wp:wrapNone/>
            <wp:docPr id="2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8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22"/>
        </w:rPr>
        <w:t>Вебдодаток 3.7 Лінійний зонд-аналіз препаратів першої лінії (FL-LPA)</w:t>
      </w:r>
    </w:p>
    <w:p w:rsidR="00ED665B" w:rsidRPr="00907702" w:rsidRDefault="006C7D2F" w:rsidP="00FC3C49">
      <w:pPr>
        <w:spacing w:before="60"/>
        <w:ind w:left="259"/>
        <w:rPr>
          <w:rFonts w:ascii="Calibri" w:hAnsi="Calibri" w:cs="Calibri"/>
        </w:rPr>
      </w:pPr>
      <w:r>
        <w:rPr>
          <w:rFonts w:ascii="Calibri" w:hAnsi="Calibri"/>
          <w:color w:val="000000"/>
          <w:sz w:val="22"/>
        </w:rPr>
        <w:t>Вебдодаток 3.8 Лінійний зонд-аналіз препаратів другої лінії (SL-LPA)</w:t>
      </w:r>
    </w:p>
    <w:p w:rsidR="00ED665B" w:rsidRPr="00907702" w:rsidRDefault="006C7D2F" w:rsidP="00FC3C49">
      <w:pPr>
        <w:spacing w:before="60"/>
        <w:ind w:left="259"/>
        <w:rPr>
          <w:rFonts w:ascii="Calibri" w:hAnsi="Calibri" w:cs="Calibri"/>
        </w:rPr>
      </w:pPr>
      <w:r>
        <w:rPr>
          <w:rFonts w:ascii="Calibri" w:hAnsi="Calibri"/>
          <w:color w:val="000000"/>
          <w:sz w:val="22"/>
        </w:rPr>
        <w:t>Вебдодаток 3.9 ТАНК високої складності на основі зворотної гібридизації</w:t>
      </w:r>
    </w:p>
    <w:p w:rsidR="00ED665B" w:rsidRPr="00FC3C49" w:rsidRDefault="006C7D2F" w:rsidP="00FC3C49">
      <w:pPr>
        <w:spacing w:before="120"/>
        <w:rPr>
          <w:rFonts w:ascii="Calibri" w:hAnsi="Calibri" w:cs="Calibri"/>
          <w:b/>
          <w:bCs/>
          <w:color w:val="009649"/>
          <w:sz w:val="22"/>
          <w:szCs w:val="22"/>
        </w:rPr>
      </w:pPr>
      <w:r>
        <w:rPr>
          <w:rFonts w:ascii="Calibri" w:hAnsi="Calibri"/>
          <w:b/>
          <w:color w:val="009649"/>
          <w:sz w:val="24"/>
        </w:rPr>
        <w:t>Вебдодаток 4. Узагальнення та аналіз доказів</w:t>
      </w:r>
    </w:p>
    <w:p w:rsidR="00ED665B" w:rsidRPr="00907702" w:rsidRDefault="006C7D2F" w:rsidP="00FC3C49">
      <w:pPr>
        <w:spacing w:before="60"/>
        <w:ind w:left="259"/>
        <w:rPr>
          <w:rFonts w:ascii="Calibri" w:hAnsi="Calibri" w:cs="Calibri"/>
        </w:rPr>
      </w:pPr>
      <w:r>
        <w:rPr>
          <w:rFonts w:ascii="Calibri" w:hAnsi="Calibri"/>
          <w:color w:val="000000"/>
          <w:sz w:val="22"/>
        </w:rPr>
        <w:t>Вебдодаток 4.1 Вплив діагностичного тесту Xpert MTB/RIF на важливі для пацієнта наслідки туберкульозу: систематичний огляд</w:t>
      </w:r>
    </w:p>
    <w:p w:rsidR="00ED665B" w:rsidRPr="00907702" w:rsidRDefault="006C7D2F" w:rsidP="00FC3C49">
      <w:pPr>
        <w:spacing w:before="60"/>
        <w:ind w:left="259"/>
        <w:rPr>
          <w:rFonts w:ascii="Calibri" w:hAnsi="Calibri" w:cs="Calibri"/>
        </w:rPr>
      </w:pPr>
      <w:r>
        <w:rPr>
          <w:rFonts w:ascii="Calibri" w:hAnsi="Calibri"/>
          <w:color w:val="000000"/>
          <w:sz w:val="22"/>
        </w:rPr>
        <w:t>Вебдодаток 4.2 Xpert MTB/RIF та Xpert Ultra для виявлення активної форми туберкульозу у дорослих з ознаками та симптомами легеневого ТБ: оновлений систематичний огляд</w:t>
      </w:r>
    </w:p>
    <w:p w:rsidR="00ED665B" w:rsidRPr="00907702" w:rsidRDefault="006C7D2F" w:rsidP="00FC3C49">
      <w:pPr>
        <w:spacing w:before="60"/>
        <w:ind w:left="259"/>
        <w:rPr>
          <w:rFonts w:ascii="Calibri" w:hAnsi="Calibri" w:cs="Calibri"/>
        </w:rPr>
      </w:pPr>
      <w:r>
        <w:rPr>
          <w:rFonts w:ascii="Calibri" w:hAnsi="Calibri"/>
          <w:color w:val="000000"/>
          <w:sz w:val="22"/>
        </w:rPr>
        <w:t>Вебдодаток 4.3 Xpert MTB/RIF та Xpert Ultra для виявлення активної форми туберкульозу у дорослих з ознаками та симптомами позалегеневого ТБ: оновлений систематичний огляд</w:t>
      </w:r>
    </w:p>
    <w:p w:rsidR="00ED665B" w:rsidRPr="00907702" w:rsidRDefault="006C7D2F" w:rsidP="00FC3C49">
      <w:pPr>
        <w:spacing w:before="60"/>
        <w:ind w:left="259"/>
        <w:rPr>
          <w:rFonts w:ascii="Calibri" w:hAnsi="Calibri" w:cs="Calibri"/>
        </w:rPr>
      </w:pPr>
      <w:r>
        <w:rPr>
          <w:rFonts w:ascii="Calibri" w:hAnsi="Calibri"/>
          <w:color w:val="000000"/>
          <w:sz w:val="22"/>
        </w:rPr>
        <w:t>Вебдодаток 4.4 Xpert MTB/RIF та Xpert Ultra для виявлення активної форми туберкульозу у дітей: оновлений систематичний огляд</w:t>
      </w:r>
    </w:p>
    <w:p w:rsidR="00ED665B" w:rsidRPr="00907702" w:rsidRDefault="006C7D2F" w:rsidP="00FC3C49">
      <w:pPr>
        <w:spacing w:before="60"/>
        <w:ind w:left="259"/>
        <w:rPr>
          <w:rFonts w:ascii="Calibri" w:hAnsi="Calibri" w:cs="Calibri"/>
        </w:rPr>
      </w:pPr>
      <w:r>
        <w:rPr>
          <w:rFonts w:ascii="Calibri" w:hAnsi="Calibri"/>
          <w:color w:val="000000"/>
          <w:sz w:val="22"/>
        </w:rPr>
        <w:t>Вебдодаток 4.5 Систематичний огляд літератури стосовно економічних даних для молекулярних аналізів, призначених як первинні тести для діагностики легеневого та позалегеневого ТБ у дорослих та дітей</w:t>
      </w:r>
    </w:p>
    <w:p w:rsidR="00ED665B" w:rsidRPr="00907702" w:rsidRDefault="006C7D2F" w:rsidP="00FC3C49">
      <w:pPr>
        <w:spacing w:before="60"/>
        <w:ind w:left="259"/>
        <w:rPr>
          <w:rFonts w:ascii="Calibri" w:hAnsi="Calibri" w:cs="Calibri"/>
        </w:rPr>
      </w:pPr>
      <w:r>
        <w:rPr>
          <w:rFonts w:ascii="Calibri" w:hAnsi="Calibri"/>
          <w:color w:val="000000"/>
          <w:sz w:val="22"/>
        </w:rPr>
        <w:t>Додаток 4.6 Звіт про перспективи тестування Xpert: результати якісного дослідження</w:t>
      </w:r>
    </w:p>
    <w:p w:rsidR="00ED665B" w:rsidRPr="00907702" w:rsidRDefault="006C7D2F" w:rsidP="00FC3C49">
      <w:pPr>
        <w:spacing w:before="60"/>
        <w:ind w:left="259"/>
        <w:rPr>
          <w:rFonts w:ascii="Calibri" w:hAnsi="Calibri" w:cs="Calibri"/>
        </w:rPr>
      </w:pPr>
      <w:r>
        <w:rPr>
          <w:rFonts w:ascii="Calibri" w:hAnsi="Calibri"/>
          <w:color w:val="000000"/>
          <w:sz w:val="22"/>
        </w:rPr>
        <w:t>Вебдодаток 4.7 Звіт про діагностичну точність аналізів на туберкульоз та резистентність до рифампіцину Molbio Truenat в умовах цільового використання</w:t>
      </w:r>
    </w:p>
    <w:p w:rsidR="00ED665B" w:rsidRPr="00907702" w:rsidRDefault="006C7D2F" w:rsidP="00FC3C49">
      <w:pPr>
        <w:spacing w:before="60"/>
        <w:ind w:left="259"/>
        <w:rPr>
          <w:rFonts w:ascii="Calibri" w:hAnsi="Calibri" w:cs="Calibri"/>
        </w:rPr>
      </w:pPr>
      <w:r>
        <w:rPr>
          <w:rFonts w:ascii="Calibri" w:hAnsi="Calibri"/>
          <w:color w:val="000000"/>
          <w:sz w:val="22"/>
        </w:rPr>
        <w:t>Вебдодаток 4.8 Автоматизовані ТАНК помірної складності: Діагностична точність для виявлення туберкульозу та виявлення резистентності до рифампіцину та ізоніазиду. Систематичний огляд та метааналіз.</w:t>
      </w:r>
    </w:p>
    <w:p w:rsidR="00ED665B" w:rsidRPr="00907702" w:rsidRDefault="006C7D2F" w:rsidP="00FC3C49">
      <w:pPr>
        <w:spacing w:before="60"/>
        <w:ind w:left="259"/>
        <w:rPr>
          <w:rFonts w:ascii="Calibri" w:hAnsi="Calibri" w:cs="Calibri"/>
        </w:rPr>
      </w:pPr>
      <w:r>
        <w:rPr>
          <w:rFonts w:ascii="Calibri" w:hAnsi="Calibri"/>
          <w:color w:val="000000"/>
          <w:sz w:val="22"/>
        </w:rPr>
        <w:t>Вебдодаток 4.9 Систематичний огляд літератури стосовно економічних даних для тестів на ампліфікацію нуклеїнової кислоти (ТАНК) для виявлення ТБ та резистентного ТБ у дорослих та дітей</w:t>
      </w:r>
    </w:p>
    <w:p w:rsidR="00ED665B" w:rsidRPr="00907702" w:rsidRDefault="006C7D2F" w:rsidP="00FC3C49">
      <w:pPr>
        <w:spacing w:before="60"/>
        <w:ind w:left="259"/>
        <w:rPr>
          <w:rFonts w:ascii="Calibri" w:hAnsi="Calibri" w:cs="Calibri"/>
        </w:rPr>
      </w:pPr>
      <w:r>
        <w:rPr>
          <w:rFonts w:ascii="Calibri" w:hAnsi="Calibri"/>
          <w:color w:val="000000"/>
          <w:sz w:val="22"/>
        </w:rPr>
        <w:t>Вебдодаток 4.10 ТАНК для виявлення туберкульозу та резистентності до протитуберкульозних препаратів з урахуванням інтересів користувачів: результати якісного синтезу даних (систематичний огляд)</w:t>
      </w:r>
    </w:p>
    <w:p w:rsidR="00ED665B" w:rsidRPr="00907702" w:rsidRDefault="006C7D2F" w:rsidP="00FC3C49">
      <w:pPr>
        <w:spacing w:before="60"/>
        <w:ind w:left="259"/>
        <w:rPr>
          <w:rFonts w:ascii="Calibri" w:hAnsi="Calibri" w:cs="Calibri"/>
        </w:rPr>
      </w:pPr>
      <w:r>
        <w:rPr>
          <w:rFonts w:ascii="Calibri" w:hAnsi="Calibri"/>
          <w:color w:val="000000"/>
          <w:sz w:val="22"/>
        </w:rPr>
        <w:t>Вебдодаток 4.11 Тести на ампліфікацію нуклеїнової кислоти на туберкульоз і медикаментозну резистентність до туберкульозу з урахуванням інтересів користувачів: (дослідження в ході опитувань)</w:t>
      </w:r>
    </w:p>
    <w:p w:rsidR="00ED665B" w:rsidRPr="00907702" w:rsidRDefault="006C7D2F" w:rsidP="00FC3C49">
      <w:pPr>
        <w:spacing w:before="60"/>
        <w:ind w:left="259"/>
        <w:rPr>
          <w:rFonts w:ascii="Calibri" w:hAnsi="Calibri" w:cs="Calibri"/>
        </w:rPr>
      </w:pPr>
      <w:r>
        <w:rPr>
          <w:rFonts w:ascii="Calibri" w:hAnsi="Calibri"/>
          <w:color w:val="000000"/>
          <w:sz w:val="22"/>
        </w:rPr>
        <w:t>Вебдодаток 4.12 LF-LAM для виявлення активної форми туберкульозу у людей, які живуть з ВІЛ: оновлений систематичний огляд</w:t>
      </w:r>
    </w:p>
    <w:p w:rsidR="00ED665B" w:rsidRPr="00907702" w:rsidRDefault="00ED665B" w:rsidP="00FC3C49">
      <w:pPr>
        <w:spacing w:before="60"/>
        <w:ind w:left="259" w:right="2112"/>
        <w:rPr>
          <w:rFonts w:ascii="Calibri" w:hAnsi="Calibri" w:cs="Calibri"/>
        </w:rPr>
        <w:sectPr w:rsidR="00ED665B" w:rsidRPr="00907702" w:rsidSect="00FC3C49">
          <w:pgSz w:w="11904" w:h="16838"/>
          <w:pgMar w:top="1296" w:right="1414" w:bottom="4829" w:left="1416" w:header="720" w:footer="720" w:gutter="0"/>
          <w:cols w:space="60"/>
          <w:noEndnote/>
        </w:sectPr>
      </w:pPr>
    </w:p>
    <w:p w:rsidR="00ED665B" w:rsidRPr="00907702" w:rsidRDefault="006C7D2F" w:rsidP="00FC3C49">
      <w:pPr>
        <w:ind w:left="284" w:right="141"/>
        <w:rPr>
          <w:rFonts w:ascii="Calibri" w:hAnsi="Calibri" w:cs="Calibri"/>
        </w:rPr>
      </w:pPr>
      <w:r>
        <w:rPr>
          <w:rFonts w:ascii="Calibri" w:hAnsi="Calibri"/>
          <w:color w:val="000000"/>
          <w:sz w:val="22"/>
        </w:rPr>
        <w:lastRenderedPageBreak/>
        <w:t>Вебдодаток 4.13 Економічні оцінки LF-LAM для діагностики активної форми туберкульозу у ВІЛ-позитивних осіб: оновлений систематичний огляд</w:t>
      </w:r>
    </w:p>
    <w:p w:rsidR="00ED665B" w:rsidRPr="00907702" w:rsidRDefault="006C7D2F" w:rsidP="00FC3C49">
      <w:pPr>
        <w:spacing w:before="60"/>
        <w:ind w:left="284" w:right="141"/>
        <w:rPr>
          <w:rFonts w:ascii="Calibri" w:hAnsi="Calibri" w:cs="Calibri"/>
        </w:rPr>
      </w:pPr>
      <w:r>
        <w:rPr>
          <w:rFonts w:ascii="Calibri" w:hAnsi="Calibri"/>
          <w:color w:val="000000"/>
          <w:sz w:val="22"/>
        </w:rPr>
        <w:t>Вебдодаток 4.14 Перспективи запровадження тесту LF-LAM для діагностики активної форми туберкульозу: результати якісного дослідження</w:t>
      </w:r>
    </w:p>
    <w:p w:rsidR="00ED665B" w:rsidRPr="00907702" w:rsidRDefault="006C7D2F" w:rsidP="00FC3C49">
      <w:pPr>
        <w:spacing w:before="60"/>
        <w:ind w:left="284" w:right="141"/>
        <w:rPr>
          <w:rFonts w:ascii="Calibri" w:hAnsi="Calibri" w:cs="Calibri"/>
        </w:rPr>
      </w:pPr>
      <w:r>
        <w:rPr>
          <w:rFonts w:ascii="Calibri" w:hAnsi="Calibri"/>
          <w:color w:val="000000"/>
          <w:sz w:val="22"/>
        </w:rPr>
        <w:t>Вебдодаток 4.15 Автоматизовані ТАНК низької складності: Діагностична точність для виявлення резистентності до ізоніазидів та протитуберкульозних препаратів другого ряду. Систематичний огляд</w:t>
      </w:r>
    </w:p>
    <w:p w:rsidR="00ED665B" w:rsidRPr="00907702" w:rsidRDefault="006C7D2F" w:rsidP="00FC3C49">
      <w:pPr>
        <w:spacing w:before="60"/>
        <w:ind w:left="284" w:right="141"/>
        <w:rPr>
          <w:rFonts w:ascii="Calibri" w:hAnsi="Calibri" w:cs="Calibri"/>
        </w:rPr>
      </w:pPr>
      <w:r>
        <w:rPr>
          <w:rFonts w:ascii="Calibri" w:hAnsi="Calibri"/>
          <w:color w:val="000000"/>
          <w:sz w:val="22"/>
        </w:rPr>
        <w:t>Вебдодаток 4.16 Концентрації лікарських засобів, що використовуються в тестах медикаментозної чутливості на основі посівів для включених досліджень щодо діагностичної точності лінійних зонд-аналізів препаратів другої лінії</w:t>
      </w:r>
    </w:p>
    <w:p w:rsidR="00ED665B" w:rsidRPr="00907702" w:rsidRDefault="006C7D2F" w:rsidP="00FC3C49">
      <w:pPr>
        <w:spacing w:before="60"/>
        <w:ind w:left="284" w:right="141"/>
        <w:rPr>
          <w:rFonts w:ascii="Calibri" w:hAnsi="Calibri" w:cs="Calibri"/>
        </w:rPr>
      </w:pPr>
      <w:r>
        <w:rPr>
          <w:rFonts w:ascii="Calibri" w:hAnsi="Calibri"/>
          <w:color w:val="000000"/>
          <w:sz w:val="22"/>
        </w:rPr>
        <w:t>Вебдодаток 4.17 ТАНК високої складності на основі зворотної гібридизації: Діагностична точність для виявлення резистентності до піразинаміду. Систематичний огляд</w:t>
      </w:r>
    </w:p>
    <w:p w:rsidR="00ED665B" w:rsidRDefault="00CD1F71" w:rsidP="00DC2656">
      <w:pPr>
        <w:spacing w:before="110"/>
        <w:ind w:right="422"/>
        <w:rPr>
          <w:rFonts w:ascii="Calibri" w:hAnsi="Calibri" w:cs="Calibri"/>
        </w:rPr>
      </w:pPr>
      <w:r>
        <w:rPr>
          <w:rFonts w:ascii="Calibri" w:hAnsi="Calibri"/>
          <w:noProof/>
          <w:color w:val="000000"/>
          <w:sz w:val="22"/>
          <w:lang w:val="en-US" w:bidi="ar-SA"/>
        </w:rPr>
        <w:drawing>
          <wp:anchor distT="0" distB="0" distL="6400800" distR="6400800" simplePos="0" relativeHeight="251643904" behindDoc="0" locked="0" layoutInCell="0" allowOverlap="1">
            <wp:simplePos x="0" y="0"/>
            <wp:positionH relativeFrom="page">
              <wp:posOffset>0</wp:posOffset>
            </wp:positionH>
            <wp:positionV relativeFrom="page">
              <wp:posOffset>8345805</wp:posOffset>
            </wp:positionV>
            <wp:extent cx="7562850" cy="2486025"/>
            <wp:effectExtent l="0" t="0" r="0" b="0"/>
            <wp:wrapNone/>
            <wp:docPr id="2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C49" w:rsidRPr="00907702" w:rsidRDefault="00FC3C49" w:rsidP="00DC2656">
      <w:pPr>
        <w:spacing w:before="110"/>
        <w:ind w:right="422"/>
        <w:rPr>
          <w:rFonts w:ascii="Calibri" w:hAnsi="Calibri" w:cs="Calibri"/>
        </w:rPr>
        <w:sectPr w:rsidR="00FC3C49" w:rsidRPr="00907702" w:rsidSect="00FC3C49">
          <w:pgSz w:w="11904" w:h="16838"/>
          <w:pgMar w:top="1339" w:right="1414" w:bottom="8364" w:left="1418" w:header="720" w:footer="720" w:gutter="0"/>
          <w:cols w:space="60"/>
          <w:noEndnote/>
        </w:sectPr>
      </w:pPr>
    </w:p>
    <w:p w:rsidR="00ED665B" w:rsidRPr="000A7B71" w:rsidRDefault="00CD1F71" w:rsidP="00DC2656">
      <w:pPr>
        <w:rPr>
          <w:rFonts w:ascii="Calibri" w:hAnsi="Calibri" w:cs="Calibri"/>
          <w:color w:val="009649"/>
        </w:rPr>
      </w:pPr>
      <w:bookmarkStart w:id="0" w:name="bookmark0"/>
      <w:r>
        <w:rPr>
          <w:rFonts w:ascii="Calibri" w:hAnsi="Calibri"/>
          <w:noProof/>
          <w:color w:val="009649"/>
          <w:sz w:val="62"/>
          <w:lang w:val="en-US" w:bidi="ar-SA"/>
        </w:rPr>
        <w:lastRenderedPageBreak/>
        <w:drawing>
          <wp:anchor distT="0" distB="0" distL="6400800" distR="6400800" simplePos="0" relativeHeight="251644928" behindDoc="1" locked="0" layoutInCell="0" allowOverlap="1">
            <wp:simplePos x="0" y="0"/>
            <wp:positionH relativeFrom="page">
              <wp:posOffset>0</wp:posOffset>
            </wp:positionH>
            <wp:positionV relativeFrom="page">
              <wp:posOffset>0</wp:posOffset>
            </wp:positionV>
            <wp:extent cx="7562850" cy="1743075"/>
            <wp:effectExtent l="0" t="0" r="0" b="0"/>
            <wp:wrapNone/>
            <wp:docPr id="2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9649"/>
          <w:sz w:val="62"/>
        </w:rPr>
        <w:t>П</w:t>
      </w:r>
      <w:bookmarkEnd w:id="0"/>
      <w:r>
        <w:rPr>
          <w:rFonts w:ascii="Calibri" w:hAnsi="Calibri"/>
          <w:color w:val="009649"/>
          <w:sz w:val="62"/>
        </w:rPr>
        <w:t>одяка</w:t>
      </w:r>
    </w:p>
    <w:p w:rsidR="00ED665B" w:rsidRPr="00907702" w:rsidRDefault="006C7D2F" w:rsidP="00FC3C49">
      <w:pPr>
        <w:spacing w:before="600"/>
        <w:jc w:val="both"/>
        <w:rPr>
          <w:rFonts w:ascii="Calibri" w:hAnsi="Calibri" w:cs="Calibri"/>
        </w:rPr>
      </w:pPr>
      <w:r>
        <w:rPr>
          <w:rFonts w:ascii="Calibri" w:hAnsi="Calibri"/>
          <w:color w:val="000000"/>
          <w:sz w:val="22"/>
        </w:rPr>
        <w:t>Рекомендації та зауваження у цій настанові із боротьби з туберкульозом (ТБ) є результатом спільних зусиль експертів різних спеціальностей. Всесвітня організація охорони здоров’я (ВООЗ) вдячна їм усім за час та підтримку. Кожне керівництво, включене до цього консолідованого керівництва, розроблено окремою групою з розробки керівництва (ГРН); отже, наведені нижче подяки відносяться до кожного керівництва ВООЗ.</w:t>
      </w:r>
    </w:p>
    <w:p w:rsidR="00ED665B" w:rsidRPr="000A7B71" w:rsidRDefault="006C7D2F" w:rsidP="000A7B71">
      <w:pPr>
        <w:spacing w:before="326"/>
        <w:ind w:left="34"/>
        <w:rPr>
          <w:rFonts w:ascii="Calibri" w:hAnsi="Calibri" w:cs="Calibri"/>
          <w:b/>
          <w:bCs/>
          <w:color w:val="009649"/>
        </w:rPr>
      </w:pPr>
      <w:r>
        <w:rPr>
          <w:rFonts w:ascii="Calibri" w:hAnsi="Calibri"/>
          <w:b/>
          <w:color w:val="009649"/>
          <w:sz w:val="38"/>
        </w:rPr>
        <w:t>Молекулярні аналізи, котрі використовуються як первинні тести</w:t>
      </w:r>
      <w:r>
        <w:rPr>
          <w:rFonts w:ascii="Calibri" w:hAnsi="Calibri"/>
          <w:b/>
          <w:color w:val="009649"/>
          <w:sz w:val="38"/>
          <w:vertAlign w:val="superscript"/>
        </w:rPr>
        <w:t>1</w:t>
      </w:r>
    </w:p>
    <w:p w:rsidR="00ED665B" w:rsidRPr="000A7B71" w:rsidRDefault="006C7D2F" w:rsidP="000A7B71">
      <w:pPr>
        <w:spacing w:before="211"/>
        <w:ind w:left="34"/>
        <w:rPr>
          <w:rFonts w:ascii="Calibri" w:hAnsi="Calibri" w:cs="Calibri"/>
          <w:b/>
          <w:bCs/>
          <w:color w:val="009649"/>
        </w:rPr>
      </w:pPr>
      <w:r>
        <w:rPr>
          <w:rFonts w:ascii="Calibri" w:hAnsi="Calibri"/>
          <w:b/>
          <w:color w:val="009649"/>
          <w:sz w:val="28"/>
        </w:rPr>
        <w:t>Група з розробки настанов</w:t>
      </w:r>
    </w:p>
    <w:p w:rsidR="00ED665B" w:rsidRPr="00907702" w:rsidRDefault="006C7D2F" w:rsidP="00DC2656">
      <w:pPr>
        <w:spacing w:before="163"/>
        <w:jc w:val="both"/>
        <w:rPr>
          <w:rFonts w:ascii="Calibri" w:hAnsi="Calibri" w:cs="Calibri"/>
        </w:rPr>
      </w:pPr>
      <w:r>
        <w:rPr>
          <w:rFonts w:ascii="Calibri" w:hAnsi="Calibri"/>
          <w:color w:val="000000"/>
          <w:sz w:val="22"/>
        </w:rPr>
        <w:t>Viet Nhung Nguyen (співголова), Національна програма протидії туберкульозу, Міністр охорони здоров’я, Ханой, В’єтнам; Holger Schünemann (співголова), Університет МакМастера, Гамільтон, Канада; Denise Arakaki-Sanchez, Міністр охорони здоров’я, Бразиліа, Бразилія; David Branigan, Група «Дієве лікування, Нью-Йорк, Сполучені Штати Америки (США); Petra de Haas, Фонд протидії туберкульозу KNCV, Гаага, Нідерланди; Patricia Hall, Центри контролю та профілактики захворювань (ЦКЗ), Атланта, США; Rumina Hasan, кафедра патології та мікробіології, Університет Ага Хан, Карачі, Пакистан; Nagalineswaran Kumarasamy, головний лікар, Науково-освітній центр із дослідження СНІДу, надання безкоштовних медичних послуг, Ченнаї, Індія; Leen Rigouts, Інститут тропічної медицини імені Принца Леопольда, Брюссель, Бельгія; Thomas Shinnick, незалежний консультант, Атланта, США; Sabira Tahseen, Національна програма боротьби з туберкульозом, Міністерство з питань регулювання та координації національних служб охорони здоров’я, уряд Пакистану, Ісламабад, Пакистан; Ezio Tavora Dos Santos Filho, член спеціальної групи громадянського суспільства, Ріо-де-Жанейро, Бразилія; Mercy Annapoorani Thiruthuvadoss, «Blossom Trust», Таміл Наду, Індія; Carrie Tudor, директор проекту з туберкульозу, Міжнародна рада медсестер, Дурбан, Південно-Африканська Республіка; Діана Вахрушева, Національний медичний науково-дослідний центр фтизіопульмонології та інфекційних хвороб, Єкатеринбург, Російська Федерація; Анна Вассалл, лектор з економіки здоров’я, Лондонська школа гігієни та тропічної медицини (LSHTM), Лондон, Сполучене Королівство Великої Британії і Північної Ірландії (Великобританія); та Zhao Yanlin, Національний центр боротьби з туберкульозом, Китай ЦКЗ, Пекін, Китай.</w:t>
      </w:r>
    </w:p>
    <w:p w:rsidR="00ED665B" w:rsidRPr="000A7B71" w:rsidRDefault="006C7D2F" w:rsidP="000A7B71">
      <w:pPr>
        <w:spacing w:before="240"/>
        <w:ind w:left="34"/>
        <w:rPr>
          <w:rFonts w:ascii="Calibri" w:hAnsi="Calibri" w:cs="Calibri"/>
          <w:b/>
          <w:bCs/>
          <w:color w:val="009649"/>
        </w:rPr>
      </w:pPr>
      <w:r>
        <w:rPr>
          <w:rFonts w:ascii="Calibri" w:hAnsi="Calibri"/>
          <w:b/>
          <w:color w:val="009649"/>
          <w:sz w:val="28"/>
        </w:rPr>
        <w:t>Група зовнішнього рецензування</w:t>
      </w:r>
    </w:p>
    <w:p w:rsidR="00ED665B" w:rsidRPr="00907702" w:rsidRDefault="006C7D2F" w:rsidP="00DC2656">
      <w:pPr>
        <w:spacing w:before="168"/>
        <w:ind w:right="5"/>
        <w:jc w:val="both"/>
        <w:rPr>
          <w:rFonts w:ascii="Calibri" w:hAnsi="Calibri" w:cs="Calibri"/>
        </w:rPr>
      </w:pPr>
      <w:r>
        <w:rPr>
          <w:rFonts w:ascii="Calibri" w:hAnsi="Calibri"/>
          <w:color w:val="000000"/>
          <w:sz w:val="22"/>
        </w:rPr>
        <w:t>Martina Casenghi, Фонд дитячих СНІДів Елізабет Глазер, Вашингтон, США; Jeremiah Chakaya Muhwa, Міжнародний союз боротьби з туберкульозом та легеневими захворюваннями, Найробі, Кенія; Moses Joloba, Угандійська міждержавна довідкова лабораторія (ННРЛ), Кампала, Уганда; Katharina Kranzer, LSHTM, Лондон, Великобританія; Lindiwe Mvusi, НТП, Преторія, Південно-Африканська Республіка;</w:t>
      </w:r>
    </w:p>
    <w:p w:rsidR="000A7B71" w:rsidRPr="000A7B71" w:rsidRDefault="000A7B71" w:rsidP="00DC2656">
      <w:pPr>
        <w:spacing w:before="422"/>
        <w:ind w:left="10"/>
        <w:rPr>
          <w:rFonts w:ascii="Calibri" w:hAnsi="Calibri" w:cs="Calibri"/>
          <w:color w:val="000000"/>
          <w:sz w:val="16"/>
          <w:szCs w:val="16"/>
          <w:u w:val="single"/>
          <w:vertAlign w:val="superscript"/>
        </w:rPr>
      </w:pPr>
      <w:r>
        <w:rPr>
          <w:rFonts w:ascii="Calibri" w:hAnsi="Calibri"/>
          <w:color w:val="000000"/>
          <w:sz w:val="16"/>
          <w:u w:val="single"/>
          <w:vertAlign w:val="superscript"/>
        </w:rPr>
        <w:tab/>
      </w:r>
      <w:r>
        <w:rPr>
          <w:rFonts w:ascii="Calibri" w:hAnsi="Calibri"/>
          <w:color w:val="000000"/>
          <w:sz w:val="16"/>
          <w:u w:val="single"/>
          <w:vertAlign w:val="superscript"/>
        </w:rPr>
        <w:tab/>
      </w:r>
      <w:r>
        <w:rPr>
          <w:rFonts w:ascii="Calibri" w:hAnsi="Calibri"/>
          <w:color w:val="000000"/>
          <w:sz w:val="16"/>
          <w:u w:val="single"/>
          <w:vertAlign w:val="superscript"/>
        </w:rPr>
        <w:tab/>
      </w:r>
    </w:p>
    <w:p w:rsidR="00ED665B" w:rsidRPr="00907702" w:rsidRDefault="006C7D2F" w:rsidP="000A7B71">
      <w:pPr>
        <w:ind w:left="10"/>
        <w:rPr>
          <w:rFonts w:ascii="Calibri" w:hAnsi="Calibri" w:cs="Calibri"/>
        </w:rPr>
      </w:pPr>
      <w:r>
        <w:rPr>
          <w:rFonts w:ascii="Calibri" w:hAnsi="Calibri"/>
          <w:color w:val="000000"/>
          <w:sz w:val="16"/>
          <w:vertAlign w:val="superscript"/>
        </w:rPr>
        <w:t>1</w:t>
      </w:r>
      <w:r>
        <w:rPr>
          <w:rFonts w:ascii="Calibri" w:hAnsi="Calibri"/>
          <w:color w:val="000000"/>
          <w:sz w:val="16"/>
        </w:rPr>
        <w:t xml:space="preserve"> Xpert MTB/RIF і Xpert MTB/RIF (Ultra); Truenat MTB, Truenat MTB Plus і Truenat MTB-RIF Dx</w:t>
      </w:r>
    </w:p>
    <w:p w:rsidR="00ED665B" w:rsidRPr="00907702" w:rsidRDefault="00ED665B" w:rsidP="00DC2656">
      <w:pPr>
        <w:spacing w:before="422"/>
        <w:ind w:left="10"/>
        <w:rPr>
          <w:rFonts w:ascii="Calibri" w:hAnsi="Calibri" w:cs="Calibri"/>
        </w:rPr>
        <w:sectPr w:rsidR="00ED665B" w:rsidRPr="00907702">
          <w:footerReference w:type="default" r:id="rId15"/>
          <w:pgSz w:w="11904" w:h="16838"/>
          <w:pgMar w:top="2261" w:right="1421" w:bottom="1373" w:left="1421" w:header="720" w:footer="720" w:gutter="0"/>
          <w:cols w:space="60"/>
          <w:noEndnote/>
        </w:sectPr>
      </w:pPr>
    </w:p>
    <w:p w:rsidR="00ED665B" w:rsidRPr="00907702" w:rsidRDefault="006C7D2F" w:rsidP="00DC2656">
      <w:pPr>
        <w:ind w:right="5"/>
        <w:jc w:val="both"/>
        <w:rPr>
          <w:rFonts w:ascii="Calibri" w:hAnsi="Calibri" w:cs="Calibri"/>
        </w:rPr>
      </w:pPr>
      <w:r>
        <w:rPr>
          <w:rFonts w:ascii="Calibri" w:hAnsi="Calibri"/>
          <w:color w:val="000000"/>
          <w:sz w:val="22"/>
        </w:rPr>
        <w:lastRenderedPageBreak/>
        <w:t>Norbert Ndjeka, НТП, Преторія, Південно-Африканська Республіка; Marieke van der Werf, ECDC, Стокгольм, Швеція; Francis Varaine, «Лікарі без кордонів» (Médecins Sans Frontières), Париж, Франція.</w:t>
      </w:r>
    </w:p>
    <w:p w:rsidR="00ED665B" w:rsidRPr="000A7B71" w:rsidRDefault="006C7D2F" w:rsidP="00DC2656">
      <w:pPr>
        <w:spacing w:before="230"/>
        <w:rPr>
          <w:rFonts w:ascii="Calibri" w:hAnsi="Calibri" w:cs="Calibri"/>
          <w:b/>
          <w:bCs/>
          <w:color w:val="009649"/>
        </w:rPr>
      </w:pPr>
      <w:r>
        <w:rPr>
          <w:rFonts w:ascii="Calibri" w:hAnsi="Calibri"/>
          <w:b/>
          <w:color w:val="009649"/>
          <w:sz w:val="28"/>
        </w:rPr>
        <w:t>Команда систематичного огляду</w:t>
      </w:r>
    </w:p>
    <w:p w:rsidR="00ED665B" w:rsidRPr="00907702" w:rsidRDefault="006C7D2F" w:rsidP="00DC2656">
      <w:pPr>
        <w:spacing w:before="168"/>
        <w:jc w:val="both"/>
        <w:rPr>
          <w:rFonts w:ascii="Calibri" w:hAnsi="Calibri" w:cs="Calibri"/>
        </w:rPr>
      </w:pPr>
      <w:r>
        <w:rPr>
          <w:rFonts w:ascii="Calibri" w:hAnsi="Calibri"/>
          <w:color w:val="000000"/>
          <w:sz w:val="22"/>
        </w:rPr>
        <w:t>Flor Lucia Gonzalez Fernandez, Міжнародне товариство боротьби проти СНІДу, Женева, Швейцарія; Frederick Haraka, Інститут охорони здоров’я Іфакара, Багамойо, Об’єднана Республіка Танзанія; David J Horne, Університет Вашингтона, Сіетл, США; Alexander Kay, Медичний коледж Бейлора, Г’юстон, США; Mikashmi Kohli, Університет Макгілла, Монреаль, Канада; Anna M Mandalakas, Медичний коледж Бейлора, Г’юстон, США; Eleanor Ochodo, університет Стелленбоша, Стелленбош, Південно-Африканська Республіка; Klaus Reither, Інститут охорони здоров’я Іфакара, Багамойо, Об’єднана Республіка Танзанія; Karen Steingart, група дослідження інфекційних хвороб Кокрейна, Ліверпульська школа тропічної медицини, Портленд, США; Yemisi Takwoingi, Інститут прикладних досліджень у галузі охорони здоров’я, Бірмінгемський університет, Бірмінгем, Великобританія; Jerry Zifodya, Університет Тулана, Новий Орлеан, США; та Alice Zwerling, Школа епідеміології та охорони здоров’я, Оттавський університет, Канада.</w:t>
      </w:r>
    </w:p>
    <w:p w:rsidR="00ED665B" w:rsidRPr="000A7B71" w:rsidRDefault="006C7D2F" w:rsidP="00DC2656">
      <w:pPr>
        <w:spacing w:before="230"/>
        <w:rPr>
          <w:rFonts w:ascii="Calibri" w:hAnsi="Calibri" w:cs="Calibri"/>
          <w:b/>
          <w:bCs/>
          <w:color w:val="009649"/>
        </w:rPr>
      </w:pPr>
      <w:r>
        <w:rPr>
          <w:rFonts w:ascii="Calibri" w:hAnsi="Calibri"/>
          <w:b/>
          <w:color w:val="009649"/>
          <w:sz w:val="28"/>
        </w:rPr>
        <w:t>Консультанти з додатковим технічним досвідом</w:t>
      </w:r>
    </w:p>
    <w:p w:rsidR="00ED665B" w:rsidRPr="00907702" w:rsidRDefault="006C7D2F" w:rsidP="00DC2656">
      <w:pPr>
        <w:spacing w:before="168"/>
        <w:ind w:right="5"/>
        <w:jc w:val="both"/>
        <w:rPr>
          <w:rFonts w:ascii="Calibri" w:hAnsi="Calibri" w:cs="Calibri"/>
        </w:rPr>
      </w:pPr>
      <w:r>
        <w:rPr>
          <w:rFonts w:ascii="Calibri" w:hAnsi="Calibri"/>
          <w:color w:val="000000"/>
          <w:sz w:val="22"/>
        </w:rPr>
        <w:t>Daniela Cirillo, Лікарня Сан-Рафаеле, Мілан, Італія; Luis Cuevas, Ліверпульська школа тропічної медицини, Ліверпуль, Великобританія; Nora Engel, Маастрихтський університет, Нідерланди; Anisa Hajizadeh, Університет МакМастера, Гамільтон, Канада; Nazir Ismail, Центр туберкульозу, Національний інститут інфекційних хвороб, Йоганнесбург, Південно-Африканська Республіка; Tamara Lotfi, медичний факультет Американського університету Бейрута, Бейрут, Ліван; Adam Penn-Nicholson, Фонд інноваційної діагностики (FIND), Женева, Швейцарія; Samuel Schumacher, FIND, Женева, Швейцарія; Rosa Stalteri, Університет МакМастера, Гамільтон, Канада; та Elisabetta Walters, протитуберкульозний центр Дезмонда Туту, кафедра педіатрії та здоров’я дітей, університет Стелленбоша, Кейптаун, Південно-Африканська Республіка.</w:t>
      </w:r>
    </w:p>
    <w:p w:rsidR="00ED665B" w:rsidRPr="000A7B71" w:rsidRDefault="006C7D2F" w:rsidP="00DC2656">
      <w:pPr>
        <w:spacing w:before="230"/>
        <w:rPr>
          <w:rFonts w:ascii="Calibri" w:hAnsi="Calibri" w:cs="Calibri"/>
          <w:b/>
          <w:bCs/>
          <w:color w:val="009649"/>
        </w:rPr>
      </w:pPr>
      <w:r>
        <w:rPr>
          <w:rFonts w:ascii="Calibri" w:hAnsi="Calibri"/>
          <w:b/>
          <w:color w:val="009649"/>
          <w:sz w:val="28"/>
        </w:rPr>
        <w:t>Оглядачі</w:t>
      </w:r>
    </w:p>
    <w:p w:rsidR="00ED665B" w:rsidRPr="00907702" w:rsidRDefault="006C7D2F" w:rsidP="00DC2656">
      <w:pPr>
        <w:spacing w:before="168"/>
        <w:ind w:right="5"/>
        <w:jc w:val="both"/>
        <w:rPr>
          <w:rFonts w:ascii="Calibri" w:hAnsi="Calibri" w:cs="Calibri"/>
        </w:rPr>
      </w:pPr>
      <w:r>
        <w:rPr>
          <w:rFonts w:ascii="Calibri" w:hAnsi="Calibri"/>
          <w:color w:val="000000"/>
          <w:sz w:val="22"/>
        </w:rPr>
        <w:t>Karen Heichman, Інноваційні технологічні рішення, Global Health, Фонд Білла та Мелінди Гейтс, Сіетл, США; Tamara Kredo, Південноафриканська рада з медичних досліджень, Кейптаун, Південно-Африканська Республіка; Amy Piatek, Агентство США з міжнародного розвитку (USAID), Вашингтон, США; Morten Ruhwald, FIND, Женева, Швейцарія; Raynal Squires, Лабораторії громадського здоров’я, Регіональне бюро ВООЗ у Східному Середземномор’ї, Каїр, Єгипет; Wayne van Gemert, Ринкові стратегії діагностики туберкульозу, Партнерство «Зупинимо туберкульоз», Женева, Швейцарія; та Mohammed Yassin, Глобальний фонд для боротьби зі СНІДом, туберкульозом та малярією.</w:t>
      </w:r>
    </w:p>
    <w:p w:rsidR="00ED665B" w:rsidRPr="000A7B71" w:rsidRDefault="006C7D2F" w:rsidP="00DC2656">
      <w:pPr>
        <w:spacing w:before="230"/>
        <w:rPr>
          <w:rFonts w:ascii="Calibri" w:hAnsi="Calibri" w:cs="Calibri"/>
          <w:b/>
          <w:bCs/>
          <w:color w:val="009649"/>
        </w:rPr>
      </w:pPr>
      <w:r>
        <w:rPr>
          <w:rFonts w:ascii="Calibri" w:hAnsi="Calibri"/>
          <w:b/>
          <w:color w:val="009649"/>
          <w:sz w:val="28"/>
        </w:rPr>
        <w:t>Керівний комітет ВООЗ</w:t>
      </w:r>
    </w:p>
    <w:p w:rsidR="00ED665B" w:rsidRPr="00907702" w:rsidRDefault="006C7D2F" w:rsidP="00DC2656">
      <w:pPr>
        <w:spacing w:before="168"/>
        <w:ind w:right="5"/>
        <w:jc w:val="both"/>
        <w:rPr>
          <w:rFonts w:ascii="Calibri" w:hAnsi="Calibri" w:cs="Calibri"/>
        </w:rPr>
      </w:pPr>
      <w:r>
        <w:rPr>
          <w:rFonts w:ascii="Calibri" w:hAnsi="Calibri"/>
          <w:color w:val="000000"/>
          <w:sz w:val="22"/>
        </w:rPr>
        <w:t>Роботу над цим керівництвом курирував Олексій Коробіцин за участю Dennis Falzon, Cecily Miller,Charalampos (Babis) Sismanidis, Irwin Law, Philippe Glaziou, Katherine Floyd, Фуада Мірзаєва та Анни Стукалової (усі вони є учасниками Глобальної програми протидії туберкульозу ВООЗ), Lara Vojnov та Sathvinder Singh (обидва – представники Глобальної програми протидії ВІЛ-інфекції), Sadia Siddiqui (секретаріат EDL), Jean de Dieu Iragena (ВООЗ / АФРО) під загальною координацією Matteo Zignol та Karin Weyer (Глобальна програма протидії туберкульозу ВООЗ) та керівництвом Tereza Kasaeva (директор Глобальної програми протидії туберкульозу ВООЗ).</w:t>
      </w:r>
    </w:p>
    <w:p w:rsidR="00ED665B" w:rsidRPr="00907702" w:rsidRDefault="00ED665B" w:rsidP="00DC2656">
      <w:pPr>
        <w:spacing w:before="168"/>
        <w:ind w:right="5"/>
        <w:jc w:val="both"/>
        <w:rPr>
          <w:rFonts w:ascii="Calibri" w:hAnsi="Calibri" w:cs="Calibri"/>
        </w:rPr>
        <w:sectPr w:rsidR="00ED665B" w:rsidRPr="00907702" w:rsidSect="00ED5D96">
          <w:footerReference w:type="even" r:id="rId16"/>
          <w:pgSz w:w="11904" w:h="16838"/>
          <w:pgMar w:top="1334" w:right="1411" w:bottom="1368" w:left="1416" w:header="720" w:footer="720" w:gutter="0"/>
          <w:cols w:space="60"/>
          <w:noEndnote/>
          <w:docGrid w:linePitch="272"/>
        </w:sectPr>
      </w:pPr>
    </w:p>
    <w:p w:rsidR="00ED665B" w:rsidRPr="000A7B71" w:rsidRDefault="006C7D2F" w:rsidP="00DC2656">
      <w:pPr>
        <w:rPr>
          <w:rFonts w:ascii="Calibri" w:hAnsi="Calibri" w:cs="Calibri"/>
          <w:b/>
          <w:bCs/>
          <w:color w:val="009649"/>
        </w:rPr>
      </w:pPr>
      <w:r>
        <w:rPr>
          <w:rFonts w:ascii="Calibri" w:hAnsi="Calibri"/>
          <w:b/>
          <w:color w:val="009649"/>
          <w:sz w:val="28"/>
        </w:rPr>
        <w:lastRenderedPageBreak/>
        <w:t>Фінансування</w:t>
      </w:r>
    </w:p>
    <w:p w:rsidR="00ED665B" w:rsidRPr="00907702" w:rsidRDefault="006C7D2F" w:rsidP="00DC2656">
      <w:pPr>
        <w:spacing w:before="168"/>
        <w:jc w:val="both"/>
        <w:rPr>
          <w:rFonts w:ascii="Calibri" w:hAnsi="Calibri" w:cs="Calibri"/>
        </w:rPr>
      </w:pPr>
      <w:r>
        <w:rPr>
          <w:rFonts w:ascii="Calibri" w:hAnsi="Calibri"/>
          <w:color w:val="000000"/>
          <w:sz w:val="22"/>
        </w:rPr>
        <w:t>Також висловлюємо подяку за фінансування з боку USAID через консолідований грант USAID – WHO №. US-2016–0961. Погляди фінансового агентства не вплинули на розробку та зміст цього керівництва.</w:t>
      </w:r>
    </w:p>
    <w:p w:rsidR="00ED665B" w:rsidRPr="000A7B71" w:rsidRDefault="006C7D2F" w:rsidP="00DC2656">
      <w:pPr>
        <w:spacing w:before="317"/>
        <w:rPr>
          <w:rFonts w:ascii="Calibri" w:hAnsi="Calibri" w:cs="Calibri"/>
          <w:b/>
          <w:bCs/>
          <w:color w:val="009649"/>
        </w:rPr>
      </w:pPr>
      <w:r>
        <w:rPr>
          <w:rFonts w:ascii="Calibri" w:hAnsi="Calibri"/>
          <w:b/>
          <w:color w:val="009649"/>
          <w:sz w:val="38"/>
        </w:rPr>
        <w:t>Петльова ізотермічна ампліфікація</w:t>
      </w:r>
    </w:p>
    <w:p w:rsidR="00ED665B" w:rsidRPr="00907702" w:rsidRDefault="006C7D2F" w:rsidP="00DC2656">
      <w:pPr>
        <w:spacing w:before="149"/>
        <w:jc w:val="both"/>
        <w:rPr>
          <w:rFonts w:ascii="Calibri" w:hAnsi="Calibri" w:cs="Calibri"/>
        </w:rPr>
      </w:pPr>
      <w:r>
        <w:rPr>
          <w:rFonts w:ascii="Calibri" w:hAnsi="Calibri"/>
          <w:color w:val="000000"/>
          <w:sz w:val="22"/>
        </w:rPr>
        <w:t>Відповідний розділ цього документу був підготовлений Christopher Gilpin та Олексієм Коробіциним за участю Wayne van Gemert та Karin Weyer (усі – учасники Глобальної програми боротьби з туберкульозом ВООЗ) на основі консенсусу, узгодженого на засіданні ГРН, скликаному ВООЗ на онлайн вебінарі, що проходив 16 січня 2016 року.</w:t>
      </w:r>
    </w:p>
    <w:p w:rsidR="00ED665B" w:rsidRPr="000A7B71" w:rsidRDefault="006C7D2F" w:rsidP="00DC2656">
      <w:pPr>
        <w:spacing w:before="230"/>
        <w:rPr>
          <w:rFonts w:ascii="Calibri" w:hAnsi="Calibri" w:cs="Calibri"/>
          <w:b/>
          <w:bCs/>
          <w:color w:val="009649"/>
        </w:rPr>
      </w:pPr>
      <w:r>
        <w:rPr>
          <w:rFonts w:ascii="Calibri" w:hAnsi="Calibri"/>
          <w:b/>
          <w:color w:val="009649"/>
          <w:sz w:val="28"/>
        </w:rPr>
        <w:t>Керівна група ВООЗ</w:t>
      </w:r>
    </w:p>
    <w:p w:rsidR="00ED665B" w:rsidRPr="00907702" w:rsidRDefault="006C7D2F" w:rsidP="00DC2656">
      <w:pPr>
        <w:spacing w:before="163"/>
        <w:jc w:val="both"/>
        <w:rPr>
          <w:rFonts w:ascii="Calibri" w:hAnsi="Calibri" w:cs="Calibri"/>
        </w:rPr>
      </w:pPr>
      <w:r>
        <w:rPr>
          <w:rFonts w:ascii="Calibri" w:hAnsi="Calibri"/>
          <w:color w:val="000000"/>
          <w:sz w:val="22"/>
        </w:rPr>
        <w:t>Christopher Gilpin, Олексій Коробіцин, Фуад Мірзаєв, Wayne van Gemert та Karin Weyer (усі – учасники Глобальної програми боротьби з туберкульозом ВООЗ).</w:t>
      </w:r>
    </w:p>
    <w:p w:rsidR="00ED665B" w:rsidRPr="000A7B71" w:rsidRDefault="006C7D2F" w:rsidP="00DC2656">
      <w:pPr>
        <w:spacing w:before="230"/>
        <w:rPr>
          <w:rFonts w:ascii="Calibri" w:hAnsi="Calibri" w:cs="Calibri"/>
          <w:b/>
          <w:bCs/>
          <w:color w:val="009649"/>
        </w:rPr>
      </w:pPr>
      <w:r>
        <w:rPr>
          <w:rFonts w:ascii="Calibri" w:hAnsi="Calibri"/>
          <w:b/>
          <w:color w:val="009649"/>
          <w:sz w:val="28"/>
        </w:rPr>
        <w:t>Члени ГРН ВООЗ</w:t>
      </w:r>
    </w:p>
    <w:p w:rsidR="00ED665B" w:rsidRPr="00907702" w:rsidRDefault="006C7D2F" w:rsidP="00DC2656">
      <w:pPr>
        <w:spacing w:before="168"/>
        <w:jc w:val="both"/>
        <w:rPr>
          <w:rFonts w:ascii="Calibri" w:hAnsi="Calibri" w:cs="Calibri"/>
        </w:rPr>
      </w:pPr>
      <w:r>
        <w:rPr>
          <w:rFonts w:ascii="Calibri" w:hAnsi="Calibri"/>
          <w:color w:val="000000"/>
          <w:sz w:val="22"/>
        </w:rPr>
        <w:t>Jan Brozek (Університет МакМастера, Гамільтон, Канада; методист кафедри / GRADE), Jeremiah Chakaya Muhwa (Кенійський медичний науково-дослідний інститут, Кенія), Gavin Churchyard (Інститут медичних досліджень Аурум [Aurum Institute], Йоханнесбург, Південно-Африканська Республіка), Daniela Maria Cirillo (Лікарня Сан-Рафаеле [HSR] Науковий інститут Сан-Рафаеле, Італія), Paul Klatser (Королівський тропічний інститут, Нідерланди), Arata Kochi (незалежний консультант, Швейцарія), Satoshi Mitarai (Японська асоціація боротьби з туберкульозом, Японія), Beatrice Mutayoba (Міністерство охорони здоров’я та соціального забезпечення, Об’єднана Республіка Танзанія), Ingrid Oxley Oxland (Міський університет імені Нельсона Мандели, Південно-Африканська Республіка), Thomas M. Shinnick (незалежний консультант, США), Karen Steingart (Ліверпульська школа тропічної медицини, Ліверпуль, Великобританія), Wendy Stevens (Університет Віттертерсранду, Йоганнесбург, Південно-Африканська Республіка), Francis Varaine («Лікарі без кордонів», Париж, Франція), LSHTM, Лондон, Великобританія та Yasuhiro Yasutomi (Національний інститут біомедичних інновацій, здоров’я та харчування, Японія).</w:t>
      </w:r>
    </w:p>
    <w:p w:rsidR="00ED665B" w:rsidRPr="000A7B71" w:rsidRDefault="006C7D2F" w:rsidP="00DC2656">
      <w:pPr>
        <w:spacing w:before="235"/>
        <w:rPr>
          <w:rFonts w:ascii="Calibri" w:hAnsi="Calibri" w:cs="Calibri"/>
          <w:b/>
          <w:bCs/>
          <w:color w:val="009649"/>
        </w:rPr>
      </w:pPr>
      <w:r>
        <w:rPr>
          <w:rFonts w:ascii="Calibri" w:hAnsi="Calibri"/>
          <w:b/>
          <w:color w:val="009649"/>
          <w:sz w:val="28"/>
        </w:rPr>
        <w:t>Автори систематичного огляду</w:t>
      </w:r>
    </w:p>
    <w:p w:rsidR="00ED665B" w:rsidRPr="00907702" w:rsidRDefault="006C7D2F" w:rsidP="00DC2656">
      <w:pPr>
        <w:spacing w:before="173"/>
        <w:jc w:val="both"/>
        <w:rPr>
          <w:rFonts w:ascii="Calibri" w:hAnsi="Calibri" w:cs="Calibri"/>
        </w:rPr>
      </w:pPr>
      <w:r>
        <w:rPr>
          <w:rFonts w:ascii="Calibri" w:hAnsi="Calibri"/>
          <w:color w:val="000000"/>
          <w:sz w:val="22"/>
        </w:rPr>
        <w:t>Adithya Cattamanchi (провідний автор, систематичний огляд; багатопрофільна лікарня Сан-Франциско, Каліфорнійський університет, Сан-Франциско [UCSF], Сан-Франциско, США), Katherine Farr (багатопрофільна лікарня Сан-Франциско, UCSF, Сан-Франциско, США), Priya B. Shete (багатопрофільна лікарня Сан-Франциско, UCSF, Сан-Франциско, США), Hojoon Sohn (провідний автор, економічна оцінка; кафедра епідеміології, біостатистики та охорони праці, університет Макгілла, Монреаль, Канада) та Luke Strnad (багатопрофільна лікарня Сан-Франциско, UCSF, Сан-Франциско, США).</w:t>
      </w:r>
    </w:p>
    <w:p w:rsidR="00ED665B" w:rsidRPr="000A7B71" w:rsidRDefault="006C7D2F" w:rsidP="00DC2656">
      <w:pPr>
        <w:spacing w:before="230"/>
        <w:rPr>
          <w:rFonts w:ascii="Calibri" w:hAnsi="Calibri" w:cs="Calibri"/>
          <w:b/>
          <w:bCs/>
          <w:color w:val="009649"/>
        </w:rPr>
      </w:pPr>
      <w:r>
        <w:rPr>
          <w:rFonts w:ascii="Calibri" w:hAnsi="Calibri"/>
          <w:b/>
          <w:color w:val="009649"/>
          <w:sz w:val="28"/>
        </w:rPr>
        <w:t>Група зовнішнього рецензування</w:t>
      </w:r>
    </w:p>
    <w:p w:rsidR="00ED665B" w:rsidRPr="00F22286" w:rsidRDefault="006C7D2F" w:rsidP="00F22286">
      <w:pPr>
        <w:spacing w:before="163"/>
        <w:jc w:val="distribute"/>
        <w:rPr>
          <w:rFonts w:ascii="Calibri" w:hAnsi="Calibri" w:cs="Calibri"/>
        </w:rPr>
      </w:pPr>
      <w:r>
        <w:rPr>
          <w:rFonts w:ascii="Calibri" w:hAnsi="Calibri"/>
          <w:color w:val="000000"/>
          <w:sz w:val="22"/>
        </w:rPr>
        <w:t>Kathleen England (Фонд туберкульозу KNCV, Гаага, Нідерланди), Levan Gagnidze (Міжнародна організація з міграції, Бангкок, Таїланд), Rumina Hassan (Міждержавна референс лабораторія з діагностики ТБ Пакистану, Університет Ага Хана, Карачі, Пакистан), Nazir Ismail (Міждержавна референс лабораторія з діагностики ТБ, Національний інститут інфекційних хвороб,</w:t>
      </w:r>
      <w:r w:rsidR="00F22286" w:rsidRPr="00F22286">
        <w:rPr>
          <w:rFonts w:ascii="Calibri" w:hAnsi="Calibri"/>
          <w:color w:val="000000"/>
          <w:sz w:val="22"/>
        </w:rPr>
        <w:t xml:space="preserve"> </w:t>
      </w:r>
      <w:r w:rsidR="00F22286">
        <w:rPr>
          <w:rFonts w:ascii="Calibri" w:hAnsi="Calibri"/>
          <w:color w:val="000000"/>
          <w:sz w:val="22"/>
        </w:rPr>
        <w:t>Південно-Африканська Республіка), Richard Lumb (Міждержавна референс лабораторія з</w:t>
      </w:r>
      <w:r w:rsidR="00F22286" w:rsidRPr="00F22286">
        <w:rPr>
          <w:rFonts w:ascii="Calibri" w:hAnsi="Calibri"/>
          <w:color w:val="000000"/>
          <w:sz w:val="22"/>
        </w:rPr>
        <w:t xml:space="preserve"> </w:t>
      </w:r>
      <w:r w:rsidR="00F22286">
        <w:rPr>
          <w:rFonts w:ascii="Calibri" w:hAnsi="Calibri"/>
          <w:color w:val="000000"/>
          <w:sz w:val="22"/>
        </w:rPr>
        <w:t>діагностики</w:t>
      </w:r>
    </w:p>
    <w:p w:rsidR="00ED665B" w:rsidRPr="00907702" w:rsidRDefault="00ED665B" w:rsidP="00DC2656">
      <w:pPr>
        <w:spacing w:before="163"/>
        <w:jc w:val="both"/>
        <w:rPr>
          <w:rFonts w:ascii="Calibri" w:hAnsi="Calibri" w:cs="Calibri"/>
        </w:rPr>
        <w:sectPr w:rsidR="00ED665B" w:rsidRPr="00907702">
          <w:footerReference w:type="default" r:id="rId17"/>
          <w:pgSz w:w="11904" w:h="16838"/>
          <w:pgMar w:top="1378" w:right="1416" w:bottom="1517" w:left="1416" w:header="720" w:footer="720" w:gutter="0"/>
          <w:cols w:space="60"/>
          <w:noEndnote/>
        </w:sectPr>
      </w:pPr>
    </w:p>
    <w:p w:rsidR="00ED665B" w:rsidRPr="00907702" w:rsidRDefault="006C7D2F" w:rsidP="00DC2656">
      <w:pPr>
        <w:ind w:right="5"/>
        <w:jc w:val="both"/>
        <w:rPr>
          <w:rFonts w:ascii="Calibri" w:hAnsi="Calibri" w:cs="Calibri"/>
        </w:rPr>
      </w:pPr>
      <w:r>
        <w:rPr>
          <w:rFonts w:ascii="Calibri" w:hAnsi="Calibri"/>
          <w:color w:val="000000"/>
          <w:sz w:val="22"/>
        </w:rPr>
        <w:lastRenderedPageBreak/>
        <w:t>ТБ в Аделаїді, Австралія), Enos Masini (Національна туберкульозна програма, Кенія), Alaine Nyaruhirira (Менеджментологія у галузі охорони здоров’я, Південно-Африканська Республіка), Somsak Rienthong (Міждержавна референс лабораторія з діагностики ТБ у Бангкоці, Таїланд), Leen Rigouts (Інститут тропічної медицини, Брюссель, Бельгія) та Maria Alice Telles (Менеджментологія у галузі охорони здоров’я, Бразилія).</w:t>
      </w:r>
    </w:p>
    <w:p w:rsidR="00ED665B" w:rsidRPr="00071A6F" w:rsidRDefault="006C7D2F" w:rsidP="00DC2656">
      <w:pPr>
        <w:spacing w:before="230"/>
        <w:rPr>
          <w:rFonts w:ascii="Calibri" w:hAnsi="Calibri" w:cs="Calibri"/>
          <w:b/>
          <w:bCs/>
          <w:color w:val="009649"/>
        </w:rPr>
      </w:pPr>
      <w:r>
        <w:rPr>
          <w:rFonts w:ascii="Calibri" w:hAnsi="Calibri"/>
          <w:b/>
          <w:color w:val="009649"/>
          <w:sz w:val="28"/>
        </w:rPr>
        <w:t>Подяка за фінансову підтримку</w:t>
      </w:r>
    </w:p>
    <w:p w:rsidR="00ED665B" w:rsidRPr="00907702" w:rsidRDefault="006C7D2F" w:rsidP="00DC2656">
      <w:pPr>
        <w:spacing w:before="163"/>
        <w:ind w:right="5"/>
        <w:jc w:val="both"/>
        <w:rPr>
          <w:rFonts w:ascii="Calibri" w:hAnsi="Calibri" w:cs="Calibri"/>
        </w:rPr>
      </w:pPr>
      <w:r>
        <w:rPr>
          <w:rFonts w:ascii="Calibri" w:hAnsi="Calibri"/>
          <w:color w:val="000000"/>
          <w:sz w:val="22"/>
        </w:rPr>
        <w:t>Також висловлюємо подяку за фінансування з боку USAID через консолідований грант USAID – ВООЗ №. GHA-G-00–09–00003/US-2014–741.</w:t>
      </w:r>
    </w:p>
    <w:p w:rsidR="00ED665B" w:rsidRPr="00071A6F" w:rsidRDefault="006C7D2F" w:rsidP="00DC2656">
      <w:pPr>
        <w:spacing w:before="317"/>
        <w:rPr>
          <w:rFonts w:ascii="Calibri" w:hAnsi="Calibri" w:cs="Calibri"/>
          <w:b/>
          <w:bCs/>
          <w:color w:val="009649"/>
        </w:rPr>
      </w:pPr>
      <w:r>
        <w:rPr>
          <w:rFonts w:ascii="Calibri" w:hAnsi="Calibri"/>
          <w:b/>
          <w:color w:val="009649"/>
          <w:sz w:val="38"/>
        </w:rPr>
        <w:t>Лінійний зонд-аналіз препаратів першої лінії</w:t>
      </w:r>
    </w:p>
    <w:p w:rsidR="00ED665B" w:rsidRPr="00907702" w:rsidRDefault="006C7D2F" w:rsidP="00DC2656">
      <w:pPr>
        <w:spacing w:before="144"/>
        <w:ind w:right="10"/>
        <w:jc w:val="both"/>
        <w:rPr>
          <w:rFonts w:ascii="Calibri" w:hAnsi="Calibri" w:cs="Calibri"/>
        </w:rPr>
      </w:pPr>
      <w:r>
        <w:rPr>
          <w:rFonts w:ascii="Calibri" w:hAnsi="Calibri"/>
          <w:color w:val="000000"/>
          <w:sz w:val="22"/>
        </w:rPr>
        <w:t>Відповідний розділ цього документу був підготовлений Christopher Gilpin та Олексієм Коробіциним за участю Karin Weyer (усі – учасники Глобальної програми боротьби з туберкульозом ВООЗ) на основі консенсусу, узгодженого на засіданні ГРН, скликаному ВООЗ у м. Монтре, Швейцарія, 2 березня 2016 року.</w:t>
      </w:r>
    </w:p>
    <w:p w:rsidR="00ED665B" w:rsidRPr="00071A6F" w:rsidRDefault="006C7D2F" w:rsidP="00DC2656">
      <w:pPr>
        <w:spacing w:before="235"/>
        <w:rPr>
          <w:rFonts w:ascii="Calibri" w:hAnsi="Calibri" w:cs="Calibri"/>
          <w:b/>
          <w:bCs/>
          <w:color w:val="009649"/>
        </w:rPr>
      </w:pPr>
      <w:r>
        <w:rPr>
          <w:rFonts w:ascii="Calibri" w:hAnsi="Calibri"/>
          <w:b/>
          <w:color w:val="009649"/>
          <w:sz w:val="28"/>
        </w:rPr>
        <w:t>Керівна група ВООЗ</w:t>
      </w:r>
    </w:p>
    <w:p w:rsidR="00ED665B" w:rsidRPr="00907702" w:rsidRDefault="006C7D2F" w:rsidP="00DC2656">
      <w:pPr>
        <w:spacing w:before="168"/>
        <w:ind w:right="14"/>
        <w:jc w:val="both"/>
        <w:rPr>
          <w:rFonts w:ascii="Calibri" w:hAnsi="Calibri" w:cs="Calibri"/>
        </w:rPr>
      </w:pPr>
      <w:r>
        <w:rPr>
          <w:rFonts w:ascii="Calibri" w:hAnsi="Calibri"/>
          <w:color w:val="000000"/>
          <w:sz w:val="22"/>
        </w:rPr>
        <w:t>Christopher Gilpin, Олексій Коробіцин, Фуад Мірзаєв, Wayne van Gemert і Karin Weyer (усі – учасники Глобальної програми боротьби з туберкульозом ВООЗ).</w:t>
      </w:r>
    </w:p>
    <w:p w:rsidR="00ED665B" w:rsidRPr="00071A6F" w:rsidRDefault="006C7D2F" w:rsidP="00DC2656">
      <w:pPr>
        <w:spacing w:before="235"/>
        <w:rPr>
          <w:rFonts w:ascii="Calibri" w:hAnsi="Calibri" w:cs="Calibri"/>
          <w:b/>
          <w:bCs/>
          <w:color w:val="009649"/>
        </w:rPr>
      </w:pPr>
      <w:r>
        <w:rPr>
          <w:rFonts w:ascii="Calibri" w:hAnsi="Calibri"/>
          <w:b/>
          <w:color w:val="009649"/>
          <w:sz w:val="28"/>
        </w:rPr>
        <w:t>Члени ГРН ВООЗ</w:t>
      </w:r>
    </w:p>
    <w:p w:rsidR="00ED665B" w:rsidRPr="00907702" w:rsidRDefault="006C7D2F" w:rsidP="00DC2656">
      <w:pPr>
        <w:spacing w:before="168"/>
        <w:ind w:right="5"/>
        <w:jc w:val="both"/>
        <w:rPr>
          <w:rFonts w:ascii="Calibri" w:hAnsi="Calibri" w:cs="Calibri"/>
        </w:rPr>
      </w:pPr>
      <w:r>
        <w:rPr>
          <w:rFonts w:ascii="Calibri" w:hAnsi="Calibri"/>
          <w:color w:val="000000"/>
          <w:sz w:val="22"/>
        </w:rPr>
        <w:t>Holger Schünemann (методист кафедри; Університет МакМастера, Канада), Gavin Churchyard (Інститут Аурума, Йоганнесбург, Південно-Африканська Республіка), Daniela Maria Cirillo (Лікарня Сан-Рафаеле [HSR] Науковий інститут Сан-Рафаеле, Італія), Chris Coulter (Квінсленд Мікобактеріальна референс лабораторія, Австралія), Greg Fox (Університет Сіднея, Австралія), Moses Joloba (Національна референс лабораторія Національної програми боротьби з туберкульозом та проказою, Уганда), James Posey (ЦКЗ, США), Michael Rich (Партнери в галузі охорони здоров’я, США), Leen Rigouts (Інститут тропічної медицини, Брюссель, Бельгія), Thomas M. Shinnick (незалежний консультант, США), Rebecca Tadokera (Науково-дослідна рада з прав людини, Південно-Африканська Республіка) (не може взяти участь), Marie Alice Telles (незалежна консультантка з питань туберкульозу лабораторії Панамериканської організації охорони здоров’я, Бразилія) та Francis Varaine («Лікарі без кордонів», Париж, Франція).</w:t>
      </w:r>
    </w:p>
    <w:p w:rsidR="00ED665B" w:rsidRPr="00071A6F" w:rsidRDefault="006C7D2F" w:rsidP="00DC2656">
      <w:pPr>
        <w:spacing w:before="230"/>
        <w:rPr>
          <w:rFonts w:ascii="Calibri" w:hAnsi="Calibri" w:cs="Calibri"/>
          <w:b/>
          <w:bCs/>
          <w:color w:val="009649"/>
        </w:rPr>
      </w:pPr>
      <w:r>
        <w:rPr>
          <w:rFonts w:ascii="Calibri" w:hAnsi="Calibri"/>
          <w:b/>
          <w:color w:val="009649"/>
          <w:sz w:val="28"/>
        </w:rPr>
        <w:t>Автори систематичного огляду</w:t>
      </w:r>
    </w:p>
    <w:p w:rsidR="00ED665B" w:rsidRPr="00907702" w:rsidRDefault="006C7D2F" w:rsidP="00DC2656">
      <w:pPr>
        <w:spacing w:before="168"/>
        <w:jc w:val="both"/>
        <w:rPr>
          <w:rFonts w:ascii="Calibri" w:hAnsi="Calibri" w:cs="Calibri"/>
        </w:rPr>
      </w:pPr>
      <w:r>
        <w:rPr>
          <w:rFonts w:ascii="Calibri" w:hAnsi="Calibri"/>
          <w:color w:val="000000"/>
          <w:sz w:val="22"/>
        </w:rPr>
        <w:t>Patrick Cudahy (Єльський медичний центр, США), Claudia M. Denkinger (FIND, Швейцарія), Ruvandhi R. Nathavitharana (Медичний центр Бет Ізраїль Діаконесс, США), Madhukar Pai (Університет Макгілла, Монреаль, Канада), Samuel G. Schumacher (FIND, Швейцарія) та Karen Steingart (Ліверпульська школа тропічної медицини, Ліверпуль, Великобританія).</w:t>
      </w:r>
    </w:p>
    <w:p w:rsidR="00ED665B" w:rsidRPr="00071A6F" w:rsidRDefault="006C7D2F" w:rsidP="00DC2656">
      <w:pPr>
        <w:spacing w:before="235"/>
        <w:rPr>
          <w:rFonts w:ascii="Calibri" w:hAnsi="Calibri" w:cs="Calibri"/>
          <w:b/>
          <w:bCs/>
          <w:color w:val="009649"/>
        </w:rPr>
      </w:pPr>
      <w:r>
        <w:rPr>
          <w:rFonts w:ascii="Calibri" w:hAnsi="Calibri"/>
          <w:b/>
          <w:color w:val="009649"/>
          <w:sz w:val="28"/>
        </w:rPr>
        <w:t>Оглядачі</w:t>
      </w:r>
    </w:p>
    <w:p w:rsidR="00ED665B" w:rsidRPr="00907702" w:rsidRDefault="006C7D2F" w:rsidP="00DC2656">
      <w:pPr>
        <w:spacing w:before="168"/>
        <w:jc w:val="both"/>
        <w:rPr>
          <w:rFonts w:ascii="Calibri" w:hAnsi="Calibri" w:cs="Calibri"/>
        </w:rPr>
      </w:pPr>
      <w:r>
        <w:rPr>
          <w:rFonts w:ascii="Calibri" w:hAnsi="Calibri"/>
          <w:color w:val="000000"/>
          <w:sz w:val="22"/>
        </w:rPr>
        <w:t>Sevim Ahmedov (USAID, США), Emmanuelle Cambau (Groupe Hospitalier Lariboisière-Fernand Widal, Франція), David Dolinger (FIND, Швейцарія), Miranda Langendam (Університет Амстердама, Нідерланди), Thomas Schön (лікарня округу Кальмар та Університет Лінчепінга, Швеція) та Belay Tessema (FIND, Швейцарія).</w:t>
      </w:r>
    </w:p>
    <w:p w:rsidR="00ED665B" w:rsidRPr="00907702" w:rsidRDefault="00ED665B" w:rsidP="00DC2656">
      <w:pPr>
        <w:spacing w:before="168"/>
        <w:jc w:val="both"/>
        <w:rPr>
          <w:rFonts w:ascii="Calibri" w:hAnsi="Calibri" w:cs="Calibri"/>
        </w:rPr>
        <w:sectPr w:rsidR="00ED665B" w:rsidRPr="00907702">
          <w:footerReference w:type="even" r:id="rId18"/>
          <w:pgSz w:w="11904" w:h="16838"/>
          <w:pgMar w:top="1339" w:right="1411" w:bottom="1646" w:left="1416" w:header="720" w:footer="720" w:gutter="0"/>
          <w:cols w:space="60"/>
          <w:noEndnote/>
        </w:sectPr>
      </w:pPr>
    </w:p>
    <w:p w:rsidR="00ED665B" w:rsidRPr="00071A6F" w:rsidRDefault="006C7D2F" w:rsidP="00DC2656">
      <w:pPr>
        <w:rPr>
          <w:rFonts w:ascii="Calibri" w:hAnsi="Calibri" w:cs="Calibri"/>
          <w:b/>
          <w:bCs/>
          <w:color w:val="009649"/>
        </w:rPr>
      </w:pPr>
      <w:r>
        <w:rPr>
          <w:rFonts w:ascii="Calibri" w:hAnsi="Calibri"/>
          <w:b/>
          <w:color w:val="009649"/>
          <w:sz w:val="28"/>
        </w:rPr>
        <w:lastRenderedPageBreak/>
        <w:t>Група зовнішнього рецензування</w:t>
      </w:r>
    </w:p>
    <w:p w:rsidR="00ED665B" w:rsidRPr="00907702" w:rsidRDefault="006C7D2F" w:rsidP="00DC2656">
      <w:pPr>
        <w:spacing w:before="168"/>
        <w:jc w:val="both"/>
        <w:rPr>
          <w:rFonts w:ascii="Calibri" w:hAnsi="Calibri" w:cs="Calibri"/>
        </w:rPr>
      </w:pPr>
      <w:r>
        <w:rPr>
          <w:rFonts w:ascii="Calibri" w:hAnsi="Calibri"/>
          <w:color w:val="000000"/>
          <w:sz w:val="22"/>
        </w:rPr>
        <w:t>Heather Alexander (ЦКЗ, США), Martina Casenghi («Лікарі без кордонів» (Médecins Sans Frontières), питання доступу до медичних препаратів, Швейцарія), Kathleen England (Фонд туберкульозу KNCV, Гаага, Нідерланди), Rumina Hasan (Міждержавна референс лабораторія з діагностики ТБ Пакистану, Університет Ага Хана, Карачі, Пакистан), Nazir Ismail (Міждержавна референс лабораторія з діагностики ТБ, Національний інститут інфекційних хвороб, Південно-Африканська Республіка), Beatrice Lopez (Міждержавна референс лабораторія з діагностики ТБ у Буенос-Айресі, Аргентина), Richard Lumb (Міждержавна референс лабораторія з діагностики ТБ в Аделаїді, Австралія), Satoshi Mitarai (Японська асоціація боротьби з туберкульозом, Японія), Alaine Umubyeyi Nyaruhirira (Менеджментологія у галузі охорони здоров’я, Південно-Африканська Республіка), Rohit Sarin (Інститут туберкульозу та респіраторних захворювань LRS, Індія) та Алена Шрахіна (Національна туберкульозна програма, Білорусь).</w:t>
      </w:r>
    </w:p>
    <w:p w:rsidR="00ED665B" w:rsidRPr="00071A6F" w:rsidRDefault="006C7D2F" w:rsidP="00DC2656">
      <w:pPr>
        <w:spacing w:before="230"/>
        <w:rPr>
          <w:rFonts w:ascii="Calibri" w:hAnsi="Calibri" w:cs="Calibri"/>
          <w:b/>
          <w:bCs/>
          <w:color w:val="009649"/>
        </w:rPr>
      </w:pPr>
      <w:r>
        <w:rPr>
          <w:rFonts w:ascii="Calibri" w:hAnsi="Calibri"/>
          <w:b/>
          <w:color w:val="009649"/>
          <w:sz w:val="28"/>
        </w:rPr>
        <w:t>Подяка за фінансову підтримку</w:t>
      </w:r>
    </w:p>
    <w:p w:rsidR="00ED665B" w:rsidRPr="00907702" w:rsidRDefault="006C7D2F" w:rsidP="00DC2656">
      <w:pPr>
        <w:spacing w:before="163"/>
        <w:ind w:right="14"/>
        <w:jc w:val="both"/>
        <w:rPr>
          <w:rFonts w:ascii="Calibri" w:hAnsi="Calibri" w:cs="Calibri"/>
        </w:rPr>
      </w:pPr>
      <w:r>
        <w:rPr>
          <w:rFonts w:ascii="Calibri" w:hAnsi="Calibri"/>
          <w:color w:val="000000"/>
          <w:sz w:val="22"/>
        </w:rPr>
        <w:t>Також виказуємо подяку за фінансування Фонду Білла та Мелінди Гейтс та Агентству США з міжнародного розвитку через Консолідований грант USAID-WHO № GHA-G-00-09-00003/US2014-741.</w:t>
      </w:r>
    </w:p>
    <w:p w:rsidR="00ED665B" w:rsidRPr="00071A6F" w:rsidRDefault="006C7D2F" w:rsidP="00DC2656">
      <w:pPr>
        <w:spacing w:before="317"/>
        <w:rPr>
          <w:rFonts w:ascii="Calibri" w:hAnsi="Calibri" w:cs="Calibri"/>
          <w:b/>
          <w:bCs/>
          <w:color w:val="009649"/>
        </w:rPr>
      </w:pPr>
      <w:r>
        <w:rPr>
          <w:rFonts w:ascii="Calibri" w:hAnsi="Calibri"/>
          <w:b/>
          <w:color w:val="009649"/>
          <w:sz w:val="38"/>
        </w:rPr>
        <w:t>Лінійний зонд-аналіз препаратів другої лінії</w:t>
      </w:r>
    </w:p>
    <w:p w:rsidR="00ED665B" w:rsidRPr="00907702" w:rsidRDefault="006C7D2F" w:rsidP="00DC2656">
      <w:pPr>
        <w:spacing w:before="144"/>
        <w:ind w:right="10"/>
        <w:jc w:val="both"/>
        <w:rPr>
          <w:rFonts w:ascii="Calibri" w:hAnsi="Calibri" w:cs="Calibri"/>
        </w:rPr>
      </w:pPr>
      <w:r>
        <w:rPr>
          <w:rFonts w:ascii="Calibri" w:hAnsi="Calibri"/>
          <w:color w:val="000000"/>
          <w:sz w:val="22"/>
        </w:rPr>
        <w:t>Відповідний розділ цього документу був підготовлений Christopher Gilpin та Олексієм Коробіциним за участю Karin Weyer (усі – учасники Глобальної програми боротьби з туберкульозом ВООЗ) на основі консенсусу, узгодженого на засіданні ГРН, скликаному ВООЗ у м. Монтре, Швейцарія, 2 березня 2016 року.</w:t>
      </w:r>
    </w:p>
    <w:p w:rsidR="00ED665B" w:rsidRPr="00071A6F" w:rsidRDefault="006C7D2F" w:rsidP="00DC2656">
      <w:pPr>
        <w:spacing w:before="235"/>
        <w:rPr>
          <w:rFonts w:ascii="Calibri" w:hAnsi="Calibri" w:cs="Calibri"/>
          <w:b/>
          <w:bCs/>
          <w:color w:val="009649"/>
        </w:rPr>
      </w:pPr>
      <w:r>
        <w:rPr>
          <w:rFonts w:ascii="Calibri" w:hAnsi="Calibri"/>
          <w:b/>
          <w:color w:val="009649"/>
          <w:sz w:val="28"/>
        </w:rPr>
        <w:t>Керівна група ВООЗ</w:t>
      </w:r>
    </w:p>
    <w:p w:rsidR="00ED665B" w:rsidRPr="00907702" w:rsidRDefault="006C7D2F" w:rsidP="00DC2656">
      <w:pPr>
        <w:spacing w:before="173"/>
        <w:ind w:right="5"/>
        <w:jc w:val="both"/>
        <w:rPr>
          <w:rFonts w:ascii="Calibri" w:hAnsi="Calibri" w:cs="Calibri"/>
        </w:rPr>
      </w:pPr>
      <w:r>
        <w:rPr>
          <w:rFonts w:ascii="Calibri" w:hAnsi="Calibri"/>
          <w:color w:val="000000"/>
          <w:sz w:val="22"/>
        </w:rPr>
        <w:t>Christopher Gilpin, Олексій Коробіцин, Фуад Мірзаєв, Dennis Falzon, Matteo Zignol та Karin Weyer (усі – учасники Глобальної програми боротьби з туберкульозом ВООЗ).</w:t>
      </w:r>
    </w:p>
    <w:p w:rsidR="00ED665B" w:rsidRPr="00071A6F" w:rsidRDefault="006C7D2F" w:rsidP="00DC2656">
      <w:pPr>
        <w:spacing w:before="235"/>
        <w:rPr>
          <w:rFonts w:ascii="Calibri" w:hAnsi="Calibri" w:cs="Calibri"/>
          <w:b/>
          <w:bCs/>
          <w:color w:val="009649"/>
        </w:rPr>
      </w:pPr>
      <w:r>
        <w:rPr>
          <w:rFonts w:ascii="Calibri" w:hAnsi="Calibri"/>
          <w:b/>
          <w:color w:val="009649"/>
          <w:sz w:val="28"/>
        </w:rPr>
        <w:t>Члени ГРН ВООЗ</w:t>
      </w:r>
    </w:p>
    <w:p w:rsidR="00ED665B" w:rsidRPr="00907702" w:rsidRDefault="006C7D2F" w:rsidP="00DC2656">
      <w:pPr>
        <w:spacing w:before="173"/>
        <w:ind w:right="5"/>
        <w:jc w:val="both"/>
        <w:rPr>
          <w:rFonts w:ascii="Calibri" w:hAnsi="Calibri" w:cs="Calibri"/>
        </w:rPr>
      </w:pPr>
      <w:r>
        <w:rPr>
          <w:rFonts w:ascii="Calibri" w:hAnsi="Calibri"/>
          <w:color w:val="000000"/>
          <w:sz w:val="22"/>
        </w:rPr>
        <w:t>Holger Schünemann (методист кафедри; Університет МакМастера, Канада), Gavin Churchyard (Інститут Аурума, Йоганнесбург, Південно-Африканська Республіка), Daniela Maria Cirillo (Лікарня Сан-Рафаеле [HSR] Науковий інститут Сан-Рафаеле, Італія), Chris Coulter (Квінсленд Мікобактеріальна референс лабораторія, Австралія), Greg Fox (Університет Сіднея, Австралія), Moses Joloba (Національна референс лабораторія Національної програми боротьби з туберкульозом та проказою, Уганда), James Posey (ЦКЗ, США), Michael Rich (Партнери в галузі охорони здоров’я, США), Leen Rigouts (Інститут тропічної медицини, Брюссель, Бельгія), Thomas M. Shinnick (незалежний консультант, США), Rebecca Tadokera (Науково-дослідна рада з прав людини, Південно-Африканська Республіка) (не може взяти участь), Marie Alice Telles (незалежна консультантка з питань туберкульозу лабораторії Панамериканської організації охорони здоров’я, Бразилія) та Francis Varaine («Лікарі без кордонів», Париж, Франція).</w:t>
      </w:r>
    </w:p>
    <w:p w:rsidR="00ED665B" w:rsidRPr="00071A6F" w:rsidRDefault="006C7D2F" w:rsidP="00DC2656">
      <w:pPr>
        <w:spacing w:before="230"/>
        <w:rPr>
          <w:rFonts w:ascii="Calibri" w:hAnsi="Calibri" w:cs="Calibri"/>
          <w:b/>
          <w:bCs/>
          <w:color w:val="009649"/>
        </w:rPr>
      </w:pPr>
      <w:r>
        <w:rPr>
          <w:rFonts w:ascii="Calibri" w:hAnsi="Calibri"/>
          <w:b/>
          <w:color w:val="009649"/>
          <w:sz w:val="28"/>
        </w:rPr>
        <w:t>Автори систематичного огляду</w:t>
      </w:r>
    </w:p>
    <w:p w:rsidR="00ED665B" w:rsidRPr="00907702" w:rsidRDefault="006C7D2F" w:rsidP="00DC2656">
      <w:pPr>
        <w:spacing w:before="163"/>
        <w:ind w:right="5"/>
        <w:jc w:val="both"/>
        <w:rPr>
          <w:rFonts w:ascii="Calibri" w:hAnsi="Calibri" w:cs="Calibri"/>
        </w:rPr>
      </w:pPr>
      <w:r>
        <w:rPr>
          <w:rFonts w:ascii="Calibri" w:hAnsi="Calibri"/>
          <w:color w:val="000000"/>
          <w:sz w:val="22"/>
        </w:rPr>
        <w:t xml:space="preserve">Karen Steingart, група інфекційних хвороб Кокрейна, Ліверпульська школа тропічної медицини, Портленд, США; Grant Theron, </w:t>
      </w:r>
      <w:r w:rsidRPr="00A06243">
        <w:rPr>
          <w:rFonts w:ascii="Calibri" w:hAnsi="Calibri"/>
          <w:sz w:val="22"/>
        </w:rPr>
        <w:t>університет Стелленбоша, кафедра біомедичних наук.</w:t>
      </w:r>
    </w:p>
    <w:p w:rsidR="00ED665B" w:rsidRPr="00907702" w:rsidRDefault="00ED665B" w:rsidP="00DC2656">
      <w:pPr>
        <w:spacing w:before="163"/>
        <w:ind w:right="5"/>
        <w:jc w:val="both"/>
        <w:rPr>
          <w:rFonts w:ascii="Calibri" w:hAnsi="Calibri" w:cs="Calibri"/>
        </w:rPr>
        <w:sectPr w:rsidR="00ED665B" w:rsidRPr="00907702" w:rsidSect="00A06243">
          <w:footerReference w:type="default" r:id="rId19"/>
          <w:pgSz w:w="11904" w:h="16838"/>
          <w:pgMar w:top="1378" w:right="1411" w:bottom="9" w:left="1416" w:header="720" w:footer="720" w:gutter="0"/>
          <w:cols w:space="60"/>
          <w:noEndnote/>
        </w:sectPr>
      </w:pPr>
    </w:p>
    <w:p w:rsidR="00ED665B" w:rsidRPr="00071A6F" w:rsidRDefault="006C7D2F" w:rsidP="00A06243">
      <w:pPr>
        <w:spacing w:line="216" w:lineRule="auto"/>
        <w:rPr>
          <w:rFonts w:ascii="Calibri" w:hAnsi="Calibri" w:cs="Calibri"/>
          <w:b/>
          <w:bCs/>
          <w:color w:val="009649"/>
        </w:rPr>
      </w:pPr>
      <w:r>
        <w:rPr>
          <w:rFonts w:ascii="Calibri" w:hAnsi="Calibri"/>
          <w:b/>
          <w:color w:val="009649"/>
          <w:sz w:val="28"/>
        </w:rPr>
        <w:lastRenderedPageBreak/>
        <w:t>Оглядачі</w:t>
      </w:r>
    </w:p>
    <w:p w:rsidR="00ED665B" w:rsidRPr="00907702" w:rsidRDefault="006C7D2F" w:rsidP="00A06243">
      <w:pPr>
        <w:spacing w:before="168" w:line="216" w:lineRule="auto"/>
        <w:jc w:val="both"/>
        <w:rPr>
          <w:rFonts w:ascii="Calibri" w:hAnsi="Calibri" w:cs="Calibri"/>
        </w:rPr>
      </w:pPr>
      <w:r>
        <w:rPr>
          <w:rFonts w:ascii="Calibri" w:hAnsi="Calibri"/>
          <w:color w:val="000000"/>
          <w:sz w:val="22"/>
        </w:rPr>
        <w:t>Sevim Ahmedov (USAID, США), Emmanuelle Cambau (Groupe Hospitalier Lariboisière-Fernand Widal, Франція), Miranda Langendam (Університет Амстердама, Нідерланди), Thomas Schön (лікарня округу Кальмар та Університет Лінчепінг, Швеція) та Belay Tessema (FIND, Швейцарія).</w:t>
      </w:r>
    </w:p>
    <w:p w:rsidR="00ED665B" w:rsidRPr="00071A6F" w:rsidRDefault="006C7D2F" w:rsidP="00A06243">
      <w:pPr>
        <w:spacing w:before="235" w:line="216" w:lineRule="auto"/>
        <w:rPr>
          <w:rFonts w:ascii="Calibri" w:hAnsi="Calibri" w:cs="Calibri"/>
          <w:b/>
          <w:bCs/>
          <w:color w:val="009649"/>
        </w:rPr>
      </w:pPr>
      <w:r>
        <w:rPr>
          <w:rFonts w:ascii="Calibri" w:hAnsi="Calibri"/>
          <w:b/>
          <w:color w:val="009649"/>
          <w:sz w:val="28"/>
        </w:rPr>
        <w:t>Група зовнішнього рецензування</w:t>
      </w:r>
    </w:p>
    <w:p w:rsidR="00ED665B" w:rsidRPr="00907702" w:rsidRDefault="006C7D2F" w:rsidP="00A06243">
      <w:pPr>
        <w:spacing w:before="168" w:line="216" w:lineRule="auto"/>
        <w:jc w:val="both"/>
        <w:rPr>
          <w:rFonts w:ascii="Calibri" w:hAnsi="Calibri" w:cs="Calibri"/>
        </w:rPr>
      </w:pPr>
      <w:r>
        <w:rPr>
          <w:rFonts w:ascii="Calibri" w:hAnsi="Calibri"/>
          <w:color w:val="000000"/>
          <w:sz w:val="22"/>
        </w:rPr>
        <w:t>Heather Alexander (ЦКЗ, США), Martina Casenghi («Лікарі без кордонів» (Médecins Sans Frontières), питання доступу до медичних препаратів, Швейцарія), Kathleen England (Фонд туберкульозу KNCV, Гаага, Нідерланди), Rumina Hasan (Міждержавна референс лабораторія з діагностики ТБ Пакистану, Університет Ага Хана, Карачі, Пакистан), Nazir Ismail (Міждержавна референс лабораторія з діагностики ТБ, Національний інститут інфекційних хвороб, Південно-Африканська Республіка), Beatrice Lopez (Міждержавна референс лабораторія з діагностики ТБ у Буенос-Айресі, Аргентина), Richard Lumb (Міждержавна референс лабораторія з діагностики ТБ в Аделаїді, Австралія), Satoshi Mitarai (Японська асоціація боротьби з туберкульозом, Японія), Alaine Umubyeyi Nyaruhirira (Менеджментологія у галузі охорони здоров’я, Південно-Африканська Республіка), Rohit Sarin (Інститут туберкульозу та респіраторних захворювань LRS, Індія) та Алена Шрахіна (Національна туберкульозна програма, Білорусь).</w:t>
      </w:r>
    </w:p>
    <w:p w:rsidR="00ED665B" w:rsidRPr="00071A6F" w:rsidRDefault="006C7D2F" w:rsidP="00A06243">
      <w:pPr>
        <w:spacing w:before="235" w:line="216" w:lineRule="auto"/>
        <w:rPr>
          <w:rFonts w:ascii="Calibri" w:hAnsi="Calibri" w:cs="Calibri"/>
          <w:b/>
          <w:bCs/>
          <w:color w:val="009649"/>
        </w:rPr>
      </w:pPr>
      <w:r>
        <w:rPr>
          <w:rFonts w:ascii="Calibri" w:hAnsi="Calibri"/>
          <w:b/>
          <w:color w:val="009649"/>
          <w:sz w:val="28"/>
        </w:rPr>
        <w:t>Подяка за фінансову підтримку</w:t>
      </w:r>
    </w:p>
    <w:p w:rsidR="00ED665B" w:rsidRPr="00907702" w:rsidRDefault="006C7D2F" w:rsidP="00A06243">
      <w:pPr>
        <w:spacing w:before="163" w:line="216" w:lineRule="auto"/>
        <w:ind w:right="14"/>
        <w:jc w:val="both"/>
        <w:rPr>
          <w:rFonts w:ascii="Calibri" w:hAnsi="Calibri" w:cs="Calibri"/>
        </w:rPr>
      </w:pPr>
      <w:r>
        <w:rPr>
          <w:rFonts w:ascii="Calibri" w:hAnsi="Calibri"/>
          <w:color w:val="000000"/>
          <w:sz w:val="22"/>
        </w:rPr>
        <w:t>Також виказуємо подяку за фінансування Фонду Білла та Мелінди Гейтс та Агентству США з міжнародного розвитку через Консолідований грант USAID-WHO № GHA-G-00-09-00003/US2014-741.</w:t>
      </w:r>
    </w:p>
    <w:p w:rsidR="00ED665B" w:rsidRPr="00071A6F" w:rsidRDefault="006C7D2F" w:rsidP="00A06243">
      <w:pPr>
        <w:spacing w:before="317" w:line="216" w:lineRule="auto"/>
        <w:rPr>
          <w:rFonts w:ascii="Calibri" w:hAnsi="Calibri" w:cs="Calibri"/>
          <w:b/>
          <w:bCs/>
          <w:color w:val="009649"/>
        </w:rPr>
      </w:pPr>
      <w:r>
        <w:rPr>
          <w:rFonts w:ascii="Calibri" w:hAnsi="Calibri"/>
          <w:b/>
          <w:color w:val="009649"/>
          <w:sz w:val="38"/>
        </w:rPr>
        <w:t>Ліпоарабіноманнановий тест бокового зсуву (тест сечі LM-LAM)</w:t>
      </w:r>
    </w:p>
    <w:p w:rsidR="00ED665B" w:rsidRPr="00071A6F" w:rsidRDefault="006C7D2F" w:rsidP="00A06243">
      <w:pPr>
        <w:spacing w:before="211" w:line="216" w:lineRule="auto"/>
        <w:rPr>
          <w:rFonts w:ascii="Calibri" w:hAnsi="Calibri" w:cs="Calibri"/>
          <w:b/>
          <w:bCs/>
          <w:color w:val="009649"/>
        </w:rPr>
      </w:pPr>
      <w:r>
        <w:rPr>
          <w:rFonts w:ascii="Calibri" w:hAnsi="Calibri"/>
          <w:b/>
          <w:color w:val="009649"/>
          <w:sz w:val="28"/>
        </w:rPr>
        <w:t>Група з розробки настанов</w:t>
      </w:r>
    </w:p>
    <w:p w:rsidR="00ED665B" w:rsidRPr="00907702" w:rsidRDefault="006C7D2F" w:rsidP="00A06243">
      <w:pPr>
        <w:spacing w:before="168" w:line="216" w:lineRule="auto"/>
        <w:jc w:val="both"/>
        <w:rPr>
          <w:rFonts w:ascii="Calibri" w:hAnsi="Calibri" w:cs="Calibri"/>
        </w:rPr>
      </w:pPr>
      <w:r>
        <w:rPr>
          <w:rFonts w:ascii="Calibri" w:hAnsi="Calibri"/>
          <w:color w:val="000000"/>
          <w:sz w:val="22"/>
        </w:rPr>
        <w:t>Holger Schünemann, Університет МакМастера, Гамільтон, Канада (голова); Heather Alexander, ЦКЗ, Атланта, США; Gavin Churchyard, Інститут Аурум, Йоганнесбург, Південно-Африканська Республіка; Kathleen England, «Лікарі без кордонів» (Médecins Sans Frontières), Женева, Швейцарія; Rumina Hasan, кафедра патології та мікробіології, Університет Ага Хан, Карачі, Пакистан; Diane Havlir, UCSF, Сан-Франциско, США; Nagalineswaran Kumarasamy, головний лікар, Науково-освітній центр із дослідження СНІДу, надання безкоштовних медичних послуг, Ченнаї, Індія; Gracia Violeta Ross Quiroga, представниця громадянського суспільства з питань туберкульозу, Ла-Пас, Болівія (багатонаціональна держава); Kenly Sikwese, координатор, Консультативна рада Африканської спільноти (AfroCAB), Лусака, Замбія; Wendy Stevens, Національна лабораторія служби охорони здоров’я та Медична школа – Університет Віттертерсранду, Йоганнесбург, Південно-Африканська Республіка; Carrie Tudor, директор проекту з туберкульозу, Міжнародна рада медсестер, Дурбан, Південно-Африканська Республіка; та Анна Вассалл, лекторка з економіки охорони здоров’я, LSHTM, Лондон, Великобританія.</w:t>
      </w:r>
    </w:p>
    <w:p w:rsidR="00ED665B" w:rsidRPr="00071A6F" w:rsidRDefault="006C7D2F" w:rsidP="00A06243">
      <w:pPr>
        <w:spacing w:before="235" w:line="216" w:lineRule="auto"/>
        <w:rPr>
          <w:rFonts w:ascii="Calibri" w:hAnsi="Calibri" w:cs="Calibri"/>
          <w:b/>
          <w:bCs/>
          <w:color w:val="009649"/>
        </w:rPr>
      </w:pPr>
      <w:r>
        <w:rPr>
          <w:rFonts w:ascii="Calibri" w:hAnsi="Calibri"/>
          <w:b/>
          <w:color w:val="009649"/>
          <w:sz w:val="28"/>
        </w:rPr>
        <w:t>Група зовнішнього рецензування</w:t>
      </w:r>
    </w:p>
    <w:p w:rsidR="00ED665B" w:rsidRPr="00907702" w:rsidRDefault="006C7D2F" w:rsidP="00A06243">
      <w:pPr>
        <w:spacing w:before="168" w:line="216" w:lineRule="auto"/>
        <w:ind w:right="5"/>
        <w:jc w:val="both"/>
        <w:rPr>
          <w:rFonts w:ascii="Calibri" w:hAnsi="Calibri" w:cs="Calibri"/>
        </w:rPr>
      </w:pPr>
      <w:r>
        <w:rPr>
          <w:rFonts w:ascii="Calibri" w:hAnsi="Calibri"/>
          <w:color w:val="000000"/>
          <w:sz w:val="22"/>
        </w:rPr>
        <w:t>Maria Alice da Silva Telles, Менеджментологія у галузі охорони здоров’я, Сан-Паулу, Бразилія; Levan Gagnidze, Міжнародна організація з міграції, Бангкок, Таїланд; Jamilya Ismailova, проект HOPE, Таджикистан; Андрій Мар’яндишев, Північний університет, Архангельськ, Російська Федерація; Alaine Nyaruhirira, Менеджментологія у галузі охорони здоров’я, Преторія, Південно-Африканська Республіка; Rohit Sarin, Інститут туберкульозу та респіраторних захворювань, Нью-Делі, Індія; і Francis Varaine, «Лікарі без кордонів» (Médecins Sans Frontières), Париж, Франція.</w:t>
      </w:r>
    </w:p>
    <w:p w:rsidR="00ED665B" w:rsidRPr="00907702" w:rsidRDefault="00ED665B" w:rsidP="00DC2656">
      <w:pPr>
        <w:spacing w:before="168"/>
        <w:ind w:right="5"/>
        <w:jc w:val="both"/>
        <w:rPr>
          <w:rFonts w:ascii="Calibri" w:hAnsi="Calibri" w:cs="Calibri"/>
        </w:rPr>
        <w:sectPr w:rsidR="00ED665B" w:rsidRPr="00907702">
          <w:footerReference w:type="even" r:id="rId20"/>
          <w:pgSz w:w="11904" w:h="16838"/>
          <w:pgMar w:top="1378" w:right="1411" w:bottom="1368" w:left="1416" w:header="720" w:footer="720" w:gutter="0"/>
          <w:cols w:space="60"/>
          <w:noEndnote/>
        </w:sectPr>
      </w:pPr>
    </w:p>
    <w:p w:rsidR="00ED665B" w:rsidRPr="00902A3C" w:rsidRDefault="006C7D2F" w:rsidP="00DC2656">
      <w:pPr>
        <w:rPr>
          <w:rFonts w:ascii="Calibri" w:hAnsi="Calibri" w:cs="Calibri"/>
          <w:b/>
          <w:bCs/>
        </w:rPr>
      </w:pPr>
      <w:r>
        <w:rPr>
          <w:rFonts w:ascii="Calibri" w:hAnsi="Calibri"/>
          <w:b/>
          <w:color w:val="009649"/>
          <w:sz w:val="28"/>
        </w:rPr>
        <w:lastRenderedPageBreak/>
        <w:t>Команда систематичного огляду</w:t>
      </w:r>
    </w:p>
    <w:p w:rsidR="00ED665B" w:rsidRPr="00907702" w:rsidRDefault="006C7D2F" w:rsidP="00DC2656">
      <w:pPr>
        <w:spacing w:before="168"/>
        <w:ind w:right="5"/>
        <w:jc w:val="both"/>
        <w:rPr>
          <w:rFonts w:ascii="Calibri" w:hAnsi="Calibri" w:cs="Calibri"/>
        </w:rPr>
      </w:pPr>
      <w:r>
        <w:rPr>
          <w:rFonts w:ascii="Calibri" w:hAnsi="Calibri"/>
          <w:color w:val="000000"/>
          <w:sz w:val="22"/>
        </w:rPr>
        <w:t>Stephanie Bjerrum, кафедра клінічних досліджень науково-дослідного відділення інфекційних хвороб / відділення інфекційних хвороб Університету Південної Данії / Університетська лікарня Оденсе (спільно з університетською лікарнею Ага Хана), Найробі, Кенія; Maunankh Shah, відділ інфекційних хвороб, Центр досліджень туберкульозу та Центр клінічної глобальної медичної освіти, Університет Джона Хопкінса, Балтімор, США; Karen Steingart, група дослідження інфекційних хвороб Кокрейна, Ліверпульська школа тропічної медицини, Портленд, США; та Alice Zwerling, Школа епідеміології та охорони здоров’я, Університет Оттави, Канада.</w:t>
      </w:r>
    </w:p>
    <w:p w:rsidR="00ED665B" w:rsidRPr="00902A3C" w:rsidRDefault="006C7D2F" w:rsidP="00DC2656">
      <w:pPr>
        <w:spacing w:before="235"/>
        <w:rPr>
          <w:rFonts w:ascii="Calibri" w:hAnsi="Calibri" w:cs="Calibri"/>
          <w:b/>
          <w:bCs/>
        </w:rPr>
      </w:pPr>
      <w:r>
        <w:rPr>
          <w:rFonts w:ascii="Calibri" w:hAnsi="Calibri"/>
          <w:b/>
          <w:color w:val="009649"/>
          <w:sz w:val="28"/>
        </w:rPr>
        <w:t>Консультанти з додатковим технічним досвідом</w:t>
      </w:r>
    </w:p>
    <w:p w:rsidR="00ED665B" w:rsidRPr="00907702" w:rsidRDefault="006C7D2F" w:rsidP="00DC2656">
      <w:pPr>
        <w:spacing w:before="168"/>
        <w:jc w:val="both"/>
        <w:rPr>
          <w:rFonts w:ascii="Calibri" w:hAnsi="Calibri" w:cs="Calibri"/>
        </w:rPr>
      </w:pPr>
      <w:r>
        <w:rPr>
          <w:rFonts w:ascii="Calibri" w:hAnsi="Calibri"/>
          <w:color w:val="000000"/>
          <w:sz w:val="22"/>
        </w:rPr>
        <w:t>Nim Arinaminpathy, медичний факультет, Школа громадського здоров’я, Імперський коледж Лондона, Великобританія; Claudia Denkinger, відділ тропічної медицини, Гейдельберзький університет, Гейдельберг, Німеччина; Nora Engel, Маастрихтський університет, Нідерланди; Helena Huerga, Epicenter / «Лікарі без кордонів» (Médecins Sans Frontières), Брюссель, Бельгія; Emmanuel Moreau, FIND, Женева, Швейцарія; Krishna Reddy, Центр досліджень та лікування проблем, пов’язаних із вживання тютюнових виробів, багатопрофільна лікарня штату Массачусетс, Центр оцінювання медичної практики, Кембридж, США; Saskia Ricks, Імперський коледж Лондона, Великобританія; Samuel Schumacher, FIND, Женева, Швейцарія; та Rita Szekely, FIND, Женева, Швейцарія.</w:t>
      </w:r>
    </w:p>
    <w:p w:rsidR="00ED665B" w:rsidRPr="00902A3C" w:rsidRDefault="006C7D2F" w:rsidP="00DC2656">
      <w:pPr>
        <w:spacing w:before="235"/>
        <w:rPr>
          <w:rFonts w:ascii="Calibri" w:hAnsi="Calibri" w:cs="Calibri"/>
          <w:b/>
          <w:bCs/>
        </w:rPr>
      </w:pPr>
      <w:r>
        <w:rPr>
          <w:rFonts w:ascii="Calibri" w:hAnsi="Calibri"/>
          <w:b/>
          <w:color w:val="009649"/>
          <w:sz w:val="28"/>
        </w:rPr>
        <w:t>Оглядачі</w:t>
      </w:r>
    </w:p>
    <w:p w:rsidR="00ED665B" w:rsidRPr="00907702" w:rsidRDefault="006C7D2F" w:rsidP="00DC2656">
      <w:pPr>
        <w:spacing w:before="163"/>
        <w:ind w:right="10"/>
        <w:jc w:val="both"/>
        <w:rPr>
          <w:rFonts w:ascii="Calibri" w:hAnsi="Calibri" w:cs="Calibri"/>
        </w:rPr>
      </w:pPr>
      <w:r>
        <w:rPr>
          <w:rFonts w:ascii="Calibri" w:hAnsi="Calibri"/>
          <w:color w:val="000000"/>
          <w:sz w:val="22"/>
        </w:rPr>
        <w:t>Patricia Hall, експерт з туберкульозу та клінічного моніторингу, ЦКЗ, Атланта, США; Кaren Heichman, Інноваційні технологічні рішення, Global Health, Фонд Білла та Мелінди Гейтс, Сіетл, США; та Wayne van Gemert, ринкові стратегії діагностики туберкульозу, партнерство «Зупинимо туберкульоз», Женева, Швейцарія.</w:t>
      </w:r>
    </w:p>
    <w:p w:rsidR="00ED665B" w:rsidRPr="00902A3C" w:rsidRDefault="006C7D2F" w:rsidP="00DC2656">
      <w:pPr>
        <w:spacing w:before="230"/>
        <w:rPr>
          <w:rFonts w:ascii="Calibri" w:hAnsi="Calibri" w:cs="Calibri"/>
          <w:b/>
          <w:bCs/>
        </w:rPr>
      </w:pPr>
      <w:r>
        <w:rPr>
          <w:rFonts w:ascii="Calibri" w:hAnsi="Calibri"/>
          <w:b/>
          <w:color w:val="009649"/>
          <w:sz w:val="28"/>
        </w:rPr>
        <w:t>Керівний комітет ВООЗ</w:t>
      </w:r>
    </w:p>
    <w:p w:rsidR="00ED665B" w:rsidRPr="00907702" w:rsidRDefault="006C7D2F" w:rsidP="00DC2656">
      <w:pPr>
        <w:spacing w:before="168"/>
        <w:ind w:right="5"/>
        <w:jc w:val="both"/>
        <w:rPr>
          <w:rFonts w:ascii="Calibri" w:hAnsi="Calibri" w:cs="Calibri"/>
        </w:rPr>
      </w:pPr>
      <w:r>
        <w:rPr>
          <w:rFonts w:ascii="Calibri" w:hAnsi="Calibri"/>
          <w:color w:val="000000"/>
          <w:sz w:val="22"/>
        </w:rPr>
        <w:t>Роботу над цими вказівками курирували Christopher Gilpin та Олексій Коробіцин за участю Annabel Baddeley, Licé González-Angulo та Фуада Мірзаєва (усі – учасники Глобальної програми боротьби з туберкульозом ВООЗ), ВООЗ, Женева, Швейцарія та Meg Doherty, Satvinder Singh та Lara Vojnov (усі – представники департаменту ВІЛ ВООЗ), ВООЗ, Женева, Швейцарія, під загальною координацією Karin Weyer (Глобальна програма боротьби з туберкульозом ВООЗ) та керівництвом Tereza Kasaeva (директора Глобальної програми боротьби з туберкульозом ВООЗ).</w:t>
      </w:r>
    </w:p>
    <w:p w:rsidR="00ED665B" w:rsidRPr="00907702" w:rsidRDefault="006C7D2F" w:rsidP="00DC2656">
      <w:pPr>
        <w:spacing w:before="173"/>
        <w:ind w:right="5"/>
        <w:jc w:val="both"/>
        <w:rPr>
          <w:rFonts w:ascii="Calibri" w:hAnsi="Calibri" w:cs="Calibri"/>
        </w:rPr>
      </w:pPr>
      <w:r>
        <w:rPr>
          <w:rFonts w:ascii="Calibri" w:hAnsi="Calibri"/>
          <w:color w:val="000000"/>
          <w:sz w:val="22"/>
        </w:rPr>
        <w:t>Керівництво було розроблено Олексієм Коробіциним за участю Annabel Baddeley, Christopher Gilpin та Lara Vojnov на основі консенсусу, досягнутого на засіданні ГРН 14-16 травня 2019 року.</w:t>
      </w:r>
    </w:p>
    <w:p w:rsidR="00ED665B" w:rsidRPr="00907702" w:rsidRDefault="006C7D2F" w:rsidP="00DC2656">
      <w:pPr>
        <w:spacing w:before="163"/>
        <w:ind w:right="5"/>
        <w:jc w:val="both"/>
        <w:rPr>
          <w:rFonts w:ascii="Calibri" w:hAnsi="Calibri" w:cs="Calibri"/>
        </w:rPr>
      </w:pPr>
      <w:r>
        <w:rPr>
          <w:rFonts w:ascii="Calibri" w:hAnsi="Calibri"/>
          <w:color w:val="000000"/>
          <w:sz w:val="22"/>
        </w:rPr>
        <w:t>Технічне редагування забезпечувала Hilary Cadman та її команда з компанії «Cadman Editing Services», Австралія.</w:t>
      </w:r>
    </w:p>
    <w:p w:rsidR="00ED665B" w:rsidRPr="00902A3C" w:rsidRDefault="006C7D2F" w:rsidP="00DC2656">
      <w:pPr>
        <w:spacing w:before="230"/>
        <w:rPr>
          <w:rFonts w:ascii="Calibri" w:hAnsi="Calibri" w:cs="Calibri"/>
          <w:b/>
          <w:bCs/>
        </w:rPr>
      </w:pPr>
      <w:r>
        <w:rPr>
          <w:rFonts w:ascii="Calibri" w:hAnsi="Calibri"/>
          <w:b/>
          <w:color w:val="009649"/>
          <w:sz w:val="28"/>
        </w:rPr>
        <w:t>Фінансування</w:t>
      </w:r>
    </w:p>
    <w:p w:rsidR="00ED665B" w:rsidRPr="00907702" w:rsidRDefault="006C7D2F" w:rsidP="00DC2656">
      <w:pPr>
        <w:spacing w:before="168"/>
        <w:ind w:right="5"/>
        <w:jc w:val="both"/>
        <w:rPr>
          <w:rFonts w:ascii="Calibri" w:hAnsi="Calibri" w:cs="Calibri"/>
        </w:rPr>
      </w:pPr>
      <w:r>
        <w:rPr>
          <w:rFonts w:ascii="Calibri" w:hAnsi="Calibri"/>
          <w:color w:val="000000"/>
          <w:sz w:val="22"/>
        </w:rPr>
        <w:t>Також висловлюємо подяку за фінансування з боку USAID через консолідований грант USAID – WHO №. US-2016–0961. Погляди фінансового агентства не вплинули на розробку та зміст цього керівництва.</w:t>
      </w:r>
    </w:p>
    <w:p w:rsidR="00ED665B" w:rsidRPr="00907702" w:rsidRDefault="00ED665B" w:rsidP="00DC2656">
      <w:pPr>
        <w:spacing w:before="168"/>
        <w:ind w:right="5"/>
        <w:jc w:val="both"/>
        <w:rPr>
          <w:rFonts w:ascii="Calibri" w:hAnsi="Calibri" w:cs="Calibri"/>
        </w:rPr>
        <w:sectPr w:rsidR="00ED665B" w:rsidRPr="00907702">
          <w:footerReference w:type="default" r:id="rId21"/>
          <w:pgSz w:w="11904" w:h="16838"/>
          <w:pgMar w:top="1378" w:right="1411" w:bottom="1450" w:left="1416" w:header="720" w:footer="720" w:gutter="0"/>
          <w:cols w:space="60"/>
          <w:noEndnote/>
        </w:sectPr>
      </w:pPr>
    </w:p>
    <w:p w:rsidR="00ED665B" w:rsidRPr="00902A3C" w:rsidRDefault="006C7D2F" w:rsidP="00DC2656">
      <w:pPr>
        <w:rPr>
          <w:rFonts w:ascii="Calibri" w:hAnsi="Calibri" w:cs="Calibri"/>
          <w:b/>
          <w:bCs/>
        </w:rPr>
      </w:pPr>
      <w:r>
        <w:rPr>
          <w:rFonts w:ascii="Calibri" w:hAnsi="Calibri"/>
          <w:b/>
          <w:color w:val="009649"/>
          <w:sz w:val="38"/>
        </w:rPr>
        <w:lastRenderedPageBreak/>
        <w:t>Тести на ампліфікацію нуклеїнової кислоти для виявлення ТБ</w:t>
      </w:r>
      <w:r w:rsidR="00A06243">
        <w:rPr>
          <w:rFonts w:ascii="Calibri" w:hAnsi="Calibri"/>
          <w:b/>
          <w:color w:val="009649"/>
          <w:sz w:val="38"/>
        </w:rPr>
        <w:t xml:space="preserve"> </w:t>
      </w:r>
      <w:r>
        <w:rPr>
          <w:rFonts w:ascii="Calibri" w:hAnsi="Calibri"/>
          <w:b/>
          <w:color w:val="009649"/>
          <w:sz w:val="38"/>
        </w:rPr>
        <w:t>і ЛС-ТБ</w:t>
      </w:r>
      <w:r>
        <w:rPr>
          <w:rFonts w:ascii="Calibri" w:hAnsi="Calibri"/>
          <w:b/>
          <w:color w:val="009649"/>
          <w:sz w:val="38"/>
          <w:vertAlign w:val="superscript"/>
        </w:rPr>
        <w:t>2</w:t>
      </w:r>
    </w:p>
    <w:p w:rsidR="00ED665B" w:rsidRPr="00902A3C" w:rsidRDefault="006C7D2F" w:rsidP="00DC2656">
      <w:pPr>
        <w:spacing w:before="211"/>
        <w:rPr>
          <w:rFonts w:ascii="Calibri" w:hAnsi="Calibri" w:cs="Calibri"/>
          <w:b/>
          <w:bCs/>
        </w:rPr>
      </w:pPr>
      <w:r>
        <w:rPr>
          <w:rFonts w:ascii="Calibri" w:hAnsi="Calibri"/>
          <w:b/>
          <w:color w:val="009649"/>
          <w:sz w:val="28"/>
        </w:rPr>
        <w:t>Група з розробки настанов</w:t>
      </w:r>
    </w:p>
    <w:p w:rsidR="00ED665B" w:rsidRPr="00907702" w:rsidRDefault="006C7D2F" w:rsidP="00DC2656">
      <w:pPr>
        <w:spacing w:before="168"/>
        <w:jc w:val="both"/>
        <w:rPr>
          <w:rFonts w:ascii="Calibri" w:hAnsi="Calibri" w:cs="Calibri"/>
        </w:rPr>
      </w:pPr>
      <w:r>
        <w:rPr>
          <w:rFonts w:ascii="Calibri" w:hAnsi="Calibri"/>
          <w:color w:val="000000"/>
          <w:sz w:val="22"/>
        </w:rPr>
        <w:t>Holger Schünemann (співголова), Університет МакМастера, Гамільтон, Канада (методолог); Jeremiah Chakaya Muhwa, співголова, Міжнародний союз боротьби з туберкульозом та захворюваннями легенів, Найробі, Кенія; Denise Arakaki-Sanchez, Міністр охорони здоров’я, Бразиліа, Бразилія; David Branigan, Група «Дієве лікування, Нью-Йорк, Сполучені Штати Америки (США); Daniela Cirillo, Наднаціональна лабораторія туберкульозу Сан -Рафаеле (ННРЛ), Мілан, Італія; Celina Anna Maria Garfn, Національна туберкульозна програма (НТП), Маніла, Філіппіни; Petra de Haas, Фонд протидії туберкульозу KNCV, Гаага, Нідерланди; Patricia Hall, Центри контролю та профілактики захворювань (ЦКЗ), Атланта, США; Rumina Hasan, кафедра патології та мікробіології, Університет Ага Хан, Карачі, Пакистан; Xia Hui, Національна референсна лабораторія з протитуберкульозної терапії та Національний центр контролю та профілактики туберкульозу, ЦКЗ Китаю, Пекін, Китай; Farzana Ismail, Центр туберкульозу, Національний інститут інфекційних захворювань (NICD)/Національна лабораторія охорони здоров’я (NHLS), та Наднаціональна референс лабораторія ВООЗ, Йоганнесбург, Південно -Африканська Республіка; Katharina Kranzer, Лондонська школа гігієни та тропічної медицини (LSHTM), Хараре, Зімбабве; Blessina Kumar, Глобальна коаліція діячів у питанні протитуберкульозної боротьби, Індія; Nagalineswaran Kumarasamy, Центр досліджень та освіти у сфері СНІД ЮР Гайтонде (Група нагляду Центру), Добровільні медичні послуги, Ченнаї, Індія; Lindiwe Mvusi, НТП, Преторія, ПАР; Viet Nhung Nguyen, Національна програма контролю туберкульозу, Міністерство охорони здоров’я, Ханой, В’єтнам; Mark Nicol, Університет Західної Австралії, Перт, Австралія; Leen Rigouts, Інститут тропічної медицини принца Леопольда, Брюссель, Бельгія; Thomas Shinnick, незалежний консультант, Атланта, США; Ходжун Сон, Університет Джона Хопкінса, Балтимор, США; Sabira Tahseen, Національна туберкульозна програма, Міністерство національних правил охорони здоров’я та координації, Уряд Пакистану, Ісламабад, Пакистан; Ezio Tavora dos Santos Filho, член Робочої групи громадянського суспільства, Ріо-де-Жанейро, Бразилія; Carrie Tudor, директор проекту з протитуберкульозної медицини, Міжнародна рада медсестер, Дурбан, ПАР; Діана Вахрушева, Національний медичний науково -дослідний центр фтизіопульмонології та інфекційних хвороб, Єкатеринбург, Російська Федерація; Elisabetta Walters, протитуберкульозний центр Десмонда Туту, кафедра педіатрії та здоров’я дітей, Університет Стелленбоша, Кейптаун, ПАР.</w:t>
      </w:r>
    </w:p>
    <w:p w:rsidR="00ED665B" w:rsidRPr="00902A3C" w:rsidRDefault="006C7D2F" w:rsidP="00DC2656">
      <w:pPr>
        <w:spacing w:before="230"/>
        <w:rPr>
          <w:rFonts w:ascii="Calibri" w:hAnsi="Calibri" w:cs="Calibri"/>
          <w:b/>
          <w:bCs/>
        </w:rPr>
      </w:pPr>
      <w:r>
        <w:rPr>
          <w:rFonts w:ascii="Calibri" w:hAnsi="Calibri"/>
          <w:b/>
          <w:color w:val="009649"/>
          <w:sz w:val="28"/>
        </w:rPr>
        <w:t>Група зовнішнього рецензування</w:t>
      </w:r>
    </w:p>
    <w:p w:rsidR="00ED665B" w:rsidRPr="00907702" w:rsidRDefault="006C7D2F" w:rsidP="00DC2656">
      <w:pPr>
        <w:spacing w:before="168"/>
        <w:jc w:val="both"/>
        <w:rPr>
          <w:rFonts w:ascii="Calibri" w:hAnsi="Calibri" w:cs="Calibri"/>
        </w:rPr>
      </w:pPr>
      <w:r>
        <w:rPr>
          <w:rFonts w:ascii="Calibri" w:hAnsi="Calibri"/>
          <w:color w:val="000000"/>
          <w:sz w:val="22"/>
        </w:rPr>
        <w:t>Lucilaine Ferrazoli, Інститут Адольфо Лутц, Сан-Паулу, Бразилія; Alaine Umubyeyi Nyaruhirira, Науки менеджменту охорони здоров’я, ПАР; Elisa Tagliani, Наднаціональна лабораторія туберкульозу Сан-Рафаеле, Мілан, Італія; Francis Varaine, «Лікарі без кордонів» (Médecins Sans Frontières), Париж, Франція; Данило Зіменков, Інститут молекулярної біології ім. Енгельгардта, Москва, Російська Федерація.</w:t>
      </w:r>
    </w:p>
    <w:p w:rsidR="00ED665B" w:rsidRPr="00902A3C" w:rsidRDefault="006C7D2F" w:rsidP="00DC2656">
      <w:pPr>
        <w:spacing w:before="230"/>
        <w:rPr>
          <w:rFonts w:ascii="Calibri" w:hAnsi="Calibri" w:cs="Calibri"/>
          <w:b/>
          <w:bCs/>
        </w:rPr>
      </w:pPr>
      <w:r>
        <w:rPr>
          <w:rFonts w:ascii="Calibri" w:hAnsi="Calibri"/>
          <w:b/>
          <w:color w:val="009649"/>
          <w:sz w:val="28"/>
        </w:rPr>
        <w:t>Команда систематичного огляду</w:t>
      </w:r>
    </w:p>
    <w:p w:rsidR="00ED665B" w:rsidRPr="00F22286" w:rsidRDefault="006C7D2F" w:rsidP="00F22286">
      <w:pPr>
        <w:spacing w:before="163"/>
        <w:jc w:val="both"/>
        <w:rPr>
          <w:rFonts w:ascii="Calibri" w:hAnsi="Calibri" w:cs="Calibri"/>
        </w:rPr>
      </w:pPr>
      <w:r>
        <w:rPr>
          <w:rFonts w:ascii="Calibri" w:hAnsi="Calibri"/>
          <w:color w:val="000000"/>
          <w:sz w:val="22"/>
        </w:rPr>
        <w:t>Mikashmi Kohli, Університет Макгілла, Монреаль, Канада; Samuel Schumacher, Фонд інноваційної нової діагностики (FIND), Женева, Швейцарія; Karen Steingart, Кокрейнівська</w:t>
      </w:r>
      <w:r w:rsidR="00F22286" w:rsidRPr="00F22286">
        <w:rPr>
          <w:rFonts w:ascii="Calibri" w:hAnsi="Calibri"/>
          <w:color w:val="000000"/>
          <w:sz w:val="22"/>
        </w:rPr>
        <w:t xml:space="preserve"> </w:t>
      </w:r>
      <w:r w:rsidR="00F22286">
        <w:rPr>
          <w:rFonts w:ascii="Calibri" w:hAnsi="Calibri"/>
          <w:color w:val="000000"/>
          <w:sz w:val="22"/>
        </w:rPr>
        <w:t>група інфекційних</w:t>
      </w:r>
    </w:p>
    <w:p w:rsidR="00902A3C" w:rsidRPr="00902A3C" w:rsidRDefault="00902A3C" w:rsidP="00DC2656">
      <w:pPr>
        <w:spacing w:before="586"/>
        <w:rPr>
          <w:rFonts w:ascii="Calibri" w:hAnsi="Calibri" w:cs="Calibri"/>
          <w:color w:val="000000"/>
          <w:sz w:val="16"/>
          <w:szCs w:val="16"/>
          <w:u w:val="single"/>
          <w:vertAlign w:val="superscript"/>
        </w:rPr>
      </w:pPr>
      <w:r>
        <w:rPr>
          <w:rFonts w:ascii="Calibri" w:hAnsi="Calibri"/>
          <w:color w:val="000000"/>
          <w:sz w:val="16"/>
          <w:u w:val="single"/>
          <w:vertAlign w:val="superscript"/>
        </w:rPr>
        <w:tab/>
      </w:r>
      <w:r>
        <w:rPr>
          <w:rFonts w:ascii="Calibri" w:hAnsi="Calibri"/>
          <w:color w:val="000000"/>
          <w:sz w:val="16"/>
          <w:u w:val="single"/>
          <w:vertAlign w:val="superscript"/>
        </w:rPr>
        <w:tab/>
      </w:r>
      <w:r>
        <w:rPr>
          <w:rFonts w:ascii="Calibri" w:hAnsi="Calibri"/>
          <w:color w:val="000000"/>
          <w:sz w:val="16"/>
          <w:u w:val="single"/>
          <w:vertAlign w:val="superscript"/>
        </w:rPr>
        <w:tab/>
      </w:r>
    </w:p>
    <w:p w:rsidR="00ED665B" w:rsidRPr="00907702" w:rsidRDefault="006C7D2F" w:rsidP="006A232C">
      <w:pPr>
        <w:jc w:val="both"/>
        <w:rPr>
          <w:rFonts w:ascii="Calibri" w:hAnsi="Calibri" w:cs="Calibri"/>
        </w:rPr>
      </w:pPr>
      <w:r>
        <w:rPr>
          <w:rFonts w:ascii="Calibri" w:hAnsi="Calibri"/>
          <w:color w:val="000000"/>
          <w:sz w:val="16"/>
          <w:vertAlign w:val="superscript"/>
        </w:rPr>
        <w:t>2</w:t>
      </w:r>
      <w:r>
        <w:rPr>
          <w:rFonts w:ascii="Calibri" w:hAnsi="Calibri"/>
          <w:color w:val="000000"/>
          <w:sz w:val="16"/>
        </w:rPr>
        <w:t xml:space="preserve"> Автоматизовані ТАНК помірної складності; автоматизовані ТАНК низької складності та ТАНК на основі гібридизації високої складності</w:t>
      </w:r>
    </w:p>
    <w:p w:rsidR="00ED665B" w:rsidRPr="00907702" w:rsidRDefault="00ED665B" w:rsidP="00DC2656">
      <w:pPr>
        <w:spacing w:before="586"/>
        <w:rPr>
          <w:rFonts w:ascii="Calibri" w:hAnsi="Calibri" w:cs="Calibri"/>
        </w:rPr>
        <w:sectPr w:rsidR="00ED665B" w:rsidRPr="00907702">
          <w:footerReference w:type="even" r:id="rId22"/>
          <w:pgSz w:w="11904" w:h="16838"/>
          <w:pgMar w:top="1363" w:right="1411" w:bottom="1378" w:left="1416" w:header="720" w:footer="720" w:gutter="0"/>
          <w:cols w:space="60"/>
          <w:noEndnote/>
        </w:sectPr>
      </w:pPr>
    </w:p>
    <w:p w:rsidR="00ED665B" w:rsidRPr="00907702" w:rsidRDefault="006C7D2F" w:rsidP="00DC2656">
      <w:pPr>
        <w:jc w:val="both"/>
        <w:rPr>
          <w:rFonts w:ascii="Calibri" w:hAnsi="Calibri" w:cs="Calibri"/>
        </w:rPr>
      </w:pPr>
      <w:r>
        <w:rPr>
          <w:rFonts w:ascii="Calibri" w:hAnsi="Calibri"/>
          <w:color w:val="000000"/>
          <w:sz w:val="22"/>
        </w:rPr>
        <w:lastRenderedPageBreak/>
        <w:t>хвороб, Ліверпульська школа тропічної медицини, Портленд, США; Grant Theron, Університет Стелленбоша, Стелленбош, ПАР; Annelies Van Rie, Антверпенський університет, Антверпен, Бельгія; Michael Whitfeld, Антверпенський університет, Антверпен, Бельгія; Alice Zwerling, Школа епідеміології та громадського здоров’я, Університет Оттави, Канада; Sazia Naz, Школа епідеміології та громадського здоров’я, Університет Оттави, Канада; Brianna Empringham, Школа епідеміології та громадського здоров’я, Університет Оттави, Канада; Nora Engel, Департамент охорони здоров’я, етики та суспільства, Інститут догляду та громадського здоров’я (CAPHRI), Маастрихтський університет, Маастрихт, Нідерланди; Ricky Janssen, Департамент охорони здоров’я, етики та суспільства, CAPHRI, Маастрихтський університет, Маастрихт, Нідерланди; Muthoni Mwaura, Департамент охорони здоров’я, етики та суспільства, CAPHRI, Маастрихтський університет, Маастрихт, Нідерланди.</w:t>
      </w:r>
    </w:p>
    <w:p w:rsidR="00ED665B" w:rsidRPr="00902A3C" w:rsidRDefault="006C7D2F" w:rsidP="00DC2656">
      <w:pPr>
        <w:spacing w:before="230"/>
        <w:rPr>
          <w:rFonts w:ascii="Calibri" w:hAnsi="Calibri" w:cs="Calibri"/>
          <w:b/>
          <w:bCs/>
          <w:color w:val="009649"/>
        </w:rPr>
      </w:pPr>
      <w:r>
        <w:rPr>
          <w:rFonts w:ascii="Calibri" w:hAnsi="Calibri"/>
          <w:b/>
          <w:color w:val="009649"/>
          <w:sz w:val="28"/>
        </w:rPr>
        <w:t>Оглядачі</w:t>
      </w:r>
    </w:p>
    <w:p w:rsidR="00ED665B" w:rsidRPr="00907702" w:rsidRDefault="006C7D2F" w:rsidP="00DC2656">
      <w:pPr>
        <w:spacing w:before="168"/>
        <w:ind w:right="5"/>
        <w:jc w:val="both"/>
        <w:rPr>
          <w:rFonts w:ascii="Calibri" w:hAnsi="Calibri" w:cs="Calibri"/>
        </w:rPr>
      </w:pPr>
      <w:r>
        <w:rPr>
          <w:rFonts w:ascii="Calibri" w:hAnsi="Calibri"/>
          <w:color w:val="000000"/>
          <w:sz w:val="22"/>
        </w:rPr>
        <w:t>Elie Akl, Американський університет у Бейруті, Бейрут, Ліван; Draurio Cravo Neto Barreira, Unitaid, Женева, Швейцарія; Fatim Cham-Jallow, Глобальний фонд боротьби зі СНІДом, туберкульозом та малярією, Женева, Швейцарія; Margaretha de Vos, FIND, Женева, Швейцарія; Brian Kaiser, Глобальний механізм із забезпечення лікарськими засобами, Партнерство «Стоп туберкульоз», Женева, Швейцарія; Gloriah Kerubo Moses, член Правління програми репродуктивного здоров’я молоді та підлітків (AYARHEP), Найробі, Кенія; Amy Piatek, Агентство США з міжнародного розвитку (USAID), Вашингтон, США; Morten Ruhwald, FIND, Женева, Швейцарія; Srinath Satyanarayana, Міжнародний союз проти туберкульозу та хвороб легенів, Нью -Делі, Індія; Wayne Van Gemert, Стратегії ринку діагностики туберкульозу, Партнерство «Стоп туберкульоз», Женева, Швейцарія.</w:t>
      </w:r>
    </w:p>
    <w:p w:rsidR="00ED665B" w:rsidRPr="00902A3C" w:rsidRDefault="006C7D2F" w:rsidP="00DC2656">
      <w:pPr>
        <w:spacing w:before="230"/>
        <w:rPr>
          <w:rFonts w:ascii="Calibri" w:hAnsi="Calibri" w:cs="Calibri"/>
          <w:b/>
          <w:bCs/>
          <w:color w:val="009649"/>
        </w:rPr>
      </w:pPr>
      <w:r>
        <w:rPr>
          <w:rFonts w:ascii="Calibri" w:hAnsi="Calibri"/>
          <w:b/>
          <w:color w:val="009649"/>
          <w:sz w:val="28"/>
        </w:rPr>
        <w:t>Керівний комітет ВООЗ</w:t>
      </w:r>
    </w:p>
    <w:p w:rsidR="00ED665B" w:rsidRPr="00907702" w:rsidRDefault="006C7D2F" w:rsidP="00DC2656">
      <w:pPr>
        <w:spacing w:before="168"/>
        <w:ind w:right="5"/>
        <w:jc w:val="both"/>
        <w:rPr>
          <w:rFonts w:ascii="Calibri" w:hAnsi="Calibri" w:cs="Calibri"/>
        </w:rPr>
      </w:pPr>
      <w:r>
        <w:rPr>
          <w:rFonts w:ascii="Calibri" w:hAnsi="Calibri"/>
          <w:color w:val="000000"/>
          <w:sz w:val="22"/>
        </w:rPr>
        <w:t>Роботу над цими вказівками курирували Nazir Ismail та Олексій Коробіцин за участю Dennis Falzon, Cecily Miller, Фуада Мірзаєва, Lice Gonzalez-Angulo, Anna Dean, Annabel Baddeley, Carl-Michael Nathanson (усі – учасники Глобальної програми боротьби з туберкульозом ВООЗ), Lara Vojnov (учасниця Глобальної програми з ВІЛ ВООЗ), Mersedes Gonzalez («Інновації, доступ та використання» ВООЗ ) та Soudeh Ehsani (Регіональне бюро ВООЗ у Європі).</w:t>
      </w:r>
    </w:p>
    <w:p w:rsidR="00ED665B" w:rsidRPr="00902A3C" w:rsidRDefault="006C7D2F" w:rsidP="00DC2656">
      <w:pPr>
        <w:spacing w:before="230"/>
        <w:rPr>
          <w:rFonts w:ascii="Calibri" w:hAnsi="Calibri" w:cs="Calibri"/>
          <w:b/>
          <w:bCs/>
          <w:color w:val="009649"/>
        </w:rPr>
      </w:pPr>
      <w:r>
        <w:rPr>
          <w:rFonts w:ascii="Calibri" w:hAnsi="Calibri"/>
          <w:b/>
          <w:color w:val="009649"/>
          <w:sz w:val="28"/>
        </w:rPr>
        <w:t>Фінансування</w:t>
      </w:r>
    </w:p>
    <w:p w:rsidR="00ED665B" w:rsidRPr="00907702" w:rsidRDefault="006C7D2F" w:rsidP="00DC2656">
      <w:pPr>
        <w:spacing w:before="168"/>
        <w:ind w:right="5"/>
        <w:jc w:val="both"/>
        <w:rPr>
          <w:rFonts w:ascii="Calibri" w:hAnsi="Calibri" w:cs="Calibri"/>
        </w:rPr>
      </w:pPr>
      <w:r>
        <w:rPr>
          <w:rFonts w:ascii="Calibri" w:hAnsi="Calibri"/>
          <w:color w:val="000000"/>
          <w:sz w:val="22"/>
        </w:rPr>
        <w:t>Також висловлюємо подяку за фінансування Російській Федерації через консолідований грант Російська Федерація – ВООЗ №. REM-RUS-030. Погляди фінансового агентства не вплинули на розробку та зміст цього керівництва.</w:t>
      </w:r>
    </w:p>
    <w:p w:rsidR="00ED665B" w:rsidRPr="00907702" w:rsidRDefault="006C7D2F" w:rsidP="00DC2656">
      <w:pPr>
        <w:spacing w:before="216"/>
        <w:rPr>
          <w:rFonts w:ascii="Calibri" w:hAnsi="Calibri" w:cs="Calibri"/>
        </w:rPr>
      </w:pPr>
      <w:r>
        <w:rPr>
          <w:rFonts w:ascii="Calibri" w:hAnsi="Calibri"/>
          <w:color w:val="000000"/>
          <w:sz w:val="22"/>
        </w:rPr>
        <w:t>Технічне редагування здійснюється Cadman, а дизайн – Inis Communication.</w:t>
      </w:r>
    </w:p>
    <w:p w:rsidR="00ED665B" w:rsidRPr="00907702" w:rsidRDefault="00ED665B" w:rsidP="00DC2656">
      <w:pPr>
        <w:spacing w:before="216"/>
        <w:rPr>
          <w:rFonts w:ascii="Calibri" w:hAnsi="Calibri" w:cs="Calibri"/>
        </w:rPr>
        <w:sectPr w:rsidR="00ED665B" w:rsidRPr="00907702" w:rsidSect="00A06243">
          <w:footerReference w:type="default" r:id="rId23"/>
          <w:pgSz w:w="11904" w:h="16838"/>
          <w:pgMar w:top="1339" w:right="1411" w:bottom="2268" w:left="1416" w:header="720" w:footer="720" w:gutter="0"/>
          <w:cols w:space="60"/>
          <w:noEndnote/>
        </w:sectPr>
      </w:pPr>
    </w:p>
    <w:p w:rsidR="00ED665B" w:rsidRPr="00902A3C" w:rsidRDefault="00CD1F71" w:rsidP="00DC2656">
      <w:pPr>
        <w:rPr>
          <w:rFonts w:ascii="Calibri" w:hAnsi="Calibri" w:cs="Calibri"/>
          <w:color w:val="009649"/>
        </w:rPr>
      </w:pPr>
      <w:bookmarkStart w:id="1" w:name="bookmark1"/>
      <w:r>
        <w:rPr>
          <w:rFonts w:ascii="Calibri" w:hAnsi="Calibri"/>
          <w:noProof/>
          <w:color w:val="009649"/>
          <w:sz w:val="64"/>
          <w:lang w:val="en-US" w:bidi="ar-SA"/>
        </w:rPr>
        <w:lastRenderedPageBreak/>
        <w:drawing>
          <wp:anchor distT="0" distB="0" distL="6400800" distR="6400800" simplePos="0" relativeHeight="251646976" behindDoc="1" locked="0" layoutInCell="0" allowOverlap="1">
            <wp:simplePos x="0" y="0"/>
            <wp:positionH relativeFrom="page">
              <wp:posOffset>1270</wp:posOffset>
            </wp:positionH>
            <wp:positionV relativeFrom="page">
              <wp:posOffset>1905</wp:posOffset>
            </wp:positionV>
            <wp:extent cx="7562850" cy="1647825"/>
            <wp:effectExtent l="0" t="0" r="0" b="0"/>
            <wp:wrapNone/>
            <wp:docPr id="2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28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9649"/>
          <w:sz w:val="64"/>
        </w:rPr>
        <w:t>С</w:t>
      </w:r>
      <w:bookmarkEnd w:id="1"/>
      <w:r>
        <w:rPr>
          <w:rFonts w:ascii="Calibri" w:hAnsi="Calibri"/>
          <w:color w:val="009649"/>
          <w:sz w:val="64"/>
        </w:rPr>
        <w:t>корочення та абревіатури</w:t>
      </w:r>
    </w:p>
    <w:p w:rsidR="00ED665B" w:rsidRPr="00907702" w:rsidRDefault="006C7D2F" w:rsidP="00902A3C">
      <w:pPr>
        <w:tabs>
          <w:tab w:val="left" w:pos="1546"/>
        </w:tabs>
        <w:spacing w:before="600"/>
        <w:rPr>
          <w:rFonts w:ascii="Calibri" w:hAnsi="Calibri" w:cs="Calibri"/>
        </w:rPr>
      </w:pPr>
      <w:r>
        <w:rPr>
          <w:rFonts w:ascii="Calibri" w:hAnsi="Calibri"/>
          <w:color w:val="009649"/>
          <w:sz w:val="22"/>
        </w:rPr>
        <w:t>Ag</w:t>
      </w:r>
      <w:r>
        <w:rPr>
          <w:rFonts w:ascii="Calibri" w:hAnsi="Calibri"/>
          <w:color w:val="009649"/>
          <w:sz w:val="22"/>
        </w:rPr>
        <w:tab/>
      </w:r>
      <w:r>
        <w:rPr>
          <w:rFonts w:ascii="Calibri" w:hAnsi="Calibri"/>
          <w:color w:val="000000"/>
          <w:sz w:val="22"/>
        </w:rPr>
        <w:t>антиген</w:t>
      </w:r>
    </w:p>
    <w:p w:rsidR="00ED665B" w:rsidRPr="00907702" w:rsidRDefault="006C7D2F" w:rsidP="00902A3C">
      <w:pPr>
        <w:tabs>
          <w:tab w:val="left" w:pos="1546"/>
        </w:tabs>
        <w:rPr>
          <w:rFonts w:ascii="Calibri" w:hAnsi="Calibri" w:cs="Calibri"/>
        </w:rPr>
      </w:pPr>
      <w:r>
        <w:rPr>
          <w:rFonts w:ascii="Calibri" w:hAnsi="Calibri"/>
          <w:color w:val="009649"/>
          <w:sz w:val="22"/>
        </w:rPr>
        <w:t>AlereLAM</w:t>
      </w:r>
      <w:r>
        <w:rPr>
          <w:rFonts w:ascii="Calibri" w:hAnsi="Calibri"/>
          <w:color w:val="009649"/>
          <w:sz w:val="22"/>
        </w:rPr>
        <w:tab/>
      </w:r>
      <w:r>
        <w:rPr>
          <w:rFonts w:ascii="Calibri" w:hAnsi="Calibri"/>
          <w:color w:val="000000"/>
          <w:sz w:val="22"/>
        </w:rPr>
        <w:t>Тест для діагностики туберкульозу Alere Determine™ TB LAM Ag</w:t>
      </w:r>
    </w:p>
    <w:p w:rsidR="00ED665B" w:rsidRPr="00907702" w:rsidRDefault="006C7D2F" w:rsidP="00902A3C">
      <w:pPr>
        <w:tabs>
          <w:tab w:val="left" w:pos="1546"/>
        </w:tabs>
        <w:rPr>
          <w:rFonts w:ascii="Calibri" w:hAnsi="Calibri" w:cs="Calibri"/>
        </w:rPr>
      </w:pPr>
      <w:r>
        <w:rPr>
          <w:rFonts w:ascii="Calibri" w:hAnsi="Calibri"/>
          <w:color w:val="009649"/>
          <w:sz w:val="22"/>
        </w:rPr>
        <w:t>BD</w:t>
      </w:r>
      <w:r>
        <w:rPr>
          <w:rFonts w:ascii="Calibri" w:hAnsi="Calibri"/>
          <w:color w:val="009649"/>
          <w:sz w:val="22"/>
        </w:rPr>
        <w:tab/>
      </w:r>
      <w:r>
        <w:rPr>
          <w:rFonts w:ascii="Calibri" w:hAnsi="Calibri"/>
          <w:color w:val="000000"/>
          <w:sz w:val="22"/>
        </w:rPr>
        <w:t>компанія «Becton Dickinson»</w:t>
      </w:r>
    </w:p>
    <w:p w:rsidR="00ED665B" w:rsidRPr="00907702" w:rsidRDefault="006C7D2F" w:rsidP="00902A3C">
      <w:pPr>
        <w:tabs>
          <w:tab w:val="left" w:pos="1546"/>
        </w:tabs>
        <w:rPr>
          <w:rFonts w:ascii="Calibri" w:hAnsi="Calibri" w:cs="Calibri"/>
        </w:rPr>
      </w:pPr>
      <w:r>
        <w:rPr>
          <w:rFonts w:ascii="Calibri" w:hAnsi="Calibri"/>
          <w:color w:val="009649"/>
          <w:sz w:val="22"/>
        </w:rPr>
        <w:t>CAPHRI</w:t>
      </w:r>
      <w:r>
        <w:rPr>
          <w:rFonts w:ascii="Calibri" w:hAnsi="Calibri"/>
          <w:color w:val="009649"/>
          <w:sz w:val="22"/>
        </w:rPr>
        <w:tab/>
      </w:r>
      <w:r>
        <w:rPr>
          <w:rFonts w:ascii="Calibri" w:hAnsi="Calibri"/>
          <w:color w:val="000000"/>
          <w:sz w:val="22"/>
        </w:rPr>
        <w:t>Дослідницький інститут охорони здоров’я</w:t>
      </w:r>
    </w:p>
    <w:p w:rsidR="00ED665B" w:rsidRPr="00907702" w:rsidRDefault="006C7D2F" w:rsidP="00902A3C">
      <w:pPr>
        <w:tabs>
          <w:tab w:val="left" w:pos="1546"/>
        </w:tabs>
        <w:rPr>
          <w:rFonts w:ascii="Calibri" w:hAnsi="Calibri" w:cs="Calibri"/>
        </w:rPr>
      </w:pPr>
      <w:r>
        <w:rPr>
          <w:rFonts w:ascii="Calibri" w:hAnsi="Calibri"/>
          <w:color w:val="009649"/>
          <w:sz w:val="22"/>
        </w:rPr>
        <w:t>КУО</w:t>
      </w:r>
      <w:r>
        <w:rPr>
          <w:rFonts w:ascii="Calibri" w:hAnsi="Calibri"/>
          <w:color w:val="009649"/>
          <w:sz w:val="22"/>
        </w:rPr>
        <w:tab/>
      </w:r>
      <w:r>
        <w:rPr>
          <w:rFonts w:ascii="Calibri" w:hAnsi="Calibri"/>
          <w:color w:val="000000"/>
          <w:sz w:val="22"/>
        </w:rPr>
        <w:t>колонієутворюючі одиниці</w:t>
      </w:r>
    </w:p>
    <w:p w:rsidR="00ED665B" w:rsidRPr="00907702" w:rsidRDefault="006C7D2F" w:rsidP="00902A3C">
      <w:pPr>
        <w:tabs>
          <w:tab w:val="left" w:pos="1546"/>
        </w:tabs>
        <w:rPr>
          <w:rFonts w:ascii="Calibri" w:hAnsi="Calibri" w:cs="Calibri"/>
        </w:rPr>
      </w:pPr>
      <w:r>
        <w:rPr>
          <w:rFonts w:ascii="Calibri" w:hAnsi="Calibri"/>
          <w:color w:val="009649"/>
          <w:sz w:val="22"/>
        </w:rPr>
        <w:t>ДІ</w:t>
      </w:r>
      <w:r>
        <w:rPr>
          <w:rFonts w:ascii="Calibri" w:hAnsi="Calibri"/>
          <w:color w:val="009649"/>
          <w:sz w:val="22"/>
        </w:rPr>
        <w:tab/>
      </w:r>
      <w:r>
        <w:rPr>
          <w:rFonts w:ascii="Calibri" w:hAnsi="Calibri"/>
          <w:color w:val="000000"/>
          <w:sz w:val="22"/>
        </w:rPr>
        <w:t xml:space="preserve">довірчий інтервал </w:t>
      </w:r>
    </w:p>
    <w:p w:rsidR="00ED665B" w:rsidRPr="00907702" w:rsidRDefault="006C7D2F" w:rsidP="00902A3C">
      <w:pPr>
        <w:tabs>
          <w:tab w:val="left" w:pos="1546"/>
        </w:tabs>
        <w:rPr>
          <w:rFonts w:ascii="Calibri" w:hAnsi="Calibri" w:cs="Calibri"/>
        </w:rPr>
      </w:pPr>
      <w:r>
        <w:rPr>
          <w:rFonts w:ascii="Calibri" w:hAnsi="Calibri"/>
          <w:color w:val="009649"/>
          <w:sz w:val="22"/>
        </w:rPr>
        <w:t>COI</w:t>
      </w:r>
      <w:r>
        <w:rPr>
          <w:rFonts w:ascii="Calibri" w:hAnsi="Calibri"/>
          <w:color w:val="009649"/>
          <w:sz w:val="22"/>
        </w:rPr>
        <w:tab/>
      </w:r>
      <w:r>
        <w:rPr>
          <w:rFonts w:ascii="Calibri" w:hAnsi="Calibri"/>
          <w:color w:val="000000"/>
          <w:sz w:val="22"/>
        </w:rPr>
        <w:t>конфлікт інтересів</w:t>
      </w:r>
    </w:p>
    <w:p w:rsidR="00ED665B" w:rsidRPr="00907702" w:rsidRDefault="006C7D2F" w:rsidP="00902A3C">
      <w:pPr>
        <w:tabs>
          <w:tab w:val="left" w:pos="1546"/>
        </w:tabs>
        <w:rPr>
          <w:rFonts w:ascii="Calibri" w:hAnsi="Calibri" w:cs="Calibri"/>
        </w:rPr>
      </w:pPr>
      <w:r>
        <w:rPr>
          <w:rFonts w:ascii="Calibri" w:hAnsi="Calibri"/>
          <w:color w:val="009649"/>
          <w:sz w:val="22"/>
        </w:rPr>
        <w:t>СРС</w:t>
      </w:r>
      <w:r w:rsidR="00BE5914">
        <w:rPr>
          <w:rFonts w:ascii="Calibri" w:hAnsi="Calibri"/>
          <w:color w:val="009649"/>
          <w:sz w:val="22"/>
        </w:rPr>
        <w:tab/>
      </w:r>
      <w:r>
        <w:rPr>
          <w:rFonts w:ascii="Calibri" w:hAnsi="Calibri"/>
          <w:color w:val="000000"/>
          <w:sz w:val="22"/>
        </w:rPr>
        <w:t>складений референс стандарт</w:t>
      </w:r>
    </w:p>
    <w:p w:rsidR="00ED665B" w:rsidRPr="00907702" w:rsidRDefault="006C7D2F" w:rsidP="00902A3C">
      <w:pPr>
        <w:tabs>
          <w:tab w:val="left" w:pos="1546"/>
        </w:tabs>
        <w:rPr>
          <w:rFonts w:ascii="Calibri" w:hAnsi="Calibri" w:cs="Calibri"/>
        </w:rPr>
      </w:pPr>
      <w:r>
        <w:rPr>
          <w:rFonts w:ascii="Calibri" w:hAnsi="Calibri"/>
          <w:color w:val="009649"/>
          <w:sz w:val="22"/>
        </w:rPr>
        <w:t>СМР</w:t>
      </w:r>
      <w:r>
        <w:rPr>
          <w:rFonts w:ascii="Calibri" w:hAnsi="Calibri"/>
          <w:color w:val="009649"/>
          <w:sz w:val="22"/>
        </w:rPr>
        <w:tab/>
      </w:r>
      <w:r>
        <w:rPr>
          <w:rFonts w:ascii="Calibri" w:hAnsi="Calibri"/>
          <w:color w:val="000000"/>
          <w:sz w:val="22"/>
        </w:rPr>
        <w:t>спинномозкова рідина</w:t>
      </w:r>
    </w:p>
    <w:p w:rsidR="00ED665B" w:rsidRPr="00907702" w:rsidRDefault="006C7D2F" w:rsidP="00902A3C">
      <w:pPr>
        <w:tabs>
          <w:tab w:val="left" w:pos="1546"/>
        </w:tabs>
        <w:rPr>
          <w:rFonts w:ascii="Calibri" w:hAnsi="Calibri" w:cs="Calibri"/>
        </w:rPr>
      </w:pPr>
      <w:r>
        <w:rPr>
          <w:rFonts w:ascii="Calibri" w:hAnsi="Calibri"/>
          <w:color w:val="009649"/>
          <w:sz w:val="22"/>
        </w:rPr>
        <w:t>DIAMA</w:t>
      </w:r>
      <w:r>
        <w:rPr>
          <w:rFonts w:ascii="Calibri" w:hAnsi="Calibri"/>
          <w:color w:val="009649"/>
          <w:sz w:val="22"/>
        </w:rPr>
        <w:tab/>
      </w:r>
      <w:r>
        <w:rPr>
          <w:rFonts w:ascii="Calibri" w:hAnsi="Calibri"/>
          <w:color w:val="000000"/>
          <w:sz w:val="22"/>
        </w:rPr>
        <w:t>Діагностика мультирезистентного туберкульозу в Африці</w:t>
      </w:r>
    </w:p>
    <w:p w:rsidR="00ED665B" w:rsidRPr="00907702" w:rsidRDefault="006C7D2F" w:rsidP="00902A3C">
      <w:pPr>
        <w:tabs>
          <w:tab w:val="left" w:pos="1546"/>
        </w:tabs>
        <w:rPr>
          <w:rFonts w:ascii="Calibri" w:hAnsi="Calibri" w:cs="Calibri"/>
        </w:rPr>
      </w:pPr>
      <w:r>
        <w:rPr>
          <w:rFonts w:ascii="Calibri" w:hAnsi="Calibri"/>
          <w:color w:val="009649"/>
          <w:sz w:val="22"/>
        </w:rPr>
        <w:t>ДНК</w:t>
      </w:r>
      <w:r>
        <w:rPr>
          <w:rFonts w:ascii="Calibri" w:hAnsi="Calibri"/>
          <w:color w:val="009649"/>
          <w:sz w:val="22"/>
        </w:rPr>
        <w:tab/>
      </w:r>
      <w:r>
        <w:rPr>
          <w:rFonts w:ascii="Calibri" w:hAnsi="Calibri"/>
          <w:color w:val="000000"/>
          <w:sz w:val="22"/>
        </w:rPr>
        <w:t>дезоксирибонуклеїнова кислота</w:t>
      </w:r>
    </w:p>
    <w:p w:rsidR="00ED665B" w:rsidRPr="00907702" w:rsidRDefault="006C7D2F" w:rsidP="00902A3C">
      <w:pPr>
        <w:tabs>
          <w:tab w:val="left" w:pos="1546"/>
        </w:tabs>
        <w:rPr>
          <w:rFonts w:ascii="Calibri" w:hAnsi="Calibri" w:cs="Calibri"/>
        </w:rPr>
      </w:pPr>
      <w:r>
        <w:rPr>
          <w:rFonts w:ascii="Calibri" w:hAnsi="Calibri"/>
          <w:color w:val="009649"/>
          <w:sz w:val="22"/>
        </w:rPr>
        <w:t>DOI</w:t>
      </w:r>
      <w:r>
        <w:rPr>
          <w:rFonts w:ascii="Calibri" w:hAnsi="Calibri"/>
          <w:color w:val="009649"/>
          <w:sz w:val="22"/>
        </w:rPr>
        <w:tab/>
      </w:r>
      <w:r>
        <w:rPr>
          <w:rFonts w:ascii="Calibri" w:hAnsi="Calibri"/>
          <w:color w:val="000000"/>
          <w:sz w:val="22"/>
        </w:rPr>
        <w:t>декларація інтересів</w:t>
      </w:r>
    </w:p>
    <w:p w:rsidR="00ED665B" w:rsidRPr="00907702" w:rsidRDefault="006C7D2F" w:rsidP="00902A3C">
      <w:pPr>
        <w:tabs>
          <w:tab w:val="left" w:pos="1546"/>
        </w:tabs>
        <w:rPr>
          <w:rFonts w:ascii="Calibri" w:hAnsi="Calibri" w:cs="Calibri"/>
        </w:rPr>
      </w:pPr>
      <w:r>
        <w:rPr>
          <w:rFonts w:ascii="Calibri" w:hAnsi="Calibri"/>
          <w:color w:val="009649"/>
          <w:sz w:val="22"/>
        </w:rPr>
        <w:t>ЛС-ТБ</w:t>
      </w:r>
      <w:r>
        <w:rPr>
          <w:rFonts w:ascii="Calibri" w:hAnsi="Calibri"/>
          <w:color w:val="009649"/>
          <w:sz w:val="22"/>
        </w:rPr>
        <w:tab/>
      </w:r>
      <w:r>
        <w:rPr>
          <w:rFonts w:ascii="Calibri" w:hAnsi="Calibri"/>
          <w:color w:val="000000"/>
          <w:sz w:val="22"/>
        </w:rPr>
        <w:t>лікарсько-стійкий туберкульоз</w:t>
      </w:r>
    </w:p>
    <w:p w:rsidR="00ED665B" w:rsidRPr="00907702" w:rsidRDefault="006C7D2F" w:rsidP="00902A3C">
      <w:pPr>
        <w:tabs>
          <w:tab w:val="left" w:pos="1546"/>
        </w:tabs>
        <w:rPr>
          <w:rFonts w:ascii="Calibri" w:hAnsi="Calibri" w:cs="Calibri"/>
        </w:rPr>
      </w:pPr>
      <w:r>
        <w:rPr>
          <w:rFonts w:ascii="Calibri" w:hAnsi="Calibri"/>
          <w:color w:val="009649"/>
          <w:sz w:val="22"/>
        </w:rPr>
        <w:t>ТМЧ</w:t>
      </w:r>
      <w:r>
        <w:rPr>
          <w:rFonts w:ascii="Calibri" w:hAnsi="Calibri"/>
          <w:color w:val="009649"/>
          <w:sz w:val="22"/>
        </w:rPr>
        <w:tab/>
      </w:r>
      <w:r>
        <w:rPr>
          <w:rFonts w:ascii="Calibri" w:hAnsi="Calibri"/>
          <w:color w:val="000000"/>
          <w:sz w:val="22"/>
        </w:rPr>
        <w:t>тест медикаментозної чутливості</w:t>
      </w:r>
    </w:p>
    <w:p w:rsidR="00ED665B" w:rsidRPr="00907702" w:rsidRDefault="006C7D2F" w:rsidP="00902A3C">
      <w:pPr>
        <w:tabs>
          <w:tab w:val="left" w:pos="1546"/>
        </w:tabs>
        <w:rPr>
          <w:rFonts w:ascii="Calibri" w:hAnsi="Calibri" w:cs="Calibri"/>
        </w:rPr>
      </w:pPr>
      <w:r>
        <w:rPr>
          <w:rFonts w:ascii="Calibri" w:hAnsi="Calibri"/>
          <w:color w:val="009649"/>
          <w:sz w:val="22"/>
        </w:rPr>
        <w:t>ГЗР</w:t>
      </w:r>
      <w:r>
        <w:rPr>
          <w:rFonts w:ascii="Calibri" w:hAnsi="Calibri"/>
          <w:color w:val="009649"/>
          <w:sz w:val="22"/>
        </w:rPr>
        <w:tab/>
      </w:r>
      <w:r>
        <w:rPr>
          <w:rFonts w:ascii="Calibri" w:hAnsi="Calibri"/>
          <w:color w:val="000000"/>
          <w:sz w:val="22"/>
        </w:rPr>
        <w:t>Група зовнішнього рецензування</w:t>
      </w:r>
    </w:p>
    <w:p w:rsidR="00ED665B" w:rsidRPr="00907702" w:rsidRDefault="006C7D2F" w:rsidP="00902A3C">
      <w:pPr>
        <w:tabs>
          <w:tab w:val="left" w:pos="1546"/>
        </w:tabs>
        <w:rPr>
          <w:rFonts w:ascii="Calibri" w:hAnsi="Calibri" w:cs="Calibri"/>
        </w:rPr>
      </w:pPr>
      <w:r>
        <w:rPr>
          <w:rFonts w:ascii="Calibri" w:hAnsi="Calibri"/>
          <w:color w:val="009649"/>
          <w:sz w:val="22"/>
        </w:rPr>
        <w:t>FIND</w:t>
      </w:r>
      <w:r>
        <w:rPr>
          <w:rFonts w:ascii="Calibri" w:hAnsi="Calibri"/>
          <w:sz w:val="22"/>
        </w:rPr>
        <w:tab/>
      </w:r>
      <w:r>
        <w:rPr>
          <w:rFonts w:ascii="Calibri" w:hAnsi="Calibri"/>
          <w:color w:val="000000"/>
          <w:sz w:val="22"/>
        </w:rPr>
        <w:t>Фонд інноваційної нової діагностики</w:t>
      </w:r>
    </w:p>
    <w:p w:rsidR="00ED665B" w:rsidRPr="00907702" w:rsidRDefault="006C7D2F" w:rsidP="00902A3C">
      <w:pPr>
        <w:tabs>
          <w:tab w:val="left" w:pos="1546"/>
        </w:tabs>
        <w:rPr>
          <w:rFonts w:ascii="Calibri" w:hAnsi="Calibri" w:cs="Calibri"/>
        </w:rPr>
      </w:pPr>
      <w:r>
        <w:rPr>
          <w:rFonts w:ascii="Calibri" w:hAnsi="Calibri"/>
          <w:color w:val="009649"/>
          <w:sz w:val="22"/>
        </w:rPr>
        <w:t>FL-LPA</w:t>
      </w:r>
      <w:r>
        <w:rPr>
          <w:rFonts w:ascii="Calibri" w:hAnsi="Calibri"/>
          <w:color w:val="009649"/>
          <w:sz w:val="22"/>
        </w:rPr>
        <w:tab/>
      </w:r>
      <w:r>
        <w:rPr>
          <w:rFonts w:ascii="Calibri" w:hAnsi="Calibri"/>
          <w:color w:val="000000"/>
          <w:sz w:val="22"/>
        </w:rPr>
        <w:t>лінійний зонд-аналіз препаратів першого ряду</w:t>
      </w:r>
    </w:p>
    <w:p w:rsidR="00ED665B" w:rsidRPr="00907702" w:rsidRDefault="006C7D2F" w:rsidP="00902A3C">
      <w:pPr>
        <w:tabs>
          <w:tab w:val="left" w:pos="1546"/>
        </w:tabs>
        <w:rPr>
          <w:rFonts w:ascii="Calibri" w:hAnsi="Calibri" w:cs="Calibri"/>
        </w:rPr>
      </w:pPr>
      <w:r>
        <w:rPr>
          <w:rFonts w:ascii="Calibri" w:hAnsi="Calibri"/>
          <w:color w:val="009649"/>
          <w:sz w:val="22"/>
        </w:rPr>
        <w:t>FujiLAM</w:t>
      </w:r>
      <w:r>
        <w:rPr>
          <w:rFonts w:ascii="Calibri" w:hAnsi="Calibri"/>
          <w:color w:val="009649"/>
          <w:sz w:val="22"/>
        </w:rPr>
        <w:tab/>
      </w:r>
      <w:r>
        <w:rPr>
          <w:rFonts w:ascii="Calibri" w:hAnsi="Calibri"/>
          <w:color w:val="000000"/>
          <w:sz w:val="22"/>
        </w:rPr>
        <w:t>Fujifilm SILVAMP TB LAM</w:t>
      </w:r>
    </w:p>
    <w:p w:rsidR="00ED665B" w:rsidRPr="00907702" w:rsidRDefault="006C7D2F" w:rsidP="00902A3C">
      <w:pPr>
        <w:tabs>
          <w:tab w:val="left" w:pos="1546"/>
        </w:tabs>
        <w:rPr>
          <w:rFonts w:ascii="Calibri" w:hAnsi="Calibri" w:cs="Calibri"/>
        </w:rPr>
      </w:pPr>
      <w:r>
        <w:rPr>
          <w:rFonts w:ascii="Calibri" w:hAnsi="Calibri"/>
          <w:color w:val="009649"/>
          <w:sz w:val="22"/>
        </w:rPr>
        <w:t>ГРН</w:t>
      </w:r>
      <w:r>
        <w:rPr>
          <w:rFonts w:ascii="Calibri" w:hAnsi="Calibri"/>
          <w:color w:val="009649"/>
          <w:sz w:val="22"/>
        </w:rPr>
        <w:tab/>
      </w:r>
      <w:r>
        <w:rPr>
          <w:rFonts w:ascii="Calibri" w:hAnsi="Calibri"/>
          <w:color w:val="000000"/>
          <w:sz w:val="22"/>
        </w:rPr>
        <w:t>Група з розробки настанов</w:t>
      </w:r>
    </w:p>
    <w:p w:rsidR="00ED665B" w:rsidRPr="00907702" w:rsidRDefault="006C7D2F" w:rsidP="00902A3C">
      <w:pPr>
        <w:tabs>
          <w:tab w:val="left" w:pos="1546"/>
        </w:tabs>
        <w:rPr>
          <w:rFonts w:ascii="Calibri" w:hAnsi="Calibri" w:cs="Calibri"/>
        </w:rPr>
      </w:pPr>
      <w:r>
        <w:rPr>
          <w:rFonts w:ascii="Calibri" w:hAnsi="Calibri"/>
          <w:color w:val="009649"/>
          <w:sz w:val="22"/>
        </w:rPr>
        <w:t>GRADE</w:t>
      </w:r>
      <w:r>
        <w:rPr>
          <w:rFonts w:ascii="Calibri" w:hAnsi="Calibri"/>
          <w:color w:val="009649"/>
          <w:sz w:val="22"/>
        </w:rPr>
        <w:tab/>
      </w:r>
      <w:r>
        <w:rPr>
          <w:rFonts w:ascii="Calibri" w:hAnsi="Calibri"/>
          <w:color w:val="000000"/>
          <w:sz w:val="22"/>
        </w:rPr>
        <w:t>Градації з оцінки, розробки та ранжування рекомендацій</w:t>
      </w:r>
    </w:p>
    <w:p w:rsidR="00ED665B" w:rsidRPr="00907702" w:rsidRDefault="006C7D2F" w:rsidP="00902A3C">
      <w:pPr>
        <w:tabs>
          <w:tab w:val="left" w:pos="1546"/>
        </w:tabs>
        <w:rPr>
          <w:rFonts w:ascii="Calibri" w:hAnsi="Calibri" w:cs="Calibri"/>
        </w:rPr>
      </w:pPr>
      <w:r>
        <w:rPr>
          <w:rFonts w:ascii="Calibri" w:hAnsi="Calibri"/>
          <w:color w:val="009649"/>
          <w:sz w:val="22"/>
        </w:rPr>
        <w:t>ВІЛ</w:t>
      </w:r>
      <w:r>
        <w:rPr>
          <w:rFonts w:ascii="Calibri" w:hAnsi="Calibri"/>
          <w:color w:val="009649"/>
          <w:sz w:val="22"/>
        </w:rPr>
        <w:tab/>
      </w:r>
      <w:r>
        <w:rPr>
          <w:rFonts w:ascii="Calibri" w:hAnsi="Calibri"/>
          <w:color w:val="000000"/>
          <w:sz w:val="22"/>
        </w:rPr>
        <w:t>вірус імунодефіциту людини</w:t>
      </w:r>
    </w:p>
    <w:p w:rsidR="00ED665B" w:rsidRPr="00907702" w:rsidRDefault="006C7D2F" w:rsidP="00902A3C">
      <w:pPr>
        <w:tabs>
          <w:tab w:val="left" w:pos="1546"/>
        </w:tabs>
        <w:rPr>
          <w:rFonts w:ascii="Calibri" w:hAnsi="Calibri" w:cs="Calibri"/>
        </w:rPr>
      </w:pPr>
      <w:r>
        <w:rPr>
          <w:rFonts w:ascii="Calibri" w:hAnsi="Calibri"/>
          <w:color w:val="009649"/>
          <w:sz w:val="22"/>
        </w:rPr>
        <w:t>LAM</w:t>
      </w:r>
      <w:r>
        <w:rPr>
          <w:rFonts w:ascii="Calibri" w:hAnsi="Calibri"/>
          <w:color w:val="009649"/>
          <w:sz w:val="22"/>
        </w:rPr>
        <w:tab/>
      </w:r>
      <w:r>
        <w:rPr>
          <w:rFonts w:ascii="Calibri" w:hAnsi="Calibri"/>
          <w:color w:val="000000"/>
          <w:sz w:val="22"/>
        </w:rPr>
        <w:t>ліпоарабіноманнан</w:t>
      </w:r>
    </w:p>
    <w:p w:rsidR="00ED665B" w:rsidRPr="00907702" w:rsidRDefault="006C7D2F" w:rsidP="00902A3C">
      <w:pPr>
        <w:tabs>
          <w:tab w:val="left" w:pos="1546"/>
        </w:tabs>
        <w:rPr>
          <w:rFonts w:ascii="Calibri" w:hAnsi="Calibri" w:cs="Calibri"/>
        </w:rPr>
      </w:pPr>
      <w:r>
        <w:rPr>
          <w:rFonts w:ascii="Calibri" w:hAnsi="Calibri"/>
          <w:color w:val="009649"/>
          <w:sz w:val="22"/>
        </w:rPr>
        <w:t>LAMP</w:t>
      </w:r>
      <w:r>
        <w:rPr>
          <w:rFonts w:ascii="Calibri" w:hAnsi="Calibri"/>
          <w:color w:val="009649"/>
          <w:sz w:val="22"/>
        </w:rPr>
        <w:tab/>
      </w:r>
      <w:r>
        <w:rPr>
          <w:rFonts w:ascii="Calibri" w:hAnsi="Calibri"/>
          <w:color w:val="000000"/>
          <w:sz w:val="22"/>
        </w:rPr>
        <w:t>петльова ізотермічна ампліфікація</w:t>
      </w:r>
    </w:p>
    <w:p w:rsidR="00ED665B" w:rsidRPr="00907702" w:rsidRDefault="006C7D2F" w:rsidP="00902A3C">
      <w:pPr>
        <w:tabs>
          <w:tab w:val="left" w:pos="1546"/>
        </w:tabs>
        <w:rPr>
          <w:rFonts w:ascii="Calibri" w:hAnsi="Calibri" w:cs="Calibri"/>
        </w:rPr>
      </w:pPr>
      <w:r>
        <w:rPr>
          <w:rFonts w:ascii="Calibri" w:hAnsi="Calibri"/>
          <w:color w:val="009649"/>
          <w:sz w:val="22"/>
        </w:rPr>
        <w:t>LF-LAM</w:t>
      </w:r>
      <w:r>
        <w:rPr>
          <w:rFonts w:ascii="Calibri" w:hAnsi="Calibri"/>
          <w:sz w:val="22"/>
        </w:rPr>
        <w:tab/>
        <w:t>ліпоарабіноманнановий тест бокового зсуву (тест сечі LM-LAM)</w:t>
      </w:r>
    </w:p>
    <w:p w:rsidR="00ED665B" w:rsidRPr="00907702" w:rsidRDefault="006C7D2F" w:rsidP="00902A3C">
      <w:pPr>
        <w:tabs>
          <w:tab w:val="left" w:pos="1546"/>
        </w:tabs>
        <w:rPr>
          <w:rFonts w:ascii="Calibri" w:hAnsi="Calibri" w:cs="Calibri"/>
        </w:rPr>
      </w:pPr>
      <w:r>
        <w:rPr>
          <w:rFonts w:ascii="Calibri" w:hAnsi="Calibri"/>
          <w:color w:val="009649"/>
          <w:sz w:val="22"/>
        </w:rPr>
        <w:t>МВ</w:t>
      </w:r>
      <w:r>
        <w:rPr>
          <w:rFonts w:ascii="Calibri" w:hAnsi="Calibri"/>
          <w:color w:val="009649"/>
          <w:sz w:val="22"/>
        </w:rPr>
        <w:tab/>
      </w:r>
      <w:r>
        <w:rPr>
          <w:rFonts w:ascii="Calibri" w:hAnsi="Calibri"/>
          <w:color w:val="000000"/>
          <w:sz w:val="22"/>
        </w:rPr>
        <w:t>межа виявлення</w:t>
      </w:r>
    </w:p>
    <w:p w:rsidR="00ED665B" w:rsidRPr="00907702" w:rsidRDefault="006C7D2F" w:rsidP="00902A3C">
      <w:pPr>
        <w:tabs>
          <w:tab w:val="left" w:pos="1546"/>
        </w:tabs>
        <w:rPr>
          <w:rFonts w:ascii="Calibri" w:hAnsi="Calibri" w:cs="Calibri"/>
        </w:rPr>
      </w:pPr>
      <w:r>
        <w:rPr>
          <w:rFonts w:ascii="Calibri" w:hAnsi="Calibri"/>
          <w:color w:val="009649"/>
          <w:sz w:val="22"/>
        </w:rPr>
        <w:t>LPA</w:t>
      </w:r>
      <w:r>
        <w:rPr>
          <w:rFonts w:ascii="Calibri" w:hAnsi="Calibri"/>
          <w:color w:val="009649"/>
          <w:sz w:val="22"/>
        </w:rPr>
        <w:tab/>
      </w:r>
      <w:r>
        <w:rPr>
          <w:rFonts w:ascii="Calibri" w:hAnsi="Calibri"/>
          <w:color w:val="000000"/>
          <w:sz w:val="22"/>
        </w:rPr>
        <w:t>лінійний зонд-аналіз</w:t>
      </w:r>
    </w:p>
    <w:p w:rsidR="00ED665B" w:rsidRPr="00907702" w:rsidRDefault="006C7D2F" w:rsidP="00902A3C">
      <w:pPr>
        <w:tabs>
          <w:tab w:val="left" w:pos="1546"/>
        </w:tabs>
        <w:rPr>
          <w:rFonts w:ascii="Calibri" w:hAnsi="Calibri" w:cs="Calibri"/>
        </w:rPr>
      </w:pPr>
      <w:r>
        <w:rPr>
          <w:rFonts w:ascii="Calibri" w:hAnsi="Calibri"/>
          <w:color w:val="009649"/>
          <w:sz w:val="22"/>
        </w:rPr>
        <w:t>МЛС</w:t>
      </w:r>
      <w:r>
        <w:rPr>
          <w:rFonts w:ascii="Calibri" w:hAnsi="Calibri"/>
          <w:color w:val="009649"/>
          <w:sz w:val="22"/>
        </w:rPr>
        <w:tab/>
      </w:r>
      <w:r>
        <w:rPr>
          <w:rFonts w:ascii="Calibri" w:hAnsi="Calibri"/>
          <w:color w:val="000000"/>
          <w:sz w:val="22"/>
        </w:rPr>
        <w:t>мультирезистентний</w:t>
      </w:r>
    </w:p>
    <w:p w:rsidR="00ED665B" w:rsidRPr="00907702" w:rsidRDefault="006C7D2F" w:rsidP="00902A3C">
      <w:pPr>
        <w:tabs>
          <w:tab w:val="left" w:pos="1546"/>
        </w:tabs>
        <w:rPr>
          <w:rFonts w:ascii="Calibri" w:hAnsi="Calibri" w:cs="Calibri"/>
        </w:rPr>
      </w:pPr>
      <w:r>
        <w:rPr>
          <w:rFonts w:ascii="Calibri" w:hAnsi="Calibri"/>
          <w:color w:val="009649"/>
          <w:sz w:val="22"/>
        </w:rPr>
        <w:t>МЛС-ТБ</w:t>
      </w:r>
      <w:r>
        <w:rPr>
          <w:rFonts w:ascii="Calibri" w:hAnsi="Calibri"/>
          <w:color w:val="000000"/>
          <w:sz w:val="22"/>
        </w:rPr>
        <w:tab/>
        <w:t>мультирезистентний туберкульоз</w:t>
      </w:r>
    </w:p>
    <w:p w:rsidR="00ED665B" w:rsidRPr="00907702" w:rsidRDefault="006C7D2F" w:rsidP="00BE5914">
      <w:pPr>
        <w:tabs>
          <w:tab w:val="left" w:pos="1546"/>
        </w:tabs>
        <w:ind w:left="1560" w:hanging="1560"/>
        <w:rPr>
          <w:rFonts w:ascii="Calibri" w:hAnsi="Calibri" w:cs="Calibri"/>
        </w:rPr>
      </w:pPr>
      <w:r>
        <w:rPr>
          <w:rFonts w:ascii="Calibri" w:hAnsi="Calibri"/>
          <w:color w:val="009649"/>
          <w:sz w:val="22"/>
        </w:rPr>
        <w:t>МЛС/Риф-ТБ</w:t>
      </w:r>
      <w:r>
        <w:rPr>
          <w:rFonts w:ascii="Calibri" w:hAnsi="Calibri"/>
          <w:color w:val="009649"/>
          <w:sz w:val="22"/>
        </w:rPr>
        <w:tab/>
      </w:r>
      <w:r>
        <w:rPr>
          <w:rFonts w:ascii="Calibri" w:hAnsi="Calibri"/>
          <w:color w:val="000000"/>
          <w:sz w:val="22"/>
        </w:rPr>
        <w:t>мультирезистентний туберкульоз або рифампіцин-резистентний туберкульоз</w:t>
      </w:r>
    </w:p>
    <w:p w:rsidR="00ED665B" w:rsidRPr="00907702" w:rsidRDefault="006C7D2F" w:rsidP="00902A3C">
      <w:pPr>
        <w:tabs>
          <w:tab w:val="left" w:pos="1546"/>
        </w:tabs>
        <w:rPr>
          <w:rFonts w:ascii="Calibri" w:hAnsi="Calibri" w:cs="Calibri"/>
        </w:rPr>
      </w:pPr>
      <w:r>
        <w:rPr>
          <w:rFonts w:ascii="Calibri" w:hAnsi="Calibri"/>
          <w:color w:val="009649"/>
          <w:sz w:val="22"/>
        </w:rPr>
        <w:t>МРС</w:t>
      </w:r>
      <w:r>
        <w:rPr>
          <w:rFonts w:ascii="Calibri" w:hAnsi="Calibri"/>
          <w:color w:val="009649"/>
          <w:sz w:val="22"/>
        </w:rPr>
        <w:tab/>
      </w:r>
      <w:r>
        <w:rPr>
          <w:rFonts w:ascii="Calibri" w:hAnsi="Calibri"/>
          <w:color w:val="000000"/>
          <w:sz w:val="22"/>
        </w:rPr>
        <w:t>мікробіологічний референс стандарт</w:t>
      </w:r>
    </w:p>
    <w:p w:rsidR="00ED665B" w:rsidRPr="00907702" w:rsidRDefault="006C7D2F" w:rsidP="00902A3C">
      <w:pPr>
        <w:tabs>
          <w:tab w:val="left" w:pos="1546"/>
        </w:tabs>
        <w:rPr>
          <w:rFonts w:ascii="Calibri" w:hAnsi="Calibri" w:cs="Calibri"/>
        </w:rPr>
      </w:pPr>
      <w:r>
        <w:rPr>
          <w:rFonts w:ascii="Calibri" w:hAnsi="Calibri"/>
          <w:color w:val="009649"/>
          <w:sz w:val="22"/>
        </w:rPr>
        <w:t>МТБ</w:t>
      </w:r>
      <w:r>
        <w:rPr>
          <w:rFonts w:ascii="Calibri" w:hAnsi="Calibri"/>
          <w:color w:val="009649"/>
          <w:sz w:val="22"/>
        </w:rPr>
        <w:tab/>
      </w:r>
      <w:r>
        <w:rPr>
          <w:rFonts w:ascii="Calibri" w:hAnsi="Calibri"/>
          <w:color w:val="000000"/>
          <w:sz w:val="22"/>
        </w:rPr>
        <w:t>мікобактерія туберкульозу</w:t>
      </w:r>
    </w:p>
    <w:p w:rsidR="00ED665B" w:rsidRPr="00907702" w:rsidRDefault="006C7D2F" w:rsidP="00902A3C">
      <w:pPr>
        <w:tabs>
          <w:tab w:val="left" w:pos="1546"/>
        </w:tabs>
        <w:rPr>
          <w:rFonts w:ascii="Calibri" w:hAnsi="Calibri" w:cs="Calibri"/>
        </w:rPr>
      </w:pPr>
      <w:r>
        <w:rPr>
          <w:rFonts w:ascii="Calibri" w:hAnsi="Calibri"/>
          <w:color w:val="009649"/>
          <w:sz w:val="22"/>
        </w:rPr>
        <w:t>MTБК</w:t>
      </w:r>
      <w:r>
        <w:rPr>
          <w:rFonts w:ascii="Calibri" w:hAnsi="Calibri"/>
          <w:color w:val="009649"/>
          <w:sz w:val="22"/>
        </w:rPr>
        <w:tab/>
      </w:r>
      <w:r>
        <w:rPr>
          <w:rFonts w:ascii="Calibri" w:hAnsi="Calibri"/>
          <w:color w:val="000000"/>
          <w:sz w:val="22"/>
        </w:rPr>
        <w:t>Мікобактерії туберкульозного комплексу</w:t>
      </w:r>
    </w:p>
    <w:p w:rsidR="00ED665B" w:rsidRPr="00907702" w:rsidRDefault="006C7D2F" w:rsidP="00902A3C">
      <w:pPr>
        <w:tabs>
          <w:tab w:val="left" w:pos="1546"/>
        </w:tabs>
        <w:rPr>
          <w:rFonts w:ascii="Calibri" w:hAnsi="Calibri" w:cs="Calibri"/>
        </w:rPr>
      </w:pPr>
      <w:r>
        <w:rPr>
          <w:rFonts w:ascii="Calibri" w:hAnsi="Calibri"/>
          <w:color w:val="009649"/>
          <w:sz w:val="22"/>
        </w:rPr>
        <w:t>ТАНК</w:t>
      </w:r>
      <w:r>
        <w:rPr>
          <w:rFonts w:ascii="Calibri" w:hAnsi="Calibri"/>
          <w:color w:val="009649"/>
          <w:sz w:val="22"/>
        </w:rPr>
        <w:tab/>
      </w:r>
      <w:r>
        <w:rPr>
          <w:rFonts w:ascii="Calibri" w:hAnsi="Calibri"/>
          <w:color w:val="000000"/>
          <w:sz w:val="22"/>
        </w:rPr>
        <w:t>тест на ампліфікацію нуклеїнової кислоти</w:t>
      </w:r>
    </w:p>
    <w:p w:rsidR="00ED665B" w:rsidRPr="00907702" w:rsidRDefault="006C7D2F" w:rsidP="00902A3C">
      <w:pPr>
        <w:tabs>
          <w:tab w:val="left" w:pos="1546"/>
        </w:tabs>
        <w:rPr>
          <w:rFonts w:ascii="Calibri" w:hAnsi="Calibri" w:cs="Calibri"/>
        </w:rPr>
      </w:pPr>
      <w:r>
        <w:rPr>
          <w:rFonts w:ascii="Calibri" w:hAnsi="Calibri"/>
          <w:color w:val="009649"/>
          <w:sz w:val="22"/>
        </w:rPr>
        <w:t>ТНК</w:t>
      </w:r>
      <w:r>
        <w:rPr>
          <w:rFonts w:ascii="Calibri" w:hAnsi="Calibri"/>
          <w:color w:val="009649"/>
          <w:sz w:val="22"/>
        </w:rPr>
        <w:tab/>
      </w:r>
      <w:r>
        <w:rPr>
          <w:rFonts w:ascii="Calibri" w:hAnsi="Calibri"/>
          <w:color w:val="000000"/>
          <w:sz w:val="22"/>
        </w:rPr>
        <w:t>тест на нуклеїнову кислоту</w:t>
      </w:r>
    </w:p>
    <w:p w:rsidR="00ED665B" w:rsidRPr="00907702" w:rsidRDefault="00ED665B" w:rsidP="00DC2656">
      <w:pPr>
        <w:tabs>
          <w:tab w:val="left" w:pos="1546"/>
        </w:tabs>
        <w:rPr>
          <w:rFonts w:ascii="Calibri" w:hAnsi="Calibri" w:cs="Calibri"/>
        </w:rPr>
        <w:sectPr w:rsidR="00ED665B" w:rsidRPr="00907702">
          <w:footerReference w:type="even" r:id="rId25"/>
          <w:pgSz w:w="11904" w:h="16838"/>
          <w:pgMar w:top="2218" w:right="2088" w:bottom="1330" w:left="1416" w:header="720" w:footer="720" w:gutter="0"/>
          <w:cols w:space="60"/>
          <w:noEndnote/>
        </w:sectPr>
      </w:pPr>
    </w:p>
    <w:p w:rsidR="00ED665B" w:rsidRPr="00907702" w:rsidRDefault="006C7D2F" w:rsidP="00DC2656">
      <w:pPr>
        <w:tabs>
          <w:tab w:val="left" w:pos="1594"/>
        </w:tabs>
        <w:rPr>
          <w:rFonts w:ascii="Calibri" w:hAnsi="Calibri" w:cs="Calibri"/>
        </w:rPr>
      </w:pPr>
      <w:r>
        <w:rPr>
          <w:rFonts w:ascii="Calibri" w:hAnsi="Calibri"/>
          <w:color w:val="009649"/>
          <w:sz w:val="22"/>
        </w:rPr>
        <w:lastRenderedPageBreak/>
        <w:t>НТП</w:t>
      </w:r>
      <w:r>
        <w:rPr>
          <w:rFonts w:ascii="Calibri" w:hAnsi="Calibri"/>
          <w:color w:val="009649"/>
          <w:sz w:val="22"/>
        </w:rPr>
        <w:tab/>
      </w:r>
      <w:r>
        <w:rPr>
          <w:rFonts w:ascii="Calibri" w:hAnsi="Calibri"/>
          <w:color w:val="000000"/>
          <w:sz w:val="22"/>
        </w:rPr>
        <w:t>національна туберкульозна програма</w:t>
      </w:r>
    </w:p>
    <w:p w:rsidR="00ED665B" w:rsidRPr="00907702" w:rsidRDefault="006C7D2F" w:rsidP="00DC2656">
      <w:pPr>
        <w:tabs>
          <w:tab w:val="left" w:pos="1594"/>
        </w:tabs>
        <w:rPr>
          <w:rFonts w:ascii="Calibri" w:hAnsi="Calibri" w:cs="Calibri"/>
        </w:rPr>
      </w:pPr>
      <w:r>
        <w:rPr>
          <w:rFonts w:ascii="Calibri" w:hAnsi="Calibri"/>
          <w:color w:val="009649"/>
          <w:sz w:val="22"/>
        </w:rPr>
        <w:t>ПЛР</w:t>
      </w:r>
      <w:r>
        <w:rPr>
          <w:rFonts w:ascii="Calibri" w:hAnsi="Calibri"/>
          <w:color w:val="009649"/>
          <w:sz w:val="22"/>
        </w:rPr>
        <w:tab/>
      </w:r>
      <w:r>
        <w:rPr>
          <w:rFonts w:ascii="Calibri" w:hAnsi="Calibri"/>
          <w:color w:val="000000"/>
          <w:sz w:val="22"/>
        </w:rPr>
        <w:t>полімеразна ланцюгова реакція</w:t>
      </w:r>
    </w:p>
    <w:p w:rsidR="00ED665B" w:rsidRPr="00907702" w:rsidRDefault="006C7D2F" w:rsidP="00DC2656">
      <w:pPr>
        <w:tabs>
          <w:tab w:val="left" w:pos="1594"/>
        </w:tabs>
        <w:rPr>
          <w:rFonts w:ascii="Calibri" w:hAnsi="Calibri" w:cs="Calibri"/>
        </w:rPr>
      </w:pPr>
      <w:r>
        <w:rPr>
          <w:rFonts w:ascii="Calibri" w:hAnsi="Calibri"/>
          <w:color w:val="009649"/>
          <w:sz w:val="22"/>
        </w:rPr>
        <w:t>PICO</w:t>
      </w:r>
      <w:r>
        <w:rPr>
          <w:rFonts w:ascii="Calibri" w:hAnsi="Calibri"/>
          <w:color w:val="009649"/>
          <w:sz w:val="22"/>
        </w:rPr>
        <w:tab/>
      </w:r>
      <w:r>
        <w:rPr>
          <w:rFonts w:ascii="Calibri" w:hAnsi="Calibri"/>
          <w:color w:val="000000"/>
          <w:sz w:val="22"/>
        </w:rPr>
        <w:t>кількість населення, заходи, порівняння, результат</w:t>
      </w:r>
    </w:p>
    <w:p w:rsidR="00ED665B" w:rsidRPr="00907702" w:rsidRDefault="006C7D2F" w:rsidP="00DC2656">
      <w:pPr>
        <w:tabs>
          <w:tab w:val="left" w:pos="1594"/>
        </w:tabs>
        <w:rPr>
          <w:rFonts w:ascii="Calibri" w:hAnsi="Calibri" w:cs="Calibri"/>
        </w:rPr>
      </w:pPr>
      <w:r>
        <w:rPr>
          <w:rFonts w:ascii="Calibri" w:hAnsi="Calibri"/>
          <w:color w:val="009649"/>
          <w:sz w:val="22"/>
        </w:rPr>
        <w:t>ЛЖВ</w:t>
      </w:r>
      <w:r>
        <w:rPr>
          <w:rFonts w:ascii="Calibri" w:hAnsi="Calibri"/>
          <w:color w:val="009649"/>
          <w:sz w:val="22"/>
        </w:rPr>
        <w:tab/>
      </w:r>
      <w:r>
        <w:rPr>
          <w:rFonts w:ascii="Calibri" w:hAnsi="Calibri"/>
          <w:color w:val="000000"/>
          <w:sz w:val="22"/>
        </w:rPr>
        <w:t>люди, які живуть з ВІЛ</w:t>
      </w:r>
    </w:p>
    <w:p w:rsidR="00ED665B" w:rsidRPr="00907702" w:rsidRDefault="006C7D2F" w:rsidP="00DC2656">
      <w:pPr>
        <w:tabs>
          <w:tab w:val="left" w:pos="1594"/>
        </w:tabs>
        <w:rPr>
          <w:rFonts w:ascii="Calibri" w:hAnsi="Calibri" w:cs="Calibri"/>
        </w:rPr>
      </w:pPr>
      <w:r>
        <w:rPr>
          <w:rFonts w:ascii="Calibri" w:hAnsi="Calibri"/>
          <w:color w:val="009649"/>
          <w:sz w:val="22"/>
        </w:rPr>
        <w:t>ПЗА</w:t>
      </w:r>
      <w:r>
        <w:rPr>
          <w:rFonts w:ascii="Calibri" w:hAnsi="Calibri"/>
          <w:color w:val="009649"/>
          <w:sz w:val="22"/>
        </w:rPr>
        <w:tab/>
      </w:r>
      <w:r>
        <w:rPr>
          <w:rFonts w:ascii="Calibri" w:hAnsi="Calibri"/>
          <w:color w:val="000000"/>
          <w:sz w:val="22"/>
        </w:rPr>
        <w:t>піразинамід</w:t>
      </w:r>
    </w:p>
    <w:p w:rsidR="00ED665B" w:rsidRPr="00907702" w:rsidRDefault="006C7D2F" w:rsidP="00DC2656">
      <w:pPr>
        <w:tabs>
          <w:tab w:val="left" w:pos="1594"/>
        </w:tabs>
        <w:rPr>
          <w:rFonts w:ascii="Calibri" w:hAnsi="Calibri" w:cs="Calibri"/>
        </w:rPr>
      </w:pPr>
      <w:r>
        <w:rPr>
          <w:rFonts w:ascii="Calibri" w:hAnsi="Calibri"/>
          <w:color w:val="009649"/>
          <w:sz w:val="22"/>
        </w:rPr>
        <w:t>QUADAS</w:t>
      </w:r>
      <w:r>
        <w:rPr>
          <w:rFonts w:ascii="Calibri" w:hAnsi="Calibri"/>
          <w:color w:val="009649"/>
          <w:sz w:val="22"/>
        </w:rPr>
        <w:tab/>
      </w:r>
      <w:r>
        <w:rPr>
          <w:rFonts w:ascii="Calibri" w:hAnsi="Calibri"/>
          <w:color w:val="000000"/>
          <w:sz w:val="22"/>
        </w:rPr>
        <w:t>якісна оцінка точності діагностичних досліджень</w:t>
      </w:r>
    </w:p>
    <w:p w:rsidR="00ED665B" w:rsidRPr="00907702" w:rsidRDefault="006C7D2F" w:rsidP="00DC2656">
      <w:pPr>
        <w:tabs>
          <w:tab w:val="left" w:pos="1594"/>
        </w:tabs>
        <w:rPr>
          <w:rFonts w:ascii="Calibri" w:hAnsi="Calibri" w:cs="Calibri"/>
        </w:rPr>
      </w:pPr>
      <w:r>
        <w:rPr>
          <w:rFonts w:ascii="Calibri" w:hAnsi="Calibri"/>
          <w:color w:val="009649"/>
          <w:sz w:val="22"/>
        </w:rPr>
        <w:t>QES</w:t>
      </w:r>
      <w:r>
        <w:rPr>
          <w:rFonts w:ascii="Calibri" w:hAnsi="Calibri"/>
          <w:color w:val="009649"/>
          <w:sz w:val="22"/>
        </w:rPr>
        <w:tab/>
      </w:r>
      <w:r>
        <w:rPr>
          <w:rFonts w:ascii="Calibri" w:hAnsi="Calibri"/>
          <w:color w:val="000000"/>
          <w:sz w:val="22"/>
        </w:rPr>
        <w:t>синтез доказових даних</w:t>
      </w:r>
    </w:p>
    <w:p w:rsidR="00ED665B" w:rsidRPr="00907702" w:rsidRDefault="006C7D2F" w:rsidP="00DC2656">
      <w:pPr>
        <w:tabs>
          <w:tab w:val="left" w:pos="1594"/>
        </w:tabs>
        <w:rPr>
          <w:rFonts w:ascii="Calibri" w:hAnsi="Calibri" w:cs="Calibri"/>
        </w:rPr>
      </w:pPr>
      <w:r>
        <w:rPr>
          <w:rFonts w:ascii="Calibri" w:hAnsi="Calibri"/>
          <w:color w:val="009649"/>
          <w:sz w:val="22"/>
        </w:rPr>
        <w:t>РИФ</w:t>
      </w:r>
      <w:r>
        <w:rPr>
          <w:rFonts w:ascii="Calibri" w:hAnsi="Calibri"/>
          <w:color w:val="009649"/>
          <w:sz w:val="22"/>
        </w:rPr>
        <w:tab/>
      </w:r>
      <w:r>
        <w:rPr>
          <w:rFonts w:ascii="Calibri" w:hAnsi="Calibri"/>
          <w:color w:val="000000"/>
          <w:sz w:val="22"/>
        </w:rPr>
        <w:t>рифампіцин</w:t>
      </w:r>
    </w:p>
    <w:p w:rsidR="00ED665B" w:rsidRPr="00907702" w:rsidRDefault="006C7D2F" w:rsidP="00DC2656">
      <w:pPr>
        <w:tabs>
          <w:tab w:val="left" w:pos="1594"/>
        </w:tabs>
        <w:rPr>
          <w:rFonts w:ascii="Calibri" w:hAnsi="Calibri" w:cs="Calibri"/>
        </w:rPr>
      </w:pPr>
      <w:r>
        <w:rPr>
          <w:rFonts w:ascii="Calibri" w:hAnsi="Calibri"/>
          <w:color w:val="009649"/>
          <w:sz w:val="22"/>
        </w:rPr>
        <w:t>РНК</w:t>
      </w:r>
      <w:r>
        <w:rPr>
          <w:rFonts w:ascii="Calibri" w:hAnsi="Calibri"/>
          <w:color w:val="009649"/>
          <w:sz w:val="22"/>
        </w:rPr>
        <w:tab/>
      </w:r>
      <w:r>
        <w:rPr>
          <w:rFonts w:ascii="Calibri" w:hAnsi="Calibri"/>
          <w:color w:val="000000"/>
          <w:sz w:val="22"/>
        </w:rPr>
        <w:t>рибонуклеїнова кислота</w:t>
      </w:r>
    </w:p>
    <w:p w:rsidR="00ED665B" w:rsidRPr="00907702" w:rsidRDefault="006C7D2F" w:rsidP="00DC2656">
      <w:pPr>
        <w:tabs>
          <w:tab w:val="left" w:pos="1594"/>
        </w:tabs>
        <w:rPr>
          <w:rFonts w:ascii="Calibri" w:hAnsi="Calibri" w:cs="Calibri"/>
        </w:rPr>
      </w:pPr>
      <w:r>
        <w:rPr>
          <w:rFonts w:ascii="Calibri" w:hAnsi="Calibri"/>
          <w:color w:val="009649"/>
          <w:sz w:val="22"/>
        </w:rPr>
        <w:t>RRDR</w:t>
      </w:r>
      <w:r>
        <w:rPr>
          <w:rFonts w:ascii="Calibri" w:hAnsi="Calibri"/>
          <w:sz w:val="22"/>
        </w:rPr>
        <w:tab/>
      </w:r>
      <w:r>
        <w:rPr>
          <w:rFonts w:ascii="Calibri" w:hAnsi="Calibri"/>
          <w:color w:val="000000"/>
          <w:sz w:val="22"/>
        </w:rPr>
        <w:t>ділянка, що визначає резистентність до рифампіцину</w:t>
      </w:r>
    </w:p>
    <w:p w:rsidR="00ED665B" w:rsidRPr="00907702" w:rsidRDefault="006C7D2F" w:rsidP="00DC2656">
      <w:pPr>
        <w:tabs>
          <w:tab w:val="left" w:pos="1594"/>
        </w:tabs>
        <w:rPr>
          <w:rFonts w:ascii="Calibri" w:hAnsi="Calibri" w:cs="Calibri"/>
        </w:rPr>
      </w:pPr>
      <w:r>
        <w:rPr>
          <w:rFonts w:ascii="Calibri" w:hAnsi="Calibri"/>
          <w:color w:val="009649"/>
          <w:sz w:val="22"/>
        </w:rPr>
        <w:t>Риф-ТБ</w:t>
      </w:r>
      <w:r>
        <w:rPr>
          <w:rFonts w:ascii="Calibri" w:hAnsi="Calibri"/>
          <w:color w:val="009649"/>
          <w:sz w:val="22"/>
        </w:rPr>
        <w:tab/>
      </w:r>
      <w:r>
        <w:rPr>
          <w:rFonts w:ascii="Calibri" w:hAnsi="Calibri"/>
          <w:color w:val="000000"/>
          <w:sz w:val="22"/>
        </w:rPr>
        <w:t xml:space="preserve">рифампіцин-резистентний туберкульоз </w:t>
      </w:r>
    </w:p>
    <w:p w:rsidR="00ED665B" w:rsidRPr="00907702" w:rsidRDefault="006C7D2F" w:rsidP="00DC2656">
      <w:pPr>
        <w:tabs>
          <w:tab w:val="left" w:pos="1594"/>
        </w:tabs>
        <w:rPr>
          <w:rFonts w:ascii="Calibri" w:hAnsi="Calibri" w:cs="Calibri"/>
        </w:rPr>
      </w:pPr>
      <w:r>
        <w:rPr>
          <w:rFonts w:ascii="Calibri" w:hAnsi="Calibri"/>
          <w:color w:val="009649"/>
          <w:sz w:val="22"/>
        </w:rPr>
        <w:t>SL-LPA</w:t>
      </w:r>
      <w:r>
        <w:rPr>
          <w:rFonts w:ascii="Calibri" w:hAnsi="Calibri"/>
          <w:color w:val="009649"/>
          <w:sz w:val="22"/>
        </w:rPr>
        <w:tab/>
      </w:r>
      <w:r>
        <w:rPr>
          <w:rFonts w:ascii="Calibri" w:hAnsi="Calibri"/>
          <w:color w:val="000000"/>
          <w:sz w:val="22"/>
        </w:rPr>
        <w:t>лінійний зонд-аналіз препаратів другого ряду</w:t>
      </w:r>
    </w:p>
    <w:p w:rsidR="00ED665B" w:rsidRPr="00907702" w:rsidRDefault="006C7D2F" w:rsidP="00BE5914">
      <w:pPr>
        <w:tabs>
          <w:tab w:val="left" w:pos="1594"/>
        </w:tabs>
        <w:ind w:left="1596" w:hanging="1596"/>
        <w:rPr>
          <w:rFonts w:ascii="Calibri" w:hAnsi="Calibri" w:cs="Calibri"/>
        </w:rPr>
      </w:pPr>
      <w:r>
        <w:rPr>
          <w:rFonts w:ascii="Calibri" w:hAnsi="Calibri"/>
          <w:color w:val="009649"/>
          <w:sz w:val="22"/>
        </w:rPr>
        <w:t>ННРЛ</w:t>
      </w:r>
      <w:r>
        <w:rPr>
          <w:rFonts w:ascii="Calibri" w:hAnsi="Calibri"/>
          <w:sz w:val="22"/>
        </w:rPr>
        <w:tab/>
      </w:r>
      <w:r>
        <w:rPr>
          <w:rFonts w:ascii="Calibri" w:hAnsi="Calibri"/>
          <w:color w:val="000000"/>
          <w:sz w:val="22"/>
        </w:rPr>
        <w:t>Наднаціональна референс лабораторія з діагностики туберкульозу</w:t>
      </w:r>
    </w:p>
    <w:p w:rsidR="00ED665B" w:rsidRPr="00907702" w:rsidRDefault="006C7D2F" w:rsidP="00DC2656">
      <w:pPr>
        <w:tabs>
          <w:tab w:val="left" w:pos="1594"/>
        </w:tabs>
        <w:rPr>
          <w:rFonts w:ascii="Calibri" w:hAnsi="Calibri" w:cs="Calibri"/>
        </w:rPr>
      </w:pPr>
      <w:r>
        <w:rPr>
          <w:rFonts w:ascii="Calibri" w:hAnsi="Calibri"/>
          <w:color w:val="009649"/>
          <w:sz w:val="22"/>
        </w:rPr>
        <w:t>STARD</w:t>
      </w:r>
      <w:r>
        <w:rPr>
          <w:rFonts w:ascii="Calibri" w:hAnsi="Calibri"/>
          <w:color w:val="009649"/>
          <w:sz w:val="22"/>
        </w:rPr>
        <w:tab/>
      </w:r>
      <w:r>
        <w:rPr>
          <w:rFonts w:ascii="Calibri" w:hAnsi="Calibri"/>
          <w:color w:val="000000"/>
          <w:sz w:val="22"/>
        </w:rPr>
        <w:t>Стандарти звітності про дослідження діагностичної точності</w:t>
      </w:r>
    </w:p>
    <w:p w:rsidR="00ED665B" w:rsidRPr="00907702" w:rsidRDefault="006C7D2F" w:rsidP="00DC2656">
      <w:pPr>
        <w:tabs>
          <w:tab w:val="left" w:pos="1594"/>
        </w:tabs>
        <w:rPr>
          <w:rFonts w:ascii="Calibri" w:hAnsi="Calibri" w:cs="Calibri"/>
        </w:rPr>
      </w:pPr>
      <w:r>
        <w:rPr>
          <w:rFonts w:ascii="Calibri" w:hAnsi="Calibri"/>
          <w:color w:val="009649"/>
          <w:sz w:val="22"/>
        </w:rPr>
        <w:t>ТБ</w:t>
      </w:r>
      <w:r>
        <w:rPr>
          <w:rFonts w:ascii="Calibri" w:hAnsi="Calibri"/>
          <w:color w:val="009649"/>
          <w:sz w:val="22"/>
        </w:rPr>
        <w:tab/>
      </w:r>
      <w:r>
        <w:rPr>
          <w:rFonts w:ascii="Calibri" w:hAnsi="Calibri"/>
          <w:color w:val="000000"/>
          <w:sz w:val="22"/>
        </w:rPr>
        <w:t>туберкульоз</w:t>
      </w:r>
    </w:p>
    <w:p w:rsidR="00ED665B" w:rsidRPr="00907702" w:rsidRDefault="006C7D2F" w:rsidP="00DC2656">
      <w:pPr>
        <w:tabs>
          <w:tab w:val="left" w:pos="1594"/>
        </w:tabs>
        <w:rPr>
          <w:rFonts w:ascii="Calibri" w:hAnsi="Calibri" w:cs="Calibri"/>
        </w:rPr>
      </w:pPr>
      <w:r>
        <w:rPr>
          <w:rFonts w:ascii="Calibri" w:hAnsi="Calibri"/>
          <w:color w:val="009649"/>
          <w:sz w:val="22"/>
        </w:rPr>
        <w:t>США</w:t>
      </w:r>
      <w:r>
        <w:rPr>
          <w:rFonts w:ascii="Calibri" w:hAnsi="Calibri"/>
          <w:color w:val="009649"/>
          <w:sz w:val="22"/>
        </w:rPr>
        <w:tab/>
      </w:r>
      <w:r>
        <w:rPr>
          <w:rFonts w:ascii="Calibri" w:hAnsi="Calibri"/>
          <w:color w:val="000000"/>
          <w:sz w:val="22"/>
        </w:rPr>
        <w:t>Сполучені Штати Америки</w:t>
      </w:r>
    </w:p>
    <w:p w:rsidR="00ED665B" w:rsidRPr="00907702" w:rsidRDefault="006C7D2F" w:rsidP="00DC2656">
      <w:pPr>
        <w:tabs>
          <w:tab w:val="left" w:pos="1594"/>
        </w:tabs>
        <w:rPr>
          <w:rFonts w:ascii="Calibri" w:hAnsi="Calibri" w:cs="Calibri"/>
        </w:rPr>
      </w:pPr>
      <w:r>
        <w:rPr>
          <w:rFonts w:ascii="Calibri" w:hAnsi="Calibri"/>
          <w:color w:val="009649"/>
          <w:sz w:val="22"/>
        </w:rPr>
        <w:t>USAID</w:t>
      </w:r>
      <w:r>
        <w:rPr>
          <w:rFonts w:ascii="Calibri" w:hAnsi="Calibri"/>
          <w:color w:val="009649"/>
          <w:sz w:val="22"/>
        </w:rPr>
        <w:tab/>
      </w:r>
      <w:r>
        <w:rPr>
          <w:rFonts w:ascii="Calibri" w:hAnsi="Calibri"/>
          <w:color w:val="000000"/>
          <w:sz w:val="22"/>
        </w:rPr>
        <w:t>Агентство США з міжнародного розвитку</w:t>
      </w:r>
    </w:p>
    <w:p w:rsidR="00ED665B" w:rsidRPr="00907702" w:rsidRDefault="006C7D2F" w:rsidP="00DC2656">
      <w:pPr>
        <w:tabs>
          <w:tab w:val="left" w:pos="1594"/>
        </w:tabs>
        <w:rPr>
          <w:rFonts w:ascii="Calibri" w:hAnsi="Calibri" w:cs="Calibri"/>
        </w:rPr>
      </w:pPr>
      <w:r>
        <w:rPr>
          <w:rFonts w:ascii="Calibri" w:hAnsi="Calibri"/>
          <w:color w:val="009649"/>
          <w:sz w:val="22"/>
        </w:rPr>
        <w:t>УФ</w:t>
      </w:r>
      <w:r>
        <w:rPr>
          <w:rFonts w:ascii="Calibri" w:hAnsi="Calibri"/>
          <w:color w:val="009649"/>
          <w:sz w:val="22"/>
        </w:rPr>
        <w:tab/>
      </w:r>
      <w:r>
        <w:rPr>
          <w:rFonts w:ascii="Calibri" w:hAnsi="Calibri"/>
          <w:color w:val="000000"/>
          <w:sz w:val="22"/>
        </w:rPr>
        <w:t>ультрафіолетове світло</w:t>
      </w:r>
    </w:p>
    <w:p w:rsidR="00ED665B" w:rsidRPr="00907702" w:rsidRDefault="006C7D2F" w:rsidP="00DC2656">
      <w:pPr>
        <w:tabs>
          <w:tab w:val="left" w:pos="1594"/>
        </w:tabs>
        <w:rPr>
          <w:rFonts w:ascii="Calibri" w:hAnsi="Calibri" w:cs="Calibri"/>
        </w:rPr>
      </w:pPr>
      <w:r>
        <w:rPr>
          <w:rFonts w:ascii="Calibri" w:hAnsi="Calibri"/>
          <w:color w:val="009649"/>
          <w:sz w:val="22"/>
        </w:rPr>
        <w:t>ВООЗ</w:t>
      </w:r>
      <w:r>
        <w:rPr>
          <w:rFonts w:ascii="Calibri" w:hAnsi="Calibri"/>
          <w:color w:val="009649"/>
          <w:sz w:val="22"/>
        </w:rPr>
        <w:tab/>
      </w:r>
      <w:r>
        <w:rPr>
          <w:rFonts w:ascii="Calibri" w:hAnsi="Calibri"/>
          <w:color w:val="000000"/>
          <w:sz w:val="22"/>
        </w:rPr>
        <w:t>Всесвітня організація охорони здоров’я</w:t>
      </w:r>
    </w:p>
    <w:p w:rsidR="00ED665B" w:rsidRPr="00907702" w:rsidRDefault="006C7D2F" w:rsidP="00DC2656">
      <w:pPr>
        <w:tabs>
          <w:tab w:val="left" w:pos="1594"/>
        </w:tabs>
        <w:rPr>
          <w:rFonts w:ascii="Calibri" w:hAnsi="Calibri" w:cs="Calibri"/>
        </w:rPr>
      </w:pPr>
      <w:r>
        <w:rPr>
          <w:rFonts w:ascii="Calibri" w:hAnsi="Calibri"/>
          <w:color w:val="009649"/>
          <w:sz w:val="22"/>
        </w:rPr>
        <w:t>ШЛС</w:t>
      </w:r>
      <w:r>
        <w:rPr>
          <w:rFonts w:ascii="Calibri" w:hAnsi="Calibri"/>
          <w:color w:val="009649"/>
          <w:sz w:val="22"/>
        </w:rPr>
        <w:tab/>
      </w:r>
      <w:r>
        <w:rPr>
          <w:rFonts w:ascii="Calibri" w:hAnsi="Calibri"/>
          <w:color w:val="000000"/>
          <w:sz w:val="22"/>
        </w:rPr>
        <w:t>широка лікарська стійкість</w:t>
      </w:r>
    </w:p>
    <w:p w:rsidR="00ED665B" w:rsidRPr="00907702" w:rsidRDefault="006C7D2F" w:rsidP="00DC2656">
      <w:pPr>
        <w:tabs>
          <w:tab w:val="left" w:pos="1594"/>
        </w:tabs>
        <w:rPr>
          <w:rFonts w:ascii="Calibri" w:hAnsi="Calibri" w:cs="Calibri"/>
        </w:rPr>
      </w:pPr>
      <w:r>
        <w:rPr>
          <w:rFonts w:ascii="Calibri" w:hAnsi="Calibri"/>
          <w:color w:val="009649"/>
          <w:sz w:val="22"/>
        </w:rPr>
        <w:t>ШЛС-ТБ</w:t>
      </w:r>
      <w:r>
        <w:rPr>
          <w:rFonts w:ascii="Calibri" w:hAnsi="Calibri"/>
          <w:color w:val="009649"/>
          <w:sz w:val="22"/>
        </w:rPr>
        <w:tab/>
      </w:r>
      <w:r>
        <w:rPr>
          <w:rFonts w:ascii="Calibri" w:hAnsi="Calibri"/>
          <w:color w:val="000000"/>
          <w:sz w:val="22"/>
        </w:rPr>
        <w:t>туберкульоз із широкою лікарською стійкістю</w:t>
      </w:r>
    </w:p>
    <w:p w:rsidR="00ED665B" w:rsidRPr="00907702" w:rsidRDefault="00ED665B" w:rsidP="00DC2656">
      <w:pPr>
        <w:tabs>
          <w:tab w:val="left" w:pos="1594"/>
        </w:tabs>
        <w:rPr>
          <w:rFonts w:ascii="Calibri" w:hAnsi="Calibri" w:cs="Calibri"/>
        </w:rPr>
        <w:sectPr w:rsidR="00ED665B" w:rsidRPr="00907702" w:rsidSect="00BE5914">
          <w:footerReference w:type="default" r:id="rId26"/>
          <w:pgSz w:w="11904" w:h="16838"/>
          <w:pgMar w:top="1306" w:right="2690" w:bottom="8174" w:left="1416" w:header="720" w:footer="720" w:gutter="0"/>
          <w:cols w:space="60"/>
          <w:noEndnote/>
        </w:sectPr>
      </w:pPr>
    </w:p>
    <w:p w:rsidR="00ED665B" w:rsidRPr="00907702" w:rsidRDefault="00CD1F71" w:rsidP="00DC2656">
      <w:pPr>
        <w:rPr>
          <w:rFonts w:ascii="Calibri" w:hAnsi="Calibri" w:cs="Calibri"/>
        </w:rPr>
      </w:pPr>
      <w:r>
        <w:rPr>
          <w:rFonts w:ascii="Calibri" w:hAnsi="Calibri"/>
          <w:noProof/>
          <w:color w:val="009649"/>
          <w:sz w:val="64"/>
          <w:lang w:val="en-US" w:bidi="ar-SA"/>
        </w:rPr>
        <w:lastRenderedPageBreak/>
        <w:drawing>
          <wp:anchor distT="0" distB="0" distL="6400800" distR="6400800" simplePos="0" relativeHeight="251645952" behindDoc="1" locked="0" layoutInCell="0" allowOverlap="1" wp14:anchorId="6A28B4FC" wp14:editId="36B41D1C">
            <wp:simplePos x="0" y="0"/>
            <wp:positionH relativeFrom="page">
              <wp:posOffset>0</wp:posOffset>
            </wp:positionH>
            <wp:positionV relativeFrom="page">
              <wp:posOffset>0</wp:posOffset>
            </wp:positionV>
            <wp:extent cx="7562850" cy="1647825"/>
            <wp:effectExtent l="0" t="0" r="0" b="0"/>
            <wp:wrapNone/>
            <wp:docPr id="2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28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9649"/>
          <w:sz w:val="64"/>
        </w:rPr>
        <w:t>Визначення</w:t>
      </w:r>
    </w:p>
    <w:p w:rsidR="00ED665B" w:rsidRPr="00907702" w:rsidRDefault="006C7D2F" w:rsidP="004F1793">
      <w:pPr>
        <w:spacing w:before="600"/>
        <w:jc w:val="both"/>
        <w:rPr>
          <w:rFonts w:ascii="Calibri" w:hAnsi="Calibri" w:cs="Calibri"/>
        </w:rPr>
      </w:pPr>
      <w:r>
        <w:rPr>
          <w:rFonts w:ascii="Calibri" w:hAnsi="Calibri"/>
          <w:b/>
          <w:color w:val="000000"/>
          <w:sz w:val="22"/>
        </w:rPr>
        <w:t>Пізня стадія ВІЛ-інфекції:</w:t>
      </w:r>
      <w:r>
        <w:rPr>
          <w:rFonts w:ascii="Calibri" w:hAnsi="Calibri"/>
          <w:color w:val="000000"/>
          <w:sz w:val="22"/>
          <w:vertAlign w:val="superscript"/>
        </w:rPr>
        <w:t xml:space="preserve"> </w:t>
      </w:r>
      <w:r>
        <w:rPr>
          <w:rFonts w:ascii="Calibri" w:hAnsi="Calibri"/>
          <w:color w:val="000000"/>
          <w:sz w:val="22"/>
        </w:rPr>
        <w:t>для дорослих, підлітків і дітей віком від 5 років «пізня стадія ВІЛ-інфекції» визначається при числі клітин CD4 менше 200 клітин/мм</w:t>
      </w:r>
      <w:r>
        <w:rPr>
          <w:rFonts w:ascii="Calibri" w:hAnsi="Calibri"/>
          <w:color w:val="000000"/>
          <w:sz w:val="22"/>
          <w:vertAlign w:val="superscript"/>
        </w:rPr>
        <w:t>3</w:t>
      </w:r>
      <w:r>
        <w:rPr>
          <w:rFonts w:ascii="Calibri" w:hAnsi="Calibri"/>
          <w:color w:val="000000"/>
          <w:sz w:val="22"/>
        </w:rPr>
        <w:t xml:space="preserve"> або клінічній стадії 3 або 4 за класифікацією ВООЗ на момент звернення за медичною допомогою. Усі діти віком до 5 років, хворі на ВІЛ, повинні розглядатися як такі, що мають пізню стадію ВІЛ-інфекції на момент звернення за медичною допомогою.</w:t>
      </w:r>
    </w:p>
    <w:p w:rsidR="00ED665B" w:rsidRPr="00907702" w:rsidRDefault="006C7D2F" w:rsidP="00DC2656">
      <w:pPr>
        <w:spacing w:before="173"/>
        <w:ind w:right="5"/>
        <w:jc w:val="both"/>
        <w:rPr>
          <w:rFonts w:ascii="Calibri" w:hAnsi="Calibri" w:cs="Calibri"/>
        </w:rPr>
      </w:pPr>
      <w:r>
        <w:rPr>
          <w:rFonts w:ascii="Calibri" w:hAnsi="Calibri"/>
          <w:b/>
          <w:color w:val="000000"/>
          <w:sz w:val="22"/>
        </w:rPr>
        <w:t xml:space="preserve">Вікові групи: </w:t>
      </w:r>
      <w:r>
        <w:rPr>
          <w:rFonts w:ascii="Calibri" w:hAnsi="Calibri"/>
          <w:color w:val="000000"/>
          <w:sz w:val="22"/>
        </w:rPr>
        <w:t>з метою імплементації рекомендацій у цих настановах використовуються наступні визначення «дорослих» та «дітей» (країни можуть мати інші визначення відповідно до своїх національних норм)</w:t>
      </w:r>
      <w:r>
        <w:rPr>
          <w:rFonts w:ascii="Calibri" w:hAnsi="Calibri"/>
          <w:color w:val="000000"/>
          <w:sz w:val="22"/>
          <w:vertAlign w:val="superscript"/>
        </w:rPr>
        <w:t>3</w:t>
      </w:r>
      <w:r>
        <w:rPr>
          <w:rFonts w:ascii="Calibri" w:hAnsi="Calibri"/>
          <w:color w:val="000000"/>
          <w:sz w:val="22"/>
        </w:rPr>
        <w:t>:</w:t>
      </w:r>
    </w:p>
    <w:p w:rsidR="00ED665B" w:rsidRPr="00907702" w:rsidRDefault="006C7D2F" w:rsidP="00DC2656">
      <w:pPr>
        <w:numPr>
          <w:ilvl w:val="0"/>
          <w:numId w:val="2"/>
        </w:numPr>
        <w:tabs>
          <w:tab w:val="left" w:pos="240"/>
        </w:tabs>
        <w:spacing w:before="144"/>
        <w:rPr>
          <w:rFonts w:ascii="Calibri" w:hAnsi="Calibri" w:cs="Calibri"/>
          <w:color w:val="009649"/>
          <w:sz w:val="22"/>
          <w:szCs w:val="22"/>
        </w:rPr>
      </w:pPr>
      <w:r>
        <w:rPr>
          <w:rFonts w:ascii="Calibri" w:hAnsi="Calibri"/>
          <w:color w:val="000000"/>
          <w:sz w:val="22"/>
        </w:rPr>
        <w:t>дорослий – особа віком від 15 років;</w:t>
      </w:r>
    </w:p>
    <w:p w:rsidR="00ED665B" w:rsidRPr="00907702" w:rsidRDefault="006C7D2F" w:rsidP="00DC2656">
      <w:pPr>
        <w:numPr>
          <w:ilvl w:val="0"/>
          <w:numId w:val="2"/>
        </w:numPr>
        <w:tabs>
          <w:tab w:val="left" w:pos="240"/>
        </w:tabs>
        <w:spacing w:before="58"/>
        <w:rPr>
          <w:rFonts w:ascii="Calibri" w:hAnsi="Calibri" w:cs="Calibri"/>
          <w:color w:val="009649"/>
          <w:sz w:val="22"/>
          <w:szCs w:val="22"/>
        </w:rPr>
      </w:pPr>
      <w:r>
        <w:rPr>
          <w:rFonts w:ascii="Calibri" w:hAnsi="Calibri"/>
          <w:color w:val="000000"/>
          <w:sz w:val="22"/>
        </w:rPr>
        <w:t>дитина – особа віком до 15 років.</w:t>
      </w:r>
    </w:p>
    <w:p w:rsidR="00ED665B" w:rsidRPr="00907702" w:rsidRDefault="006C7D2F" w:rsidP="00DC2656">
      <w:pPr>
        <w:spacing w:before="187"/>
        <w:ind w:right="5"/>
        <w:jc w:val="both"/>
        <w:rPr>
          <w:rFonts w:ascii="Calibri" w:hAnsi="Calibri" w:cs="Calibri"/>
        </w:rPr>
      </w:pPr>
      <w:r>
        <w:rPr>
          <w:rFonts w:ascii="Calibri" w:hAnsi="Calibri"/>
          <w:b/>
          <w:color w:val="000000"/>
          <w:sz w:val="22"/>
        </w:rPr>
        <w:t>Градації з оцінки, розробки та ранжування рекомендацій (GRADE):</w:t>
      </w:r>
      <w:r>
        <w:rPr>
          <w:rFonts w:ascii="Calibri" w:hAnsi="Calibri"/>
          <w:color w:val="000000"/>
          <w:sz w:val="22"/>
        </w:rPr>
        <w:t xml:space="preserve"> система оцінювання якості даних та обґрунтованості рекомендацій; є явним, всеосяжним, прозорим та прагматичним підходом і все частіше приймається організаціями по всьому світу.</w:t>
      </w:r>
    </w:p>
    <w:p w:rsidR="00ED665B" w:rsidRPr="00907702" w:rsidRDefault="006C7D2F" w:rsidP="00DC2656">
      <w:pPr>
        <w:spacing w:before="168"/>
        <w:ind w:right="10"/>
        <w:jc w:val="both"/>
        <w:rPr>
          <w:rFonts w:ascii="Calibri" w:hAnsi="Calibri" w:cs="Calibri"/>
        </w:rPr>
      </w:pPr>
      <w:r>
        <w:rPr>
          <w:rFonts w:ascii="Calibri" w:hAnsi="Calibri"/>
          <w:b/>
          <w:color w:val="000000"/>
          <w:sz w:val="22"/>
        </w:rPr>
        <w:t xml:space="preserve">Стаціонар: </w:t>
      </w:r>
      <w:r>
        <w:rPr>
          <w:rFonts w:ascii="Calibri" w:hAnsi="Calibri"/>
          <w:color w:val="000000"/>
          <w:sz w:val="22"/>
        </w:rPr>
        <w:t>медичний заклад, куди приймають пацієнтів та надають ліжко під час діагностики, лікування та догляду, принаймні на одну ночівлю.</w:t>
      </w:r>
    </w:p>
    <w:p w:rsidR="00ED665B" w:rsidRPr="00907702" w:rsidRDefault="006C7D2F" w:rsidP="00DC2656">
      <w:pPr>
        <w:spacing w:before="163"/>
        <w:ind w:right="10"/>
        <w:jc w:val="both"/>
        <w:rPr>
          <w:rFonts w:ascii="Calibri" w:hAnsi="Calibri" w:cs="Calibri"/>
        </w:rPr>
      </w:pPr>
      <w:r>
        <w:rPr>
          <w:rFonts w:ascii="Calibri" w:hAnsi="Calibri"/>
          <w:b/>
          <w:color w:val="000000"/>
          <w:sz w:val="22"/>
        </w:rPr>
        <w:t xml:space="preserve">Амбулаторна установа охорони здоров’я: </w:t>
      </w:r>
      <w:r>
        <w:rPr>
          <w:rFonts w:ascii="Calibri" w:hAnsi="Calibri"/>
          <w:color w:val="000000"/>
          <w:sz w:val="22"/>
        </w:rPr>
        <w:t>медичний заклад, де пацієнти проходять діагностику, отримують лікування та догляд, але не приймаються на ночівлю (наприклад, амбулаторія чи диспансер).</w:t>
      </w:r>
    </w:p>
    <w:p w:rsidR="004F1793" w:rsidRPr="004F1793" w:rsidRDefault="004F1793" w:rsidP="004F1793">
      <w:pPr>
        <w:spacing w:before="4320"/>
        <w:ind w:right="5"/>
        <w:jc w:val="both"/>
        <w:rPr>
          <w:rFonts w:ascii="Calibri" w:hAnsi="Calibri" w:cs="Calibri"/>
          <w:color w:val="000000"/>
          <w:sz w:val="16"/>
          <w:szCs w:val="16"/>
          <w:u w:val="single"/>
          <w:vertAlign w:val="superscript"/>
        </w:rPr>
      </w:pPr>
      <w:r>
        <w:rPr>
          <w:rFonts w:ascii="Calibri" w:hAnsi="Calibri"/>
          <w:color w:val="000000"/>
          <w:sz w:val="16"/>
          <w:u w:val="single"/>
          <w:vertAlign w:val="superscript"/>
        </w:rPr>
        <w:tab/>
      </w:r>
      <w:r>
        <w:rPr>
          <w:rFonts w:ascii="Calibri" w:hAnsi="Calibri"/>
          <w:color w:val="000000"/>
          <w:sz w:val="16"/>
          <w:u w:val="single"/>
          <w:vertAlign w:val="superscript"/>
        </w:rPr>
        <w:tab/>
      </w:r>
      <w:r>
        <w:rPr>
          <w:rFonts w:ascii="Calibri" w:hAnsi="Calibri"/>
          <w:color w:val="000000"/>
          <w:sz w:val="16"/>
          <w:u w:val="single"/>
          <w:vertAlign w:val="superscript"/>
        </w:rPr>
        <w:tab/>
      </w:r>
    </w:p>
    <w:p w:rsidR="00ED665B" w:rsidRPr="00907702" w:rsidRDefault="006C7D2F" w:rsidP="004F1793">
      <w:pPr>
        <w:ind w:left="221" w:right="5" w:hanging="221"/>
        <w:jc w:val="both"/>
        <w:rPr>
          <w:rFonts w:ascii="Calibri" w:hAnsi="Calibri" w:cs="Calibri"/>
        </w:rPr>
      </w:pPr>
      <w:r>
        <w:rPr>
          <w:rFonts w:ascii="Calibri" w:hAnsi="Calibri"/>
          <w:color w:val="000000"/>
          <w:sz w:val="16"/>
          <w:vertAlign w:val="superscript"/>
        </w:rPr>
        <w:t>3</w:t>
      </w:r>
      <w:r>
        <w:rPr>
          <w:rFonts w:ascii="Calibri" w:hAnsi="Calibri"/>
          <w:color w:val="000000"/>
          <w:sz w:val="16"/>
        </w:rPr>
        <w:t xml:space="preserve"> </w:t>
      </w:r>
      <w:r>
        <w:rPr>
          <w:rFonts w:ascii="Calibri" w:hAnsi="Calibri"/>
          <w:color w:val="000000"/>
          <w:sz w:val="16"/>
        </w:rPr>
        <w:tab/>
        <w:t>У Розділі 2.2. Для ліпоарабіноманнанового тесту бокового зсуву застосовувалося наступне визначення для дорослих, підлітків та дітей: дорослий – це особа віком від 19 років; підліток – це особа віком 10–19 років включно; а дитина – це особа віком до 10 років.</w:t>
      </w:r>
    </w:p>
    <w:p w:rsidR="00ED665B" w:rsidRPr="00907702" w:rsidRDefault="00ED665B" w:rsidP="00DC2656">
      <w:pPr>
        <w:spacing w:before="4526"/>
        <w:ind w:left="221" w:right="5" w:hanging="221"/>
        <w:jc w:val="both"/>
        <w:rPr>
          <w:rFonts w:ascii="Calibri" w:hAnsi="Calibri" w:cs="Calibri"/>
        </w:rPr>
        <w:sectPr w:rsidR="00ED665B" w:rsidRPr="00907702">
          <w:footerReference w:type="even" r:id="rId27"/>
          <w:pgSz w:w="11904" w:h="16838"/>
          <w:pgMar w:top="2227" w:right="1411" w:bottom="1368" w:left="1416" w:header="720" w:footer="720" w:gutter="0"/>
          <w:cols w:space="60"/>
          <w:noEndnote/>
        </w:sectPr>
      </w:pPr>
    </w:p>
    <w:p w:rsidR="00ED665B" w:rsidRPr="00907702" w:rsidRDefault="00CD1F71" w:rsidP="00DC2656">
      <w:pPr>
        <w:rPr>
          <w:rFonts w:ascii="Calibri" w:hAnsi="Calibri" w:cs="Calibri"/>
        </w:rPr>
      </w:pPr>
      <w:bookmarkStart w:id="2" w:name="bookmark3"/>
      <w:r>
        <w:rPr>
          <w:rFonts w:ascii="Calibri" w:hAnsi="Calibri"/>
          <w:noProof/>
          <w:color w:val="000000"/>
          <w:sz w:val="22"/>
          <w:lang w:val="en-US" w:bidi="ar-SA"/>
        </w:rPr>
        <w:lastRenderedPageBreak/>
        <w:drawing>
          <wp:anchor distT="0" distB="0" distL="6400800" distR="6400800" simplePos="0" relativeHeight="251648000" behindDoc="1" locked="0" layoutInCell="0" allowOverlap="1" wp14:anchorId="6D43D25C" wp14:editId="5DEA08C2">
            <wp:simplePos x="0" y="0"/>
            <wp:positionH relativeFrom="page">
              <wp:posOffset>3810</wp:posOffset>
            </wp:positionH>
            <wp:positionV relativeFrom="page">
              <wp:posOffset>3810</wp:posOffset>
            </wp:positionV>
            <wp:extent cx="7562850" cy="1743075"/>
            <wp:effectExtent l="0" t="0" r="0" b="0"/>
            <wp:wrapNone/>
            <wp:docPr id="2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9649"/>
          <w:sz w:val="64"/>
        </w:rPr>
        <w:t>К</w:t>
      </w:r>
      <w:bookmarkEnd w:id="2"/>
      <w:r>
        <w:rPr>
          <w:rFonts w:ascii="Calibri" w:hAnsi="Calibri"/>
          <w:color w:val="009649"/>
          <w:sz w:val="64"/>
        </w:rPr>
        <w:t>ороткий огляд змісту</w:t>
      </w:r>
    </w:p>
    <w:p w:rsidR="00ED665B" w:rsidRPr="00907702" w:rsidRDefault="006C7D2F" w:rsidP="004F1793">
      <w:pPr>
        <w:spacing w:before="600"/>
        <w:jc w:val="both"/>
        <w:rPr>
          <w:rFonts w:ascii="Calibri" w:hAnsi="Calibri" w:cs="Calibri"/>
        </w:rPr>
      </w:pPr>
      <w:r>
        <w:rPr>
          <w:rFonts w:ascii="Calibri" w:hAnsi="Calibri"/>
          <w:color w:val="000000"/>
          <w:sz w:val="22"/>
        </w:rPr>
        <w:t>Політична декларація на першому засіданні на високому рівні з питань боротьби з туберкульозом (ТБ) ООН, що відбулося 26 вересня 2018 року, включала зобов’язання держав-членів щодо чотирьох нових глобальних цілей.</w:t>
      </w:r>
      <w:r>
        <w:rPr>
          <w:rFonts w:ascii="Calibri" w:hAnsi="Calibri"/>
          <w:color w:val="000000"/>
          <w:sz w:val="22"/>
          <w:vertAlign w:val="superscript"/>
        </w:rPr>
        <w:t>4</w:t>
      </w:r>
      <w:r>
        <w:rPr>
          <w:rFonts w:ascii="Calibri" w:hAnsi="Calibri"/>
          <w:color w:val="000000"/>
          <w:sz w:val="22"/>
        </w:rPr>
        <w:t xml:space="preserve"> Однією з таких цілей є діагностика та лікування 40 мільйонів людей, хворих на ТБ, протягом 5-річного періоду 2018–2022 років. Орієнтовне розподілення цілі становить близько 7 мільйонів людей у 2018 році та близько 8 мільйонів – у наступні роки. Традиційний метод діагностики туберкульозу за допомогою світлового мікроскопа, розроблений більше 100 років тому, в останні роки було витіснено завдяки застосуванню кількох нових методів та інструментів. Ці методи засновані або на виявленні мікобактеріальних антигенів або ДНК.</w:t>
      </w:r>
    </w:p>
    <w:p w:rsidR="00ED665B" w:rsidRPr="00907702" w:rsidRDefault="006C7D2F" w:rsidP="00DC2656">
      <w:pPr>
        <w:spacing w:before="168"/>
        <w:ind w:right="5"/>
        <w:jc w:val="both"/>
        <w:rPr>
          <w:rFonts w:ascii="Calibri" w:hAnsi="Calibri" w:cs="Calibri"/>
        </w:rPr>
      </w:pPr>
      <w:r>
        <w:rPr>
          <w:rFonts w:ascii="Calibri" w:hAnsi="Calibri"/>
          <w:color w:val="000000"/>
          <w:sz w:val="22"/>
        </w:rPr>
        <w:t>Нові інструменти для виявлення Mycobacterium tuberculosis та резистентності до протитуберкульозних лікарських засобів потребують обґрунтованих рекомендацій. Всесвітня організація охорони здоров’я (ВООЗ) опублікувала ряд керівництв, розроблених групами з розробки настанов ВООЗ (ГРН), які використовували підхід градації з оцінки, розробки та ранжування рекомендацій (GRADE) для узагальнення доказів та формулювання рекомендацій щодо впровадження, а також примітки. Однак зростаюча кількість опублікованих керівництв ускладнює орієнтування та оновлення останніх рекомендацій для цільової аудиторії, яка включає медичний персонал, національні туберкульозні програми та директивні органи. ВООЗ визнала нагальну необхідність об’єднання рекомендацій в один документ. Цей документ представляє рекомендації з п’яти керівництв, опублікованих ВООЗ у період з 2016 по 2020 рік, як показано у наведеній нижче виносці. Ранні настанови щодо діагностики, які не були розроблені відповідно до підходу GRADE, не були включені до цього консолідованого документа.</w:t>
      </w:r>
    </w:p>
    <w:p w:rsidR="00ED665B" w:rsidRPr="00907702" w:rsidRDefault="006C7D2F" w:rsidP="00DC2656">
      <w:pPr>
        <w:spacing w:before="168"/>
        <w:ind w:right="14"/>
        <w:jc w:val="both"/>
        <w:rPr>
          <w:rFonts w:ascii="Calibri" w:hAnsi="Calibri" w:cs="Calibri"/>
        </w:rPr>
      </w:pPr>
      <w:r>
        <w:rPr>
          <w:rFonts w:ascii="Calibri" w:hAnsi="Calibri"/>
          <w:color w:val="000000"/>
          <w:sz w:val="22"/>
        </w:rPr>
        <w:t>Нарешті, рекомендації щодо трьох нових класів технологій, оцінених у 2020–21 роках, включено до поточного документа та вони представляють собою оновлення 2021 року. Ці три класи представлені наступним:</w:t>
      </w:r>
    </w:p>
    <w:p w:rsidR="00ED665B" w:rsidRPr="00907702" w:rsidRDefault="006C7D2F" w:rsidP="00DC2656">
      <w:pPr>
        <w:numPr>
          <w:ilvl w:val="0"/>
          <w:numId w:val="2"/>
        </w:numPr>
        <w:tabs>
          <w:tab w:val="left" w:pos="240"/>
        </w:tabs>
        <w:spacing w:before="82"/>
        <w:ind w:left="240" w:hanging="240"/>
        <w:rPr>
          <w:rFonts w:ascii="Calibri" w:hAnsi="Calibri" w:cs="Calibri"/>
          <w:color w:val="009649"/>
          <w:sz w:val="22"/>
          <w:szCs w:val="22"/>
        </w:rPr>
      </w:pPr>
      <w:r>
        <w:rPr>
          <w:rFonts w:ascii="Calibri" w:hAnsi="Calibri"/>
          <w:color w:val="000000"/>
          <w:sz w:val="22"/>
        </w:rPr>
        <w:t>автоматизовані ТАНК помірної складності для виявлення туберкульозу та резистентності до рифампіцину та ізоніазиду;</w:t>
      </w:r>
    </w:p>
    <w:p w:rsidR="00ED665B" w:rsidRPr="00907702" w:rsidRDefault="006C7D2F" w:rsidP="00DC2656">
      <w:pPr>
        <w:numPr>
          <w:ilvl w:val="0"/>
          <w:numId w:val="2"/>
        </w:numPr>
        <w:tabs>
          <w:tab w:val="left" w:pos="240"/>
        </w:tabs>
        <w:ind w:left="240" w:hanging="240"/>
        <w:rPr>
          <w:rFonts w:ascii="Calibri" w:hAnsi="Calibri" w:cs="Calibri"/>
          <w:color w:val="009649"/>
          <w:sz w:val="22"/>
          <w:szCs w:val="22"/>
        </w:rPr>
      </w:pPr>
      <w:r>
        <w:rPr>
          <w:rFonts w:ascii="Calibri" w:hAnsi="Calibri"/>
          <w:color w:val="000000"/>
          <w:sz w:val="22"/>
        </w:rPr>
        <w:t>автоматизовані ТАНК низької складності для виявлення резистентності до ізоніазидів та протитуберкульозних препаратів другого ряду; і</w:t>
      </w:r>
    </w:p>
    <w:p w:rsidR="00ED665B" w:rsidRPr="00907702" w:rsidRDefault="006C7D2F" w:rsidP="0075369F">
      <w:pPr>
        <w:numPr>
          <w:ilvl w:val="0"/>
          <w:numId w:val="2"/>
        </w:numPr>
        <w:tabs>
          <w:tab w:val="left" w:pos="240"/>
        </w:tabs>
        <w:ind w:left="224" w:hanging="224"/>
        <w:rPr>
          <w:rFonts w:ascii="Calibri" w:hAnsi="Calibri" w:cs="Calibri"/>
          <w:color w:val="009649"/>
          <w:sz w:val="22"/>
          <w:szCs w:val="22"/>
        </w:rPr>
      </w:pPr>
      <w:r>
        <w:rPr>
          <w:rFonts w:ascii="Calibri" w:hAnsi="Calibri"/>
          <w:color w:val="000000"/>
          <w:sz w:val="22"/>
        </w:rPr>
        <w:t>ТАНК високої складності на основі зворотної гібридизації для виявлення резистентності до піразинаміду.</w:t>
      </w:r>
    </w:p>
    <w:p w:rsidR="004F1793" w:rsidRPr="004F1793" w:rsidRDefault="004F1793" w:rsidP="004F1793">
      <w:pPr>
        <w:spacing w:before="1901"/>
        <w:rPr>
          <w:rFonts w:ascii="Calibri" w:hAnsi="Calibri" w:cs="Calibri"/>
          <w:color w:val="000000"/>
          <w:sz w:val="16"/>
          <w:szCs w:val="16"/>
          <w:u w:val="single"/>
          <w:vertAlign w:val="superscript"/>
        </w:rPr>
      </w:pPr>
      <w:r>
        <w:rPr>
          <w:rFonts w:ascii="Calibri" w:hAnsi="Calibri"/>
          <w:color w:val="000000"/>
          <w:sz w:val="16"/>
          <w:u w:val="single"/>
          <w:vertAlign w:val="superscript"/>
        </w:rPr>
        <w:tab/>
      </w:r>
      <w:r>
        <w:rPr>
          <w:rFonts w:ascii="Calibri" w:hAnsi="Calibri"/>
          <w:color w:val="000000"/>
          <w:sz w:val="16"/>
          <w:u w:val="single"/>
          <w:vertAlign w:val="superscript"/>
        </w:rPr>
        <w:tab/>
      </w:r>
      <w:r>
        <w:rPr>
          <w:rFonts w:ascii="Calibri" w:hAnsi="Calibri"/>
          <w:color w:val="000000"/>
          <w:sz w:val="16"/>
          <w:u w:val="single"/>
          <w:vertAlign w:val="superscript"/>
        </w:rPr>
        <w:tab/>
      </w:r>
    </w:p>
    <w:p w:rsidR="00ED665B" w:rsidRPr="00907702" w:rsidRDefault="006C7D2F" w:rsidP="004F1793">
      <w:pPr>
        <w:ind w:left="221" w:hanging="221"/>
        <w:rPr>
          <w:rFonts w:ascii="Calibri" w:hAnsi="Calibri" w:cs="Calibri"/>
        </w:rPr>
      </w:pPr>
      <w:r>
        <w:rPr>
          <w:rFonts w:ascii="Calibri" w:hAnsi="Calibri"/>
          <w:color w:val="000000"/>
          <w:sz w:val="16"/>
          <w:vertAlign w:val="superscript"/>
        </w:rPr>
        <w:t>4</w:t>
      </w:r>
      <w:r>
        <w:rPr>
          <w:rFonts w:ascii="Calibri" w:hAnsi="Calibri"/>
          <w:color w:val="000000"/>
          <w:sz w:val="16"/>
        </w:rPr>
        <w:t xml:space="preserve"> </w:t>
      </w:r>
      <w:r>
        <w:rPr>
          <w:rFonts w:ascii="Calibri" w:hAnsi="Calibri"/>
          <w:color w:val="000000"/>
          <w:sz w:val="16"/>
        </w:rPr>
        <w:tab/>
        <w:t xml:space="preserve">Доповідь у рамках Глобальної програми боротьби з туберкульозом у 2019 році (WHO/CDS/TB/2019.15). Geneva: World Health Organization; </w:t>
      </w:r>
      <w:r w:rsidRPr="00BE5914">
        <w:rPr>
          <w:rFonts w:ascii="Calibri" w:hAnsi="Calibri"/>
          <w:sz w:val="16"/>
        </w:rPr>
        <w:t xml:space="preserve">2019 (https://www.who.int/ tb/publications/global_report/en/, дата </w:t>
      </w:r>
      <w:r>
        <w:rPr>
          <w:rFonts w:ascii="Calibri" w:hAnsi="Calibri"/>
          <w:color w:val="000000"/>
          <w:sz w:val="16"/>
        </w:rPr>
        <w:t>перегляду: 26 травня 2020 р.).</w:t>
      </w:r>
    </w:p>
    <w:p w:rsidR="00ED665B" w:rsidRPr="00907702" w:rsidRDefault="00ED665B" w:rsidP="00DC2656">
      <w:pPr>
        <w:spacing w:before="1901"/>
        <w:ind w:left="221" w:hanging="221"/>
        <w:rPr>
          <w:rFonts w:ascii="Calibri" w:hAnsi="Calibri" w:cs="Calibri"/>
        </w:rPr>
        <w:sectPr w:rsidR="00ED665B" w:rsidRPr="00907702">
          <w:footerReference w:type="default" r:id="rId28"/>
          <w:pgSz w:w="11904" w:h="16838"/>
          <w:pgMar w:top="2227" w:right="1411" w:bottom="1373" w:left="1416" w:header="720" w:footer="720" w:gutter="0"/>
          <w:cols w:space="60"/>
          <w:noEndnote/>
        </w:sectPr>
      </w:pPr>
    </w:p>
    <w:p w:rsidR="00ED665B" w:rsidRPr="00907702" w:rsidRDefault="00A3729E" w:rsidP="00DC2656">
      <w:pPr>
        <w:spacing w:before="106"/>
        <w:ind w:left="394" w:right="10" w:hanging="394"/>
        <w:jc w:val="both"/>
        <w:rPr>
          <w:rFonts w:ascii="Calibri" w:hAnsi="Calibri" w:cs="Calibri"/>
        </w:rPr>
      </w:pPr>
      <w:r>
        <w:rPr>
          <w:rFonts w:ascii="Calibri" w:hAnsi="Calibri"/>
          <w:noProof/>
          <w:lang w:val="en-US" w:bidi="ar-SA"/>
        </w:rPr>
        <w:lastRenderedPageBreak/>
        <mc:AlternateContent>
          <mc:Choice Requires="wpg">
            <w:drawing>
              <wp:anchor distT="0" distB="0" distL="114300" distR="114300" simplePos="0" relativeHeight="251669504" behindDoc="0" locked="0" layoutInCell="1" allowOverlap="1">
                <wp:simplePos x="0" y="0"/>
                <wp:positionH relativeFrom="margin">
                  <wp:posOffset>-216792</wp:posOffset>
                </wp:positionH>
                <wp:positionV relativeFrom="paragraph">
                  <wp:posOffset>102796</wp:posOffset>
                </wp:positionV>
                <wp:extent cx="5779423" cy="5464719"/>
                <wp:effectExtent l="0" t="0" r="0" b="3175"/>
                <wp:wrapNone/>
                <wp:docPr id="518" name="Группа 518"/>
                <wp:cNvGraphicFramePr/>
                <a:graphic xmlns:a="http://schemas.openxmlformats.org/drawingml/2006/main">
                  <a:graphicData uri="http://schemas.microsoft.com/office/word/2010/wordprocessingGroup">
                    <wpg:wgp>
                      <wpg:cNvGrpSpPr/>
                      <wpg:grpSpPr>
                        <a:xfrm>
                          <a:off x="0" y="0"/>
                          <a:ext cx="5779423" cy="5464719"/>
                          <a:chOff x="97" y="0"/>
                          <a:chExt cx="5779423" cy="5295265"/>
                        </a:xfrm>
                      </wpg:grpSpPr>
                      <wps:wsp>
                        <wps:cNvPr id="243" name="Прямоугольник с двумя скругленными соседними углами 243"/>
                        <wps:cNvSpPr/>
                        <wps:spPr>
                          <a:xfrm rot="5400000">
                            <a:off x="321377" y="-162877"/>
                            <a:ext cx="5295265"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Прямоугольник с двумя скругленными соседними углами 512"/>
                        <wps:cNvSpPr/>
                        <wps:spPr>
                          <a:xfrm rot="5400000">
                            <a:off x="2481981" y="-2344682"/>
                            <a:ext cx="352426" cy="5316193"/>
                          </a:xfrm>
                          <a:prstGeom prst="round2SameRect">
                            <a:avLst>
                              <a:gd name="adj1" fmla="val 50000"/>
                              <a:gd name="adj2" fmla="val 0"/>
                            </a:avLst>
                          </a:prstGeom>
                          <a:solidFill>
                            <a:srgbClr val="0096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Надпись 514"/>
                        <wps:cNvSpPr txBox="1"/>
                        <wps:spPr>
                          <a:xfrm>
                            <a:off x="161888" y="219896"/>
                            <a:ext cx="5029200" cy="287020"/>
                          </a:xfrm>
                          <a:prstGeom prst="rect">
                            <a:avLst/>
                          </a:prstGeom>
                          <a:noFill/>
                          <a:ln w="6350">
                            <a:noFill/>
                          </a:ln>
                        </wps:spPr>
                        <wps:txbx>
                          <w:txbxContent>
                            <w:p w:rsidR="00BE6F5B" w:rsidRPr="00A3729E" w:rsidRDefault="00BE6F5B">
                              <w:pPr>
                                <w:rPr>
                                  <w:rFonts w:asciiTheme="minorHAnsi" w:hAnsiTheme="minorHAnsi" w:cstheme="minorHAnsi"/>
                                </w:rPr>
                              </w:pPr>
                              <w:r>
                                <w:rPr>
                                  <w:rFonts w:asciiTheme="minorHAnsi" w:hAnsiTheme="minorHAnsi"/>
                                  <w:b/>
                                  <w:color w:val="FFFFFF"/>
                                  <w:sz w:val="22"/>
                                </w:rPr>
                                <w:t>Керівництва з діагностики ВООЗ, включені до цього консолідованого керівництва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5" name="Надпись 515"/>
                        <wps:cNvSpPr txBox="1"/>
                        <wps:spPr>
                          <a:xfrm>
                            <a:off x="385146" y="570727"/>
                            <a:ext cx="5082363" cy="4574389"/>
                          </a:xfrm>
                          <a:prstGeom prst="rect">
                            <a:avLst/>
                          </a:prstGeom>
                          <a:noFill/>
                          <a:ln w="6350">
                            <a:noFill/>
                          </a:ln>
                        </wps:spPr>
                        <wps:txbx>
                          <w:txbxContent>
                            <w:p w:rsidR="00BE6F5B" w:rsidRPr="00A3729E" w:rsidRDefault="00BE6F5B" w:rsidP="00A3729E">
                              <w:pPr>
                                <w:pStyle w:val="a3"/>
                                <w:numPr>
                                  <w:ilvl w:val="0"/>
                                  <w:numId w:val="30"/>
                                </w:numPr>
                                <w:spacing w:after="120"/>
                                <w:ind w:left="425" w:hanging="357"/>
                                <w:contextualSpacing w:val="0"/>
                                <w:jc w:val="both"/>
                                <w:rPr>
                                  <w:rFonts w:ascii="Calibri" w:hAnsi="Calibri" w:cs="Calibri"/>
                                </w:rPr>
                              </w:pPr>
                              <w:r>
                                <w:rPr>
                                  <w:rFonts w:ascii="Calibri" w:hAnsi="Calibri"/>
                                  <w:color w:val="000000"/>
                                </w:rPr>
                                <w:t>Тести Xpert MTB/RIF і Xpert MTB/RIF (Ultra). Вперше видано у 2020 році як частина Консолідованих настанов ВООЗ щодо туберкульозу. Модуль 3: встановлення діагнозу – швидка діагностика для виявлення туберкульозу.</w:t>
                              </w:r>
                            </w:p>
                            <w:p w:rsidR="00BE6F5B" w:rsidRPr="00A3729E" w:rsidRDefault="00BE6F5B" w:rsidP="00A3729E">
                              <w:pPr>
                                <w:pStyle w:val="a3"/>
                                <w:numPr>
                                  <w:ilvl w:val="0"/>
                                  <w:numId w:val="30"/>
                                </w:numPr>
                                <w:spacing w:after="120"/>
                                <w:ind w:left="425" w:right="14" w:hanging="357"/>
                                <w:contextualSpacing w:val="0"/>
                                <w:jc w:val="both"/>
                                <w:rPr>
                                  <w:rFonts w:ascii="Calibri" w:hAnsi="Calibri" w:cs="Calibri"/>
                                </w:rPr>
                              </w:pPr>
                              <w:r>
                                <w:rPr>
                                  <w:rFonts w:ascii="Calibri" w:hAnsi="Calibri"/>
                                  <w:color w:val="000000"/>
                                </w:rPr>
                                <w:t>Тести Truenat MTB, Truenat MTB Plus і Truenat MTB-RIF Dx. Вперше видано у 2020 році як частина Консолідованих настанов ВООЗ щодо туберкульозу. Модуль 3: встановлення діагнозу – швидка діагностика для виявлення туберкульозу</w:t>
                              </w:r>
                            </w:p>
                            <w:p w:rsidR="00BE6F5B" w:rsidRPr="00A3729E" w:rsidRDefault="00BE6F5B" w:rsidP="00A3729E">
                              <w:pPr>
                                <w:pStyle w:val="a3"/>
                                <w:numPr>
                                  <w:ilvl w:val="0"/>
                                  <w:numId w:val="30"/>
                                </w:numPr>
                                <w:spacing w:after="120"/>
                                <w:ind w:left="425" w:right="10" w:hanging="357"/>
                                <w:contextualSpacing w:val="0"/>
                                <w:jc w:val="both"/>
                                <w:rPr>
                                  <w:rFonts w:ascii="Calibri" w:hAnsi="Calibri" w:cs="Calibri"/>
                                </w:rPr>
                              </w:pPr>
                              <w:r>
                                <w:rPr>
                                  <w:rFonts w:ascii="Calibri" w:hAnsi="Calibri"/>
                                  <w:color w:val="000000"/>
                                </w:rPr>
                                <w:t>Автоматизовані ТАНК помірної складності для виявлення туберкульозу та резистентності до рифампіцину та ізоніазиду. Вперше видано у 2021 році як частина цього документа.</w:t>
                              </w:r>
                            </w:p>
                            <w:p w:rsidR="00BE6F5B" w:rsidRPr="00A3729E" w:rsidRDefault="00BE6F5B" w:rsidP="00A3729E">
                              <w:pPr>
                                <w:pStyle w:val="a3"/>
                                <w:numPr>
                                  <w:ilvl w:val="0"/>
                                  <w:numId w:val="30"/>
                                </w:numPr>
                                <w:spacing w:after="120"/>
                                <w:ind w:left="425" w:right="10" w:hanging="357"/>
                                <w:contextualSpacing w:val="0"/>
                                <w:jc w:val="both"/>
                                <w:rPr>
                                  <w:rFonts w:ascii="Calibri" w:hAnsi="Calibri" w:cs="Calibri"/>
                                </w:rPr>
                              </w:pPr>
                              <w:r>
                                <w:rPr>
                                  <w:rFonts w:ascii="Calibri" w:hAnsi="Calibri"/>
                                  <w:color w:val="000000"/>
                                </w:rPr>
                                <w:t>Використання петльової ізотермічної ампліфікації (TB-LAMP) для діагностики легеневого туберкульозу: керівні вказівки (WHO/HTM/TB/2016.11). Geneva: World Health Organization; 2016.</w:t>
                              </w:r>
                            </w:p>
                            <w:p w:rsidR="00BE6F5B" w:rsidRPr="00A3729E" w:rsidRDefault="00BE6F5B" w:rsidP="00A3729E">
                              <w:pPr>
                                <w:pStyle w:val="a3"/>
                                <w:numPr>
                                  <w:ilvl w:val="0"/>
                                  <w:numId w:val="30"/>
                                </w:numPr>
                                <w:spacing w:after="120"/>
                                <w:ind w:left="425" w:right="14" w:hanging="357"/>
                                <w:contextualSpacing w:val="0"/>
                                <w:jc w:val="both"/>
                                <w:rPr>
                                  <w:rFonts w:ascii="Calibri" w:hAnsi="Calibri" w:cs="Calibri"/>
                                </w:rPr>
                              </w:pPr>
                              <w:r>
                                <w:rPr>
                                  <w:rFonts w:ascii="Calibri" w:hAnsi="Calibri"/>
                                  <w:color w:val="000000"/>
                                </w:rPr>
                                <w:t>Ліпоарабіноманнановий тест бокового зсуву (тест сечі LM-LAM) (LF-LAM) для діагностики активної форми туберкульозу у людей, які живуть з ВІЛ. Оновлення політики 2019 (WHO/CDS/TB/2019.16). Geneva: World Health Organization; 2019.</w:t>
                              </w:r>
                            </w:p>
                            <w:p w:rsidR="00BE6F5B" w:rsidRPr="00A3729E" w:rsidRDefault="00BE6F5B" w:rsidP="00A3729E">
                              <w:pPr>
                                <w:pStyle w:val="a3"/>
                                <w:numPr>
                                  <w:ilvl w:val="0"/>
                                  <w:numId w:val="30"/>
                                </w:numPr>
                                <w:spacing w:after="120"/>
                                <w:ind w:left="425" w:right="14" w:hanging="357"/>
                                <w:contextualSpacing w:val="0"/>
                                <w:jc w:val="both"/>
                                <w:rPr>
                                  <w:rFonts w:ascii="Calibri" w:hAnsi="Calibri" w:cs="Calibri"/>
                                </w:rPr>
                              </w:pPr>
                              <w:r>
                                <w:rPr>
                                  <w:rFonts w:ascii="Calibri" w:hAnsi="Calibri"/>
                                  <w:color w:val="000000"/>
                                </w:rPr>
                                <w:t>Автоматизовані ТАНК низької складності для виявлення резистентності до ізоніазидів та протитуберкульозних препаратів другого ряду. Вперше видано у 2021 році як частина цього документа.</w:t>
                              </w:r>
                            </w:p>
                            <w:p w:rsidR="00BE6F5B" w:rsidRPr="00A3729E" w:rsidRDefault="00BE6F5B" w:rsidP="00A3729E">
                              <w:pPr>
                                <w:pStyle w:val="a3"/>
                                <w:numPr>
                                  <w:ilvl w:val="0"/>
                                  <w:numId w:val="30"/>
                                </w:numPr>
                                <w:spacing w:after="120"/>
                                <w:ind w:left="425" w:right="14" w:hanging="357"/>
                                <w:contextualSpacing w:val="0"/>
                                <w:jc w:val="both"/>
                                <w:rPr>
                                  <w:rFonts w:ascii="Calibri" w:hAnsi="Calibri" w:cs="Calibri"/>
                                </w:rPr>
                              </w:pPr>
                              <w:r>
                                <w:rPr>
                                  <w:rFonts w:ascii="Calibri" w:hAnsi="Calibri"/>
                                  <w:color w:val="000000"/>
                                </w:rPr>
                                <w:t>Використання молекулярних лінійних зонд-аналізів для виявлення резистентності до ізоніазиду та рифампіцину (WHO/HTM/TB/2016.12). Geneva: World Health Organization; 2016.</w:t>
                              </w:r>
                            </w:p>
                            <w:p w:rsidR="00BE6F5B" w:rsidRPr="00A3729E" w:rsidRDefault="00BE6F5B" w:rsidP="00A3729E">
                              <w:pPr>
                                <w:pStyle w:val="a3"/>
                                <w:numPr>
                                  <w:ilvl w:val="0"/>
                                  <w:numId w:val="30"/>
                                </w:numPr>
                                <w:spacing w:after="120"/>
                                <w:ind w:left="425" w:right="10" w:hanging="357"/>
                                <w:contextualSpacing w:val="0"/>
                                <w:jc w:val="both"/>
                                <w:rPr>
                                  <w:rFonts w:ascii="Calibri" w:hAnsi="Calibri" w:cs="Calibri"/>
                                </w:rPr>
                              </w:pPr>
                              <w:r>
                                <w:rPr>
                                  <w:rFonts w:ascii="Calibri" w:hAnsi="Calibri"/>
                                  <w:color w:val="000000"/>
                                </w:rPr>
                                <w:t>Використання молекулярних лінійних зонд-аналізів для виявлення резистентності до протитуберкульозних препаратів другого ряду: керівні вказівки (WHO/HTM/TB/2016.07). Geneva: World Health Organization; 2016.</w:t>
                              </w:r>
                            </w:p>
                            <w:p w:rsidR="00BE6F5B" w:rsidRPr="00A3729E" w:rsidRDefault="00BE6F5B" w:rsidP="006A232C">
                              <w:pPr>
                                <w:pStyle w:val="a3"/>
                                <w:numPr>
                                  <w:ilvl w:val="0"/>
                                  <w:numId w:val="30"/>
                                </w:numPr>
                                <w:spacing w:after="120"/>
                                <w:ind w:left="425" w:hanging="357"/>
                                <w:contextualSpacing w:val="0"/>
                                <w:jc w:val="both"/>
                                <w:rPr>
                                  <w:rFonts w:asciiTheme="minorHAnsi" w:hAnsiTheme="minorHAnsi" w:cstheme="minorHAnsi"/>
                                  <w:szCs w:val="20"/>
                                </w:rPr>
                              </w:pPr>
                              <w:r>
                                <w:rPr>
                                  <w:rFonts w:ascii="Calibri" w:hAnsi="Calibri"/>
                                  <w:color w:val="000000"/>
                                </w:rPr>
                                <w:t>ТАНК високої складності на основі гібридизації для виявлення резистентності до піразинаміду. Вперше видано у 2021 році як частина цього документа.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18" o:spid="_x0000_s1027" style="position:absolute;left:0;text-align:left;margin-left:-17.05pt;margin-top:8.1pt;width:455.05pt;height:430.3pt;z-index:251669504;mso-position-horizontal-relative:margin;mso-width-relative:margin;mso-height-relative:margin" coordorigin="" coordsize="57794,5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">
                <v:shape id="Прямоугольник с двумя скругленными соседними углами 243" o:spid="_x0000_s1028" style="position:absolute;left:3214;top:-1629;width:52952;height:56210;rotation:90;visibility:visible;mso-wrap-style:square;v-text-anchor:middle" coordsize="5295265,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" path="m437548,l4857717,v241651,,437548,195897,437548,437548l5295265,5621020r,l,5621020r,l,437548c,195897,195897,,437548,xe" fillcolor="#c6e0ce" stroked="f" strokeweight="1pt">
                  <v:stroke joinstyle="miter"/>
                  <v:path arrowok="t" o:connecttype="custom" o:connectlocs="437548,0;4857717,0;5295265,437548;5295265,5621020;5295265,5621020;0,5621020;0,5621020;0,437548;437548,0" o:connectangles="0,0,0,0,0,0,0,0,0"/>
                </v:shape>
                <v:shape id="Прямоугольник с двумя скругленными соседними углами 512" o:spid="_x0000_s1029" style="position:absolute;left:24819;top:-23447;width:3524;height:53162;rotation:90;visibility:visible;mso-wrap-style:square;v-text-anchor:middle" coordsize="352426,53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" path="m176213,r,c273533,,352426,78893,352426,176213r,5139980l352426,5316193,,5316193r,l,176213c,78893,78893,,176213,xe" fillcolor="#009649" stroked="f" strokeweight="1pt">
                  <v:stroke joinstyle="miter"/>
                  <v:path arrowok="t" o:connecttype="custom" o:connectlocs="176213,0;176213,0;352426,176213;352426,5316193;352426,5316193;0,5316193;0,5316193;0,176213;176213,0" o:connectangles="0,0,0,0,0,0,0,0,0"/>
                </v:shape>
                <v:shape id="Надпись 514" o:spid="_x0000_s1030" type="#_x0000_t202" style="position:absolute;left:1618;top:2198;width:50292;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" filled="f" stroked="f" strokeweight=".5pt">
                  <v:textbox inset="0,0,0,0">
                    <w:txbxContent>
                      <w:p w:rsidR="00BE6F5B" w:rsidRPr="00A3729E" w:rsidRDefault="00BE6F5B">
                        <w:pPr>
                          <w:rPr>
                            <w:rFonts w:asciiTheme="minorHAnsi" w:hAnsiTheme="minorHAnsi" w:cstheme="minorHAnsi"/>
                          </w:rPr>
                        </w:pPr>
                        <w:r>
                          <w:rPr>
                            <w:rFonts w:asciiTheme="minorHAnsi" w:hAnsiTheme="minorHAnsi"/>
                            <w:b/>
                            <w:color w:val="FFFFFF"/>
                            <w:sz w:val="22"/>
                          </w:rPr>
                          <w:t>Керівництва з діагностики ВООЗ, включені до цього консолідованого керівництва</w:t>
                        </w:r>
                      </w:p>
                    </w:txbxContent>
                  </v:textbox>
                </v:shape>
                <v:shape id="Надпись 515" o:spid="_x0000_s1031" type="#_x0000_t202" style="position:absolute;left:3851;top:5707;width:50824;height:45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" filled="f" stroked="f" strokeweight=".5pt">
                  <v:textbox inset="0,0,0,0">
                    <w:txbxContent>
                      <w:p w:rsidR="00BE6F5B" w:rsidRPr="00A3729E" w:rsidRDefault="00BE6F5B" w:rsidP="00A3729E">
                        <w:pPr>
                          <w:pStyle w:val="a3"/>
                          <w:numPr>
                            <w:ilvl w:val="0"/>
                            <w:numId w:val="30"/>
                          </w:numPr>
                          <w:spacing w:after="120"/>
                          <w:ind w:left="425" w:hanging="357"/>
                          <w:contextualSpacing w:val="0"/>
                          <w:jc w:val="both"/>
                          <w:rPr>
                            <w:rFonts w:ascii="Calibri" w:hAnsi="Calibri" w:cs="Calibri"/>
                          </w:rPr>
                        </w:pPr>
                        <w:r>
                          <w:rPr>
                            <w:rFonts w:ascii="Calibri" w:hAnsi="Calibri"/>
                            <w:color w:val="000000"/>
                          </w:rPr>
                          <w:t>Тести Xpert MTB/RIF і Xpert MTB/RIF (Ultra). Вперше видано у 2020 році як частина Консолідованих настанов ВООЗ щодо туберкульозу. Модуль 3: встановлення діагнозу – швидка діагностика для виявлення туберкульозу.</w:t>
                        </w:r>
                      </w:p>
                      <w:p w:rsidR="00BE6F5B" w:rsidRPr="00A3729E" w:rsidRDefault="00BE6F5B" w:rsidP="00A3729E">
                        <w:pPr>
                          <w:pStyle w:val="a3"/>
                          <w:numPr>
                            <w:ilvl w:val="0"/>
                            <w:numId w:val="30"/>
                          </w:numPr>
                          <w:spacing w:after="120"/>
                          <w:ind w:left="425" w:right="14" w:hanging="357"/>
                          <w:contextualSpacing w:val="0"/>
                          <w:jc w:val="both"/>
                          <w:rPr>
                            <w:rFonts w:ascii="Calibri" w:hAnsi="Calibri" w:cs="Calibri"/>
                          </w:rPr>
                        </w:pPr>
                        <w:r>
                          <w:rPr>
                            <w:rFonts w:ascii="Calibri" w:hAnsi="Calibri"/>
                            <w:color w:val="000000"/>
                          </w:rPr>
                          <w:t>Тести Truenat MTB, Truenat MTB Plus і Truenat MTB-RIF Dx. Вперше видано у 2020 році як частина Консолідованих настанов ВООЗ щодо туберкульозу. Модуль 3: встановлення діагнозу – швидка діагностика для виявлення туберкульозу</w:t>
                        </w:r>
                      </w:p>
                      <w:p w:rsidR="00BE6F5B" w:rsidRPr="00A3729E" w:rsidRDefault="00BE6F5B" w:rsidP="00A3729E">
                        <w:pPr>
                          <w:pStyle w:val="a3"/>
                          <w:numPr>
                            <w:ilvl w:val="0"/>
                            <w:numId w:val="30"/>
                          </w:numPr>
                          <w:spacing w:after="120"/>
                          <w:ind w:left="425" w:right="10" w:hanging="357"/>
                          <w:contextualSpacing w:val="0"/>
                          <w:jc w:val="both"/>
                          <w:rPr>
                            <w:rFonts w:ascii="Calibri" w:hAnsi="Calibri" w:cs="Calibri"/>
                          </w:rPr>
                        </w:pPr>
                        <w:r>
                          <w:rPr>
                            <w:rFonts w:ascii="Calibri" w:hAnsi="Calibri"/>
                            <w:color w:val="000000"/>
                          </w:rPr>
                          <w:t>Автоматизовані ТАНК помірної складності для виявлення туберкульозу та резистентності до рифампіцину та ізоніазиду. Вперше видано у 2021 році як частина цього документа.</w:t>
                        </w:r>
                      </w:p>
                      <w:p w:rsidR="00BE6F5B" w:rsidRPr="00A3729E" w:rsidRDefault="00BE6F5B" w:rsidP="00A3729E">
                        <w:pPr>
                          <w:pStyle w:val="a3"/>
                          <w:numPr>
                            <w:ilvl w:val="0"/>
                            <w:numId w:val="30"/>
                          </w:numPr>
                          <w:spacing w:after="120"/>
                          <w:ind w:left="425" w:right="10" w:hanging="357"/>
                          <w:contextualSpacing w:val="0"/>
                          <w:jc w:val="both"/>
                          <w:rPr>
                            <w:rFonts w:ascii="Calibri" w:hAnsi="Calibri" w:cs="Calibri"/>
                          </w:rPr>
                        </w:pPr>
                        <w:r>
                          <w:rPr>
                            <w:rFonts w:ascii="Calibri" w:hAnsi="Calibri"/>
                            <w:color w:val="000000"/>
                          </w:rPr>
                          <w:t>Використання петльової ізотермічної ампліфікації (TB-LAMP) для діагностики легеневого туберкульозу: керівні вказівки (WHO/HTM/TB/2016.11). Geneva: World Health Organization; 2016.</w:t>
                        </w:r>
                      </w:p>
                      <w:p w:rsidR="00BE6F5B" w:rsidRPr="00A3729E" w:rsidRDefault="00BE6F5B" w:rsidP="00A3729E">
                        <w:pPr>
                          <w:pStyle w:val="a3"/>
                          <w:numPr>
                            <w:ilvl w:val="0"/>
                            <w:numId w:val="30"/>
                          </w:numPr>
                          <w:spacing w:after="120"/>
                          <w:ind w:left="425" w:right="14" w:hanging="357"/>
                          <w:contextualSpacing w:val="0"/>
                          <w:jc w:val="both"/>
                          <w:rPr>
                            <w:rFonts w:ascii="Calibri" w:hAnsi="Calibri" w:cs="Calibri"/>
                          </w:rPr>
                        </w:pPr>
                        <w:r>
                          <w:rPr>
                            <w:rFonts w:ascii="Calibri" w:hAnsi="Calibri"/>
                            <w:color w:val="000000"/>
                          </w:rPr>
                          <w:t>Ліпоарабіноманнановий тест бокового зсуву (тест сечі LM-LAM) (LF-LAM) для діагностики активної форми туберкульозу у людей, які живуть з ВІЛ. Оновлення політики 2019 (WHO/CDS/TB/2019.16). Geneva: World Health Organization; 2019.</w:t>
                        </w:r>
                      </w:p>
                      <w:p w:rsidR="00BE6F5B" w:rsidRPr="00A3729E" w:rsidRDefault="00BE6F5B" w:rsidP="00A3729E">
                        <w:pPr>
                          <w:pStyle w:val="a3"/>
                          <w:numPr>
                            <w:ilvl w:val="0"/>
                            <w:numId w:val="30"/>
                          </w:numPr>
                          <w:spacing w:after="120"/>
                          <w:ind w:left="425" w:right="14" w:hanging="357"/>
                          <w:contextualSpacing w:val="0"/>
                          <w:jc w:val="both"/>
                          <w:rPr>
                            <w:rFonts w:ascii="Calibri" w:hAnsi="Calibri" w:cs="Calibri"/>
                          </w:rPr>
                        </w:pPr>
                        <w:r>
                          <w:rPr>
                            <w:rFonts w:ascii="Calibri" w:hAnsi="Calibri"/>
                            <w:color w:val="000000"/>
                          </w:rPr>
                          <w:t>Автоматизовані ТАНК низької складності для виявлення резистентності до ізоніазидів та протитуберкульозних препаратів другого ряду. Вперше видано у 2021 році як частина цього документа.</w:t>
                        </w:r>
                      </w:p>
                      <w:p w:rsidR="00BE6F5B" w:rsidRPr="00A3729E" w:rsidRDefault="00BE6F5B" w:rsidP="00A3729E">
                        <w:pPr>
                          <w:pStyle w:val="a3"/>
                          <w:numPr>
                            <w:ilvl w:val="0"/>
                            <w:numId w:val="30"/>
                          </w:numPr>
                          <w:spacing w:after="120"/>
                          <w:ind w:left="425" w:right="14" w:hanging="357"/>
                          <w:contextualSpacing w:val="0"/>
                          <w:jc w:val="both"/>
                          <w:rPr>
                            <w:rFonts w:ascii="Calibri" w:hAnsi="Calibri" w:cs="Calibri"/>
                          </w:rPr>
                        </w:pPr>
                        <w:r>
                          <w:rPr>
                            <w:rFonts w:ascii="Calibri" w:hAnsi="Calibri"/>
                            <w:color w:val="000000"/>
                          </w:rPr>
                          <w:t>Використання молекулярних лінійних зонд-аналізів для виявлення резистентності до ізоніазиду та рифампіцину (WHO/HTM/TB/2016.12). Geneva: World Health Organization; 2016.</w:t>
                        </w:r>
                      </w:p>
                      <w:p w:rsidR="00BE6F5B" w:rsidRPr="00A3729E" w:rsidRDefault="00BE6F5B" w:rsidP="00A3729E">
                        <w:pPr>
                          <w:pStyle w:val="a3"/>
                          <w:numPr>
                            <w:ilvl w:val="0"/>
                            <w:numId w:val="30"/>
                          </w:numPr>
                          <w:spacing w:after="120"/>
                          <w:ind w:left="425" w:right="10" w:hanging="357"/>
                          <w:contextualSpacing w:val="0"/>
                          <w:jc w:val="both"/>
                          <w:rPr>
                            <w:rFonts w:ascii="Calibri" w:hAnsi="Calibri" w:cs="Calibri"/>
                          </w:rPr>
                        </w:pPr>
                        <w:r>
                          <w:rPr>
                            <w:rFonts w:ascii="Calibri" w:hAnsi="Calibri"/>
                            <w:color w:val="000000"/>
                          </w:rPr>
                          <w:t>Використання молекулярних лінійних зонд-аналізів для виявлення резистентності до протитуберкульозних препаратів другого ряду: керівні вказівки (WHO/HTM/TB/2016.07). Geneva: World Health Organization; 2016.</w:t>
                        </w:r>
                      </w:p>
                      <w:p w:rsidR="00BE6F5B" w:rsidRPr="00A3729E" w:rsidRDefault="00BE6F5B" w:rsidP="006A232C">
                        <w:pPr>
                          <w:pStyle w:val="a3"/>
                          <w:numPr>
                            <w:ilvl w:val="0"/>
                            <w:numId w:val="30"/>
                          </w:numPr>
                          <w:spacing w:after="120"/>
                          <w:ind w:left="425" w:hanging="357"/>
                          <w:contextualSpacing w:val="0"/>
                          <w:jc w:val="both"/>
                          <w:rPr>
                            <w:rFonts w:asciiTheme="minorHAnsi" w:hAnsiTheme="minorHAnsi" w:cstheme="minorHAnsi"/>
                            <w:szCs w:val="20"/>
                          </w:rPr>
                        </w:pPr>
                        <w:r>
                          <w:rPr>
                            <w:rFonts w:ascii="Calibri" w:hAnsi="Calibri"/>
                            <w:color w:val="000000"/>
                          </w:rPr>
                          <w:t>ТАНК високої складності на основі гібридизації для виявлення резистентності до піразинаміду. Вперше видано у 2021 році як частина цього документа.</w:t>
                        </w:r>
                      </w:p>
                    </w:txbxContent>
                  </v:textbox>
                </v:shape>
                <w10:wrap anchorx="margin"/>
              </v:group>
            </w:pict>
          </mc:Fallback>
        </mc:AlternateContent>
      </w:r>
    </w:p>
    <w:p w:rsidR="00ED665B" w:rsidRPr="00907702" w:rsidRDefault="00ED665B" w:rsidP="00DC2656">
      <w:pPr>
        <w:spacing w:before="106"/>
        <w:ind w:left="394" w:right="10" w:hanging="394"/>
        <w:jc w:val="both"/>
        <w:rPr>
          <w:rFonts w:ascii="Calibri" w:hAnsi="Calibri" w:cs="Calibri"/>
        </w:rPr>
        <w:sectPr w:rsidR="00ED665B" w:rsidRPr="00907702">
          <w:footerReference w:type="even" r:id="rId29"/>
          <w:pgSz w:w="11904" w:h="16838"/>
          <w:pgMar w:top="2333" w:right="1776" w:bottom="5270" w:left="1949" w:header="720" w:footer="720" w:gutter="0"/>
          <w:cols w:space="60"/>
          <w:noEndnote/>
        </w:sectPr>
      </w:pPr>
    </w:p>
    <w:p w:rsidR="00ED665B" w:rsidRPr="00907702" w:rsidRDefault="009D73BB" w:rsidP="00BE5914">
      <w:pPr>
        <w:spacing w:line="216" w:lineRule="auto"/>
        <w:rPr>
          <w:rFonts w:ascii="Calibri" w:hAnsi="Calibri" w:cs="Calibri"/>
        </w:rPr>
      </w:pPr>
      <w:bookmarkStart w:id="3" w:name="bookmark4"/>
      <w:r>
        <w:rPr>
          <w:rFonts w:ascii="Calibri" w:hAnsi="Calibri"/>
          <w:noProof/>
          <w:color w:val="000000"/>
          <w:sz w:val="22"/>
          <w:lang w:val="en-US" w:bidi="ar-SA"/>
        </w:rPr>
        <w:lastRenderedPageBreak/>
        <w:drawing>
          <wp:anchor distT="0" distB="0" distL="6400800" distR="6400800" simplePos="0" relativeHeight="251671552" behindDoc="1" locked="0" layoutInCell="0" allowOverlap="1" wp14:anchorId="44F5015A" wp14:editId="0641B7A9">
            <wp:simplePos x="0" y="0"/>
            <wp:positionH relativeFrom="page">
              <wp:align>left</wp:align>
            </wp:positionH>
            <wp:positionV relativeFrom="page">
              <wp:align>top</wp:align>
            </wp:positionV>
            <wp:extent cx="7562850" cy="1743075"/>
            <wp:effectExtent l="0" t="0" r="0" b="9525"/>
            <wp:wrapNone/>
            <wp:docPr id="5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9649"/>
          <w:sz w:val="64"/>
        </w:rPr>
        <w:t>1</w:t>
      </w:r>
      <w:bookmarkEnd w:id="3"/>
      <w:r>
        <w:rPr>
          <w:rFonts w:ascii="Calibri" w:hAnsi="Calibri"/>
          <w:color w:val="009649"/>
          <w:sz w:val="64"/>
        </w:rPr>
        <w:t>. Вступ</w:t>
      </w:r>
    </w:p>
    <w:p w:rsidR="00ED665B" w:rsidRPr="009D73BB" w:rsidRDefault="006C7D2F" w:rsidP="00BE5914">
      <w:pPr>
        <w:spacing w:before="600" w:line="216" w:lineRule="auto"/>
        <w:rPr>
          <w:rFonts w:ascii="Calibri" w:hAnsi="Calibri" w:cs="Calibri"/>
          <w:b/>
          <w:bCs/>
          <w:color w:val="009649"/>
        </w:rPr>
      </w:pPr>
      <w:r>
        <w:rPr>
          <w:rFonts w:ascii="Calibri" w:hAnsi="Calibri"/>
          <w:b/>
          <w:color w:val="009649"/>
          <w:sz w:val="38"/>
        </w:rPr>
        <w:t>1.1. Загальна інформація</w:t>
      </w:r>
    </w:p>
    <w:p w:rsidR="00ED665B" w:rsidRPr="00907702" w:rsidRDefault="006C7D2F" w:rsidP="00BE5914">
      <w:pPr>
        <w:spacing w:before="144" w:line="216" w:lineRule="auto"/>
        <w:jc w:val="both"/>
        <w:rPr>
          <w:rFonts w:ascii="Calibri" w:hAnsi="Calibri" w:cs="Calibri"/>
        </w:rPr>
      </w:pPr>
      <w:r>
        <w:rPr>
          <w:rFonts w:ascii="Calibri" w:hAnsi="Calibri"/>
          <w:color w:val="000000"/>
          <w:sz w:val="22"/>
        </w:rPr>
        <w:t xml:space="preserve">Політична декларація на першому засіданні на високому рівні з питань боротьби з туберкульозом (ТБ) Організації Об’єднаних Націй (ООН), що відбулося 26 вересня 2018 року, включала зобов’язання держав-членів щодо чотирьох нових глобальних цілей </w:t>
      </w:r>
      <w:r w:rsidRPr="009D59CA">
        <w:rPr>
          <w:rFonts w:ascii="Calibri" w:hAnsi="Calibri"/>
          <w:i/>
          <w:color w:val="000000"/>
          <w:sz w:val="22"/>
        </w:rPr>
        <w:t>(1)</w:t>
      </w:r>
      <w:r>
        <w:rPr>
          <w:rFonts w:ascii="Calibri" w:hAnsi="Calibri"/>
          <w:color w:val="000000"/>
          <w:sz w:val="22"/>
        </w:rPr>
        <w:t>. Однією з таких цілей є діагностування та лікування 40 мільйонів людей, хворих на ТБ, протягом 5-річного періоду (2018–2022 роки). Орієнтовне розподілення цілі становить близько 7 мільйонів людей у 2018 році та близько 8 мільйонів – у наступні роки.</w:t>
      </w:r>
    </w:p>
    <w:p w:rsidR="00ED665B" w:rsidRPr="00907702" w:rsidRDefault="006C7D2F" w:rsidP="00BE5914">
      <w:pPr>
        <w:spacing w:before="168" w:line="216" w:lineRule="auto"/>
        <w:ind w:right="5"/>
        <w:jc w:val="both"/>
        <w:rPr>
          <w:rFonts w:ascii="Calibri" w:hAnsi="Calibri" w:cs="Calibri"/>
        </w:rPr>
      </w:pPr>
      <w:r>
        <w:rPr>
          <w:rFonts w:ascii="Calibri" w:hAnsi="Calibri"/>
          <w:color w:val="000000"/>
          <w:sz w:val="22"/>
        </w:rPr>
        <w:t xml:space="preserve">У 2019 році приблизно 10 мільйонів людей захворіли на туберкульоз; з цих 10 мільйонів 3 мільйонам не було встановлено діагноз і не було повідомлено про їхній випадок захворювання </w:t>
      </w:r>
      <w:r w:rsidRPr="009D59CA">
        <w:rPr>
          <w:rFonts w:ascii="Calibri" w:hAnsi="Calibri"/>
          <w:i/>
          <w:color w:val="000000"/>
          <w:sz w:val="22"/>
        </w:rPr>
        <w:t>(1)</w:t>
      </w:r>
      <w:r>
        <w:rPr>
          <w:rFonts w:ascii="Calibri" w:hAnsi="Calibri"/>
          <w:color w:val="000000"/>
          <w:sz w:val="22"/>
        </w:rPr>
        <w:t xml:space="preserve">. Цей розрив пропорційно збільшується, коли йдеться про лікарсько-стійкий туберкульоз (ЛС-ТБ). З приблизно 465 000 пацієнтів з ТБ із множинною лікарською стійкістю, або рифампіцин-резистентним туберкульозом (МЛС/Риф-ТБ), лише 206030 (44 %) було встановлено діагноз та про їхній випадок було повідомлено. Вперше Всесвітня організація охорони здоров’я (ВООЗ) надала глобальні оцінки захворюваності на туберкульоз, резистентний до ізоніазидів: у 2019 році було 1,4 мільйона випадків інфікування туберкульозом, резистентним до ізоніазидів, з яких 1,1 мільйона були чутливі до рифампіцину </w:t>
      </w:r>
      <w:r w:rsidRPr="00E02100">
        <w:rPr>
          <w:rFonts w:ascii="Calibri" w:hAnsi="Calibri"/>
          <w:i/>
          <w:color w:val="000000"/>
          <w:sz w:val="22"/>
        </w:rPr>
        <w:t>(1)</w:t>
      </w:r>
      <w:r>
        <w:rPr>
          <w:rFonts w:ascii="Calibri" w:hAnsi="Calibri"/>
          <w:color w:val="000000"/>
          <w:sz w:val="22"/>
        </w:rPr>
        <w:t>. Більшості з цих людей не було діагностовано ЛС-ТБ і вони не отримали належного лікування.</w:t>
      </w:r>
    </w:p>
    <w:p w:rsidR="00ED665B" w:rsidRPr="00907702" w:rsidRDefault="006C7D2F" w:rsidP="00BE5914">
      <w:pPr>
        <w:spacing w:before="173" w:line="216" w:lineRule="auto"/>
        <w:ind w:right="5"/>
        <w:jc w:val="both"/>
        <w:rPr>
          <w:rFonts w:ascii="Calibri" w:hAnsi="Calibri" w:cs="Calibri"/>
        </w:rPr>
      </w:pPr>
      <w:r>
        <w:rPr>
          <w:rFonts w:ascii="Calibri" w:hAnsi="Calibri"/>
          <w:color w:val="000000"/>
          <w:sz w:val="22"/>
        </w:rPr>
        <w:t xml:space="preserve">Стратегія ВООЗ щодо ліквідації ТБ вимагає ранньої діагностики ТБ та проведення універсального тесту медикаментозної чутливості (ТМЧ), цим самим у період після 2015 року ключову роль у швидкому та точному виявленні туберкульозу та резистентності до лікарських засобів починають відігравати лабораторії </w:t>
      </w:r>
      <w:r w:rsidRPr="00E02100">
        <w:rPr>
          <w:rFonts w:ascii="Calibri" w:hAnsi="Calibri"/>
          <w:i/>
          <w:color w:val="000000"/>
          <w:sz w:val="22"/>
        </w:rPr>
        <w:t>(2)</w:t>
      </w:r>
      <w:r>
        <w:rPr>
          <w:rFonts w:ascii="Calibri" w:hAnsi="Calibri"/>
          <w:color w:val="000000"/>
          <w:sz w:val="22"/>
        </w:rPr>
        <w:t>. Із 7,0 мільйонів нових випадків та рецидивів, які було поставлено на диспансерний облік у 2018 році, 5,9 мільйонів (85%) осіб мали легеневий ТБ. З них 55% випадків були підтверджені бактеріологічно, і ця цифра свідчить про незначне зниження – з 56% у 2017 році та 58% у 2013 році.</w:t>
      </w:r>
      <w:r>
        <w:rPr>
          <w:rFonts w:ascii="Calibri" w:hAnsi="Calibri"/>
          <w:color w:val="000000"/>
          <w:sz w:val="22"/>
          <w:vertAlign w:val="superscript"/>
        </w:rPr>
        <w:t>5</w:t>
      </w:r>
      <w:r>
        <w:rPr>
          <w:rFonts w:ascii="Calibri" w:hAnsi="Calibri"/>
          <w:color w:val="000000"/>
          <w:sz w:val="22"/>
        </w:rPr>
        <w:t xml:space="preserve"> Решту пацієнтів діагностували клінічно, тобто на основі симптомів, патологій на рентгенографії органів грудної клітки або сугестивної гістології.</w:t>
      </w:r>
    </w:p>
    <w:p w:rsidR="00ED665B" w:rsidRPr="00907702" w:rsidRDefault="006C7D2F" w:rsidP="00BE5914">
      <w:pPr>
        <w:spacing w:before="168" w:line="216" w:lineRule="auto"/>
        <w:ind w:right="5"/>
        <w:jc w:val="both"/>
        <w:rPr>
          <w:rFonts w:ascii="Calibri" w:hAnsi="Calibri" w:cs="Calibri"/>
        </w:rPr>
      </w:pPr>
      <w:r>
        <w:rPr>
          <w:rFonts w:ascii="Calibri" w:hAnsi="Calibri"/>
          <w:color w:val="000000"/>
          <w:sz w:val="22"/>
        </w:rPr>
        <w:t>Діяльність щодо посилення діагностики ТБ повинна розглядатися в контексті останніх глобальних ініціатив з «виявлення пропущених випадків» та нової глобальної цілі, встановленої на засіданні на високому рівні з питань боротьби з туберкульозом ООН у вересні 2018 року. У цьому контексті слід контролювати частку випадків, поставлених на диспансерний облік, які є бактеріологічно підтвердженими. Виявлення ТБ за допомогою мікробіологічних методів є першочерговим, оскільки воно дозволяє правильно поставити діагноз та розпочати застосовувати найефективнішу схему лікування якомога раніше. Більшість клінічних особливостей ТБ мають низьку специфічність, що може призвести до помилкових діагнозів захворювання на ТБ, а отже, до лікування ТБ, яке не потрібне. Метою повинно бути збільшення відсотка випадків ТБ, підтверджених бактеріологічно, на основі поширення використання рекомендованої діагностики, яка є більш чутливою, ніж мікроскопія мазка.</w:t>
      </w:r>
    </w:p>
    <w:p w:rsidR="00ED665B" w:rsidRPr="00907702" w:rsidRDefault="006C7D2F" w:rsidP="00BE5914">
      <w:pPr>
        <w:spacing w:before="163" w:line="216" w:lineRule="auto"/>
        <w:ind w:right="5"/>
        <w:jc w:val="both"/>
        <w:rPr>
          <w:rFonts w:ascii="Calibri" w:hAnsi="Calibri" w:cs="Calibri"/>
        </w:rPr>
      </w:pPr>
      <w:r>
        <w:rPr>
          <w:rFonts w:ascii="Calibri" w:hAnsi="Calibri"/>
          <w:color w:val="000000"/>
          <w:sz w:val="22"/>
        </w:rPr>
        <w:t xml:space="preserve">Впродовж останніх 10 років ВООЗ схвалила низку нових методів діагностики. Ампліфікація та виявлення нуклеїнових кислот комплексу </w:t>
      </w:r>
      <w:r w:rsidR="00BE6F5B" w:rsidRPr="00BE6F5B">
        <w:rPr>
          <w:rFonts w:ascii="Calibri" w:hAnsi="Calibri"/>
          <w:i/>
          <w:color w:val="000000"/>
          <w:sz w:val="22"/>
        </w:rPr>
        <w:t>M. tuberculosis</w:t>
      </w:r>
      <w:r>
        <w:rPr>
          <w:rFonts w:ascii="Calibri" w:hAnsi="Calibri"/>
          <w:color w:val="000000"/>
          <w:sz w:val="22"/>
        </w:rPr>
        <w:t xml:space="preserve"> (MTБК) – це підтверджено високочутлива та специфічна технологія.</w:t>
      </w:r>
    </w:p>
    <w:p w:rsidR="009D73BB" w:rsidRPr="009D73BB" w:rsidRDefault="009D73BB" w:rsidP="00BE5914">
      <w:pPr>
        <w:spacing w:before="235" w:line="216" w:lineRule="auto"/>
        <w:rPr>
          <w:rFonts w:ascii="Calibri" w:hAnsi="Calibri" w:cs="Calibri"/>
          <w:color w:val="000000"/>
          <w:sz w:val="16"/>
          <w:szCs w:val="16"/>
          <w:u w:val="single"/>
          <w:vertAlign w:val="superscript"/>
        </w:rPr>
      </w:pPr>
      <w:r>
        <w:rPr>
          <w:rFonts w:ascii="Calibri" w:hAnsi="Calibri"/>
          <w:color w:val="000000"/>
          <w:sz w:val="16"/>
          <w:u w:val="single"/>
          <w:vertAlign w:val="superscript"/>
        </w:rPr>
        <w:tab/>
      </w:r>
      <w:r>
        <w:rPr>
          <w:rFonts w:ascii="Calibri" w:hAnsi="Calibri"/>
          <w:color w:val="000000"/>
          <w:sz w:val="16"/>
          <w:u w:val="single"/>
          <w:vertAlign w:val="superscript"/>
        </w:rPr>
        <w:tab/>
      </w:r>
      <w:r>
        <w:rPr>
          <w:rFonts w:ascii="Calibri" w:hAnsi="Calibri"/>
          <w:color w:val="000000"/>
          <w:sz w:val="16"/>
          <w:u w:val="single"/>
          <w:vertAlign w:val="superscript"/>
        </w:rPr>
        <w:tab/>
      </w:r>
    </w:p>
    <w:p w:rsidR="00ED665B" w:rsidRPr="00907702" w:rsidRDefault="006C7D2F" w:rsidP="00BE5914">
      <w:pPr>
        <w:spacing w:line="216" w:lineRule="auto"/>
        <w:ind w:left="221" w:hanging="221"/>
        <w:rPr>
          <w:rFonts w:ascii="Calibri" w:hAnsi="Calibri" w:cs="Calibri"/>
        </w:rPr>
      </w:pPr>
      <w:r>
        <w:rPr>
          <w:rFonts w:ascii="Calibri" w:hAnsi="Calibri"/>
          <w:color w:val="000000"/>
          <w:sz w:val="16"/>
          <w:vertAlign w:val="superscript"/>
        </w:rPr>
        <w:t>5</w:t>
      </w:r>
      <w:r>
        <w:rPr>
          <w:rFonts w:ascii="Calibri" w:hAnsi="Calibri"/>
          <w:color w:val="000000"/>
          <w:sz w:val="16"/>
        </w:rPr>
        <w:t xml:space="preserve"> </w:t>
      </w:r>
      <w:r>
        <w:rPr>
          <w:rFonts w:ascii="Calibri" w:hAnsi="Calibri"/>
          <w:color w:val="000000"/>
          <w:sz w:val="16"/>
        </w:rPr>
        <w:tab/>
        <w:t>Бактеріологічно підтверджений випадок ТБ – це той, у якого біологічний зразок є позитивним згідно з результатами мікроскопії мазка, бакпосіву або експрес-тесту, рекомендованого ВООЗ.</w:t>
      </w:r>
    </w:p>
    <w:p w:rsidR="00ED665B" w:rsidRPr="00907702" w:rsidRDefault="00ED665B" w:rsidP="00DC2656">
      <w:pPr>
        <w:spacing w:before="235"/>
        <w:ind w:left="221" w:hanging="221"/>
        <w:rPr>
          <w:rFonts w:ascii="Calibri" w:hAnsi="Calibri" w:cs="Calibri"/>
        </w:rPr>
        <w:sectPr w:rsidR="00ED665B" w:rsidRPr="00907702" w:rsidSect="00BE5914">
          <w:footerReference w:type="default" r:id="rId30"/>
          <w:pgSz w:w="11904" w:h="16838"/>
          <w:pgMar w:top="2227" w:right="1411" w:bottom="142" w:left="1416" w:header="720" w:footer="720" w:gutter="0"/>
          <w:pgNumType w:start="1"/>
          <w:cols w:space="60"/>
          <w:noEndnote/>
        </w:sectPr>
      </w:pPr>
    </w:p>
    <w:p w:rsidR="00ED665B" w:rsidRPr="00907702" w:rsidRDefault="006C7D2F" w:rsidP="00DC2656">
      <w:pPr>
        <w:ind w:left="53" w:right="82"/>
        <w:jc w:val="both"/>
        <w:rPr>
          <w:rFonts w:ascii="Calibri" w:hAnsi="Calibri" w:cs="Calibri"/>
        </w:rPr>
      </w:pPr>
      <w:r>
        <w:rPr>
          <w:rFonts w:ascii="Calibri" w:hAnsi="Calibri"/>
          <w:b/>
          <w:color w:val="000000"/>
          <w:sz w:val="22"/>
        </w:rPr>
        <w:lastRenderedPageBreak/>
        <w:t xml:space="preserve">Тест на нуклеїнову кислоту (ТНК) </w:t>
      </w:r>
      <w:r>
        <w:rPr>
          <w:rFonts w:ascii="Calibri" w:hAnsi="Calibri"/>
          <w:color w:val="000000"/>
          <w:sz w:val="22"/>
        </w:rPr>
        <w:t xml:space="preserve">– це метод, який використовується для виявлення певної послідовності нуклеїнових кислот. Загалом, ТНК використовується для виявлення та ідентифікації певного виду чи підвиду організму (наприклад, вірусу чи бактерії, що діє як патоген у крові, тканинах або сечі). ТНК відрізняються від інших тестів тим, що вони виявляють генетичні матеріали (РНК або ДНК), а не антигени чи антитіла. Виявлення генетичних матеріалів дозволяє встановити діагноз на ранній стадії захворювання, оскільки для виявлення антигенів або антитіл (або обох) часто потрібен час, щоб антигени або антитіла почали з’являтися у крові </w:t>
      </w:r>
      <w:r w:rsidRPr="00E02100">
        <w:rPr>
          <w:rFonts w:ascii="Calibri" w:hAnsi="Calibri"/>
          <w:i/>
          <w:color w:val="000000"/>
          <w:sz w:val="22"/>
        </w:rPr>
        <w:t>(3)</w:t>
      </w:r>
      <w:r>
        <w:rPr>
          <w:rFonts w:ascii="Calibri" w:hAnsi="Calibri"/>
          <w:color w:val="000000"/>
          <w:sz w:val="22"/>
        </w:rPr>
        <w:t xml:space="preserve">. Оскільки генетичний матеріал зазвичай наявний на низькому рівні, багато ТНК передбачають крок, який ампліфікує генетичний матеріал (тобто робить багато його копій). Такі ТНК називаються </w:t>
      </w:r>
      <w:r w:rsidRPr="00BE5914">
        <w:rPr>
          <w:rFonts w:ascii="Calibri" w:hAnsi="Calibri"/>
          <w:b/>
          <w:color w:val="000000"/>
          <w:sz w:val="22"/>
        </w:rPr>
        <w:t>тестами ампліфікації нуклеїнових кислот (ТАНК)</w:t>
      </w:r>
      <w:r>
        <w:rPr>
          <w:rFonts w:ascii="Calibri" w:hAnsi="Calibri"/>
          <w:color w:val="000000"/>
          <w:sz w:val="22"/>
        </w:rPr>
        <w:t>. Під час ампліфікації генетичного матеріалу використовується метод полімеразної ланцюгової реакції (ПЛР) із стандартним підходом, що вимагає термічного циклу. Однак деякі не є циклічними і функціонують ізотермічно, наприклад, метод петльової ізотермічної ампліфікації (LAMP). Технології ампліфікації можуть виявляти амплікони в режимі реального часу за допомогою детекторів флуоресценції, в той час як інші вимагають візуального зчитування. ТАНК мають додаткову перевагу завдяки здатності до виявлення специфічних мутацій, пов’язаних з резистентністю до обраних протитуберкульозних лікарських засобів.</w:t>
      </w:r>
    </w:p>
    <w:p w:rsidR="00ED665B" w:rsidRPr="00907702" w:rsidRDefault="006C7D2F" w:rsidP="00DC2656">
      <w:pPr>
        <w:spacing w:before="163"/>
        <w:ind w:left="53" w:right="82"/>
        <w:jc w:val="both"/>
        <w:rPr>
          <w:rFonts w:ascii="Calibri" w:hAnsi="Calibri" w:cs="Calibri"/>
        </w:rPr>
      </w:pPr>
      <w:r>
        <w:rPr>
          <w:rFonts w:ascii="Calibri" w:hAnsi="Calibri"/>
          <w:color w:val="000000"/>
          <w:sz w:val="22"/>
        </w:rPr>
        <w:t>Технологія бокового зсуву, що виявляє специфічний антиген MTБК у форматі експрес-аналізу, також була схвалена для застосування у певних групах хворих на ТБ. Загалом рекомендовано чотири класи технологій та 4 окремі продукти:</w:t>
      </w:r>
    </w:p>
    <w:p w:rsidR="00ED665B" w:rsidRPr="00BE5914" w:rsidRDefault="006C7D2F" w:rsidP="00DC2656">
      <w:pPr>
        <w:spacing w:before="274"/>
        <w:ind w:left="53"/>
        <w:rPr>
          <w:rFonts w:ascii="Calibri" w:hAnsi="Calibri" w:cs="Calibri"/>
          <w:b/>
          <w:sz w:val="22"/>
          <w:szCs w:val="22"/>
        </w:rPr>
      </w:pPr>
      <w:r w:rsidRPr="00BE5914">
        <w:rPr>
          <w:rFonts w:ascii="Calibri" w:hAnsi="Calibri"/>
          <w:b/>
          <w:color w:val="636466"/>
          <w:sz w:val="24"/>
        </w:rPr>
        <w:t>Таблиця 1.1. Класи технологій та супутніх продуктів, включених до поточних настанов</w:t>
      </w:r>
    </w:p>
    <w:p w:rsidR="00ED665B" w:rsidRPr="00907702" w:rsidRDefault="00ED665B" w:rsidP="00DC2656">
      <w:pPr>
        <w:spacing w:after="197"/>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533"/>
        <w:gridCol w:w="5674"/>
      </w:tblGrid>
      <w:tr w:rsidR="00ED665B" w:rsidRPr="00907702" w:rsidTr="00BE5914">
        <w:trPr>
          <w:trHeight w:val="455"/>
        </w:trPr>
        <w:tc>
          <w:tcPr>
            <w:tcW w:w="3533" w:type="dxa"/>
            <w:tcBorders>
              <w:top w:val="single" w:sz="8" w:space="0" w:color="009649"/>
              <w:left w:val="nil"/>
              <w:bottom w:val="single" w:sz="8" w:space="0" w:color="009649"/>
            </w:tcBorders>
            <w:shd w:val="clear" w:color="auto" w:fill="27A86A"/>
            <w:vAlign w:val="center"/>
          </w:tcPr>
          <w:p w:rsidR="00ED665B" w:rsidRPr="00BE5914" w:rsidRDefault="006C7D2F" w:rsidP="009D73BB">
            <w:pPr>
              <w:ind w:left="82"/>
              <w:rPr>
                <w:rFonts w:ascii="Calibri" w:hAnsi="Calibri" w:cs="Calibri"/>
                <w:b/>
              </w:rPr>
            </w:pPr>
            <w:r w:rsidRPr="00BE5914">
              <w:rPr>
                <w:rFonts w:ascii="Calibri" w:hAnsi="Calibri"/>
                <w:b/>
                <w:color w:val="000000"/>
              </w:rPr>
              <w:t>Клас технологій</w:t>
            </w:r>
          </w:p>
        </w:tc>
        <w:tc>
          <w:tcPr>
            <w:tcW w:w="5674" w:type="dxa"/>
            <w:tcBorders>
              <w:top w:val="single" w:sz="8" w:space="0" w:color="009649"/>
              <w:bottom w:val="single" w:sz="8" w:space="0" w:color="009649"/>
              <w:right w:val="nil"/>
            </w:tcBorders>
            <w:shd w:val="clear" w:color="auto" w:fill="27A86A"/>
            <w:vAlign w:val="center"/>
          </w:tcPr>
          <w:p w:rsidR="00ED665B" w:rsidRPr="00BE5914" w:rsidRDefault="006C7D2F" w:rsidP="009D73BB">
            <w:pPr>
              <w:ind w:left="24"/>
              <w:rPr>
                <w:rFonts w:ascii="Calibri" w:hAnsi="Calibri" w:cs="Calibri"/>
                <w:b/>
              </w:rPr>
            </w:pPr>
            <w:r w:rsidRPr="00BE5914">
              <w:rPr>
                <w:rFonts w:ascii="Calibri" w:hAnsi="Calibri"/>
                <w:b/>
                <w:color w:val="000000"/>
              </w:rPr>
              <w:t>Продукти, включені до оцінки</w:t>
            </w:r>
          </w:p>
        </w:tc>
      </w:tr>
      <w:tr w:rsidR="00ED665B" w:rsidRPr="00907702" w:rsidTr="00BE5914">
        <w:trPr>
          <w:trHeight w:val="521"/>
        </w:trPr>
        <w:tc>
          <w:tcPr>
            <w:tcW w:w="3533" w:type="dxa"/>
            <w:tcBorders>
              <w:top w:val="single" w:sz="8" w:space="0" w:color="009649"/>
              <w:left w:val="nil"/>
              <w:bottom w:val="single" w:sz="8" w:space="0" w:color="009649"/>
            </w:tcBorders>
            <w:shd w:val="clear" w:color="auto" w:fill="7ABE94"/>
            <w:vAlign w:val="center"/>
          </w:tcPr>
          <w:p w:rsidR="00ED665B" w:rsidRPr="00907702" w:rsidRDefault="00ED665B" w:rsidP="009D73BB">
            <w:pPr>
              <w:rPr>
                <w:rFonts w:ascii="Calibri" w:hAnsi="Calibri" w:cs="Calibri"/>
              </w:rPr>
            </w:pPr>
          </w:p>
        </w:tc>
        <w:tc>
          <w:tcPr>
            <w:tcW w:w="5674" w:type="dxa"/>
            <w:tcBorders>
              <w:top w:val="single" w:sz="8" w:space="0" w:color="009649"/>
              <w:bottom w:val="single" w:sz="8" w:space="0" w:color="009649"/>
              <w:right w:val="nil"/>
            </w:tcBorders>
            <w:shd w:val="clear" w:color="auto" w:fill="FFFFFF"/>
            <w:vAlign w:val="center"/>
          </w:tcPr>
          <w:p w:rsidR="00ED665B" w:rsidRPr="00907702" w:rsidRDefault="006C7D2F" w:rsidP="009D73BB">
            <w:pPr>
              <w:ind w:left="24"/>
              <w:rPr>
                <w:rFonts w:ascii="Calibri" w:hAnsi="Calibri" w:cs="Calibri"/>
              </w:rPr>
            </w:pPr>
            <w:r>
              <w:rPr>
                <w:rFonts w:ascii="Calibri" w:hAnsi="Calibri"/>
                <w:color w:val="000000"/>
              </w:rPr>
              <w:t>Тести Xpert® MTB/RIF і Xpert® MTB/RIF Ultra (Cepheid)*</w:t>
            </w:r>
          </w:p>
        </w:tc>
      </w:tr>
      <w:tr w:rsidR="00ED665B" w:rsidRPr="00907702" w:rsidTr="00BE5914">
        <w:trPr>
          <w:trHeight w:val="446"/>
        </w:trPr>
        <w:tc>
          <w:tcPr>
            <w:tcW w:w="3533" w:type="dxa"/>
            <w:tcBorders>
              <w:top w:val="single" w:sz="8" w:space="0" w:color="009649"/>
              <w:left w:val="nil"/>
              <w:bottom w:val="single" w:sz="8" w:space="0" w:color="009649"/>
            </w:tcBorders>
            <w:shd w:val="clear" w:color="auto" w:fill="7ABE94"/>
            <w:vAlign w:val="center"/>
          </w:tcPr>
          <w:p w:rsidR="00ED665B" w:rsidRPr="00907702" w:rsidRDefault="00ED665B" w:rsidP="009D73BB">
            <w:pPr>
              <w:rPr>
                <w:rFonts w:ascii="Calibri" w:hAnsi="Calibri" w:cs="Calibri"/>
              </w:rPr>
            </w:pPr>
          </w:p>
        </w:tc>
        <w:tc>
          <w:tcPr>
            <w:tcW w:w="5674" w:type="dxa"/>
            <w:tcBorders>
              <w:top w:val="single" w:sz="8" w:space="0" w:color="009649"/>
              <w:bottom w:val="single" w:sz="8" w:space="0" w:color="009649"/>
              <w:right w:val="nil"/>
            </w:tcBorders>
            <w:shd w:val="clear" w:color="auto" w:fill="FFFFFF"/>
            <w:vAlign w:val="center"/>
          </w:tcPr>
          <w:p w:rsidR="00ED665B" w:rsidRPr="00907702" w:rsidRDefault="006C7D2F" w:rsidP="009D73BB">
            <w:pPr>
              <w:ind w:left="29"/>
              <w:rPr>
                <w:rFonts w:ascii="Calibri" w:hAnsi="Calibri" w:cs="Calibri"/>
              </w:rPr>
            </w:pPr>
            <w:r>
              <w:rPr>
                <w:rFonts w:ascii="Calibri" w:hAnsi="Calibri"/>
                <w:color w:val="000000"/>
              </w:rPr>
              <w:t>Truenat™ (Molbio) *;</w:t>
            </w:r>
          </w:p>
        </w:tc>
      </w:tr>
      <w:tr w:rsidR="00ED665B" w:rsidRPr="00907702" w:rsidTr="00BE5914">
        <w:trPr>
          <w:trHeight w:val="624"/>
        </w:trPr>
        <w:tc>
          <w:tcPr>
            <w:tcW w:w="3533" w:type="dxa"/>
            <w:tcBorders>
              <w:top w:val="single" w:sz="8" w:space="0" w:color="009649"/>
              <w:left w:val="nil"/>
              <w:bottom w:val="single" w:sz="8" w:space="0" w:color="009649"/>
            </w:tcBorders>
            <w:shd w:val="clear" w:color="auto" w:fill="FFFFFF"/>
          </w:tcPr>
          <w:p w:rsidR="00ED665B" w:rsidRPr="00907702" w:rsidRDefault="006C7D2F" w:rsidP="00DC2656">
            <w:pPr>
              <w:ind w:left="82" w:right="182"/>
              <w:rPr>
                <w:rFonts w:ascii="Calibri" w:hAnsi="Calibri" w:cs="Calibri"/>
              </w:rPr>
            </w:pPr>
            <w:r>
              <w:rPr>
                <w:rFonts w:ascii="Calibri" w:hAnsi="Calibri"/>
                <w:color w:val="000000"/>
              </w:rPr>
              <w:t>Автоматизовані ТАНК помірної складності для виявлення туберкульозу та резистентності до рифампіцину та ізоніазиду</w:t>
            </w:r>
          </w:p>
        </w:tc>
        <w:tc>
          <w:tcPr>
            <w:tcW w:w="5674" w:type="dxa"/>
            <w:tcBorders>
              <w:top w:val="single" w:sz="8" w:space="0" w:color="009649"/>
              <w:bottom w:val="single" w:sz="8" w:space="0" w:color="009649"/>
              <w:right w:val="nil"/>
            </w:tcBorders>
            <w:shd w:val="clear" w:color="auto" w:fill="FFFFFF"/>
          </w:tcPr>
          <w:p w:rsidR="00ED665B" w:rsidRPr="00907702" w:rsidRDefault="006C7D2F" w:rsidP="00DC2656">
            <w:pPr>
              <w:ind w:left="24" w:right="187"/>
              <w:rPr>
                <w:rFonts w:ascii="Calibri" w:hAnsi="Calibri" w:cs="Calibri"/>
              </w:rPr>
            </w:pPr>
            <w:r>
              <w:rPr>
                <w:rFonts w:ascii="Calibri" w:hAnsi="Calibri"/>
                <w:color w:val="000000"/>
              </w:rPr>
              <w:t>Аналізи Abbott RealTime MTB і Abbott RealTime MTB RIF/INH (Abbott)</w:t>
            </w:r>
          </w:p>
          <w:p w:rsidR="00ED665B" w:rsidRPr="00907702" w:rsidRDefault="006C7D2F" w:rsidP="00DC2656">
            <w:pPr>
              <w:ind w:left="24"/>
              <w:rPr>
                <w:rFonts w:ascii="Calibri" w:hAnsi="Calibri" w:cs="Calibri"/>
              </w:rPr>
            </w:pPr>
            <w:r>
              <w:rPr>
                <w:rFonts w:ascii="Calibri" w:hAnsi="Calibri"/>
                <w:color w:val="000000"/>
              </w:rPr>
              <w:t>BD MAX™ МЛС-ТБ (Becton Dickinson)</w:t>
            </w:r>
          </w:p>
          <w:p w:rsidR="00ED665B" w:rsidRPr="00907702" w:rsidRDefault="006C7D2F" w:rsidP="00DC2656">
            <w:pPr>
              <w:ind w:left="24"/>
              <w:rPr>
                <w:rFonts w:ascii="Calibri" w:hAnsi="Calibri" w:cs="Calibri"/>
              </w:rPr>
            </w:pPr>
            <w:r>
              <w:rPr>
                <w:rFonts w:ascii="Calibri" w:hAnsi="Calibri"/>
                <w:color w:val="000000"/>
              </w:rPr>
              <w:t>cobas® MTB і cobas MTB-RIF/INH (Roche)</w:t>
            </w:r>
          </w:p>
          <w:p w:rsidR="00ED665B" w:rsidRPr="00907702" w:rsidRDefault="006C7D2F" w:rsidP="00DC2656">
            <w:pPr>
              <w:ind w:left="24" w:right="187"/>
              <w:rPr>
                <w:rFonts w:ascii="Calibri" w:hAnsi="Calibri" w:cs="Calibri"/>
              </w:rPr>
            </w:pPr>
            <w:r>
              <w:rPr>
                <w:rFonts w:ascii="Calibri" w:hAnsi="Calibri"/>
                <w:color w:val="000000"/>
              </w:rPr>
              <w:t>FluoroType® MTBDR і FluoroType® MTB (Hain Lifescience/Bruker)</w:t>
            </w:r>
          </w:p>
        </w:tc>
      </w:tr>
      <w:tr w:rsidR="00ED665B" w:rsidRPr="00907702" w:rsidTr="00BE5914">
        <w:trPr>
          <w:trHeight w:val="624"/>
        </w:trPr>
        <w:tc>
          <w:tcPr>
            <w:tcW w:w="3533" w:type="dxa"/>
            <w:tcBorders>
              <w:top w:val="single" w:sz="8" w:space="0" w:color="009649"/>
              <w:left w:val="nil"/>
              <w:bottom w:val="single" w:sz="8" w:space="0" w:color="009649"/>
            </w:tcBorders>
            <w:shd w:val="clear" w:color="auto" w:fill="7ABE94"/>
            <w:vAlign w:val="center"/>
          </w:tcPr>
          <w:p w:rsidR="00ED665B" w:rsidRPr="00907702" w:rsidRDefault="00ED665B" w:rsidP="009D73BB">
            <w:pPr>
              <w:rPr>
                <w:rFonts w:ascii="Calibri" w:hAnsi="Calibri" w:cs="Calibri"/>
              </w:rPr>
            </w:pPr>
          </w:p>
        </w:tc>
        <w:tc>
          <w:tcPr>
            <w:tcW w:w="5674" w:type="dxa"/>
            <w:tcBorders>
              <w:top w:val="single" w:sz="8" w:space="0" w:color="009649"/>
              <w:bottom w:val="single" w:sz="8" w:space="0" w:color="009649"/>
              <w:right w:val="nil"/>
            </w:tcBorders>
            <w:shd w:val="clear" w:color="auto" w:fill="FFFFFF"/>
            <w:vAlign w:val="center"/>
          </w:tcPr>
          <w:p w:rsidR="00ED665B" w:rsidRPr="00907702" w:rsidRDefault="006C7D2F" w:rsidP="009D73BB">
            <w:pPr>
              <w:ind w:left="29"/>
              <w:rPr>
                <w:rFonts w:ascii="Calibri" w:hAnsi="Calibri" w:cs="Calibri"/>
              </w:rPr>
            </w:pPr>
            <w:r>
              <w:rPr>
                <w:rFonts w:ascii="Calibri" w:hAnsi="Calibri"/>
                <w:color w:val="000000"/>
              </w:rPr>
              <w:t>TБ-LAMP (Eiken) *</w:t>
            </w:r>
          </w:p>
        </w:tc>
      </w:tr>
      <w:tr w:rsidR="00ED665B" w:rsidRPr="00DF25B6" w:rsidTr="00BE5914">
        <w:trPr>
          <w:trHeight w:val="624"/>
        </w:trPr>
        <w:tc>
          <w:tcPr>
            <w:tcW w:w="3533" w:type="dxa"/>
            <w:tcBorders>
              <w:top w:val="single" w:sz="8" w:space="0" w:color="009649"/>
              <w:left w:val="nil"/>
              <w:bottom w:val="single" w:sz="8" w:space="0" w:color="009649"/>
            </w:tcBorders>
            <w:shd w:val="clear" w:color="auto" w:fill="FFFFFF"/>
          </w:tcPr>
          <w:p w:rsidR="00ED665B" w:rsidRPr="00907702" w:rsidRDefault="006C7D2F" w:rsidP="00DC2656">
            <w:pPr>
              <w:ind w:left="82" w:right="451"/>
              <w:rPr>
                <w:rFonts w:ascii="Calibri" w:hAnsi="Calibri" w:cs="Calibri"/>
              </w:rPr>
            </w:pPr>
            <w:r>
              <w:rPr>
                <w:rFonts w:ascii="Calibri" w:hAnsi="Calibri"/>
                <w:color w:val="000000"/>
              </w:rPr>
              <w:t>Виявлення антигенів у форматі бокового зсуву (на основі біомаркерів)</w:t>
            </w:r>
          </w:p>
        </w:tc>
        <w:tc>
          <w:tcPr>
            <w:tcW w:w="5674" w:type="dxa"/>
            <w:tcBorders>
              <w:top w:val="single" w:sz="8" w:space="0" w:color="009649"/>
              <w:bottom w:val="single" w:sz="8" w:space="0" w:color="009649"/>
              <w:right w:val="nil"/>
            </w:tcBorders>
            <w:shd w:val="clear" w:color="auto" w:fill="FFFFFF"/>
          </w:tcPr>
          <w:p w:rsidR="00ED665B" w:rsidRPr="00907702" w:rsidRDefault="006C7D2F" w:rsidP="00DC2656">
            <w:pPr>
              <w:ind w:left="24"/>
              <w:rPr>
                <w:rFonts w:ascii="Calibri" w:hAnsi="Calibri" w:cs="Calibri"/>
              </w:rPr>
            </w:pPr>
            <w:r>
              <w:rPr>
                <w:rFonts w:ascii="Calibri" w:hAnsi="Calibri"/>
                <w:color w:val="000000"/>
              </w:rPr>
              <w:t>Тест для діагностики туберкульозу Alere Determine™ TB LAM Ag (Alere)</w:t>
            </w:r>
          </w:p>
        </w:tc>
      </w:tr>
      <w:tr w:rsidR="00ED665B" w:rsidRPr="00907702" w:rsidTr="00BE5914">
        <w:trPr>
          <w:trHeight w:val="624"/>
        </w:trPr>
        <w:tc>
          <w:tcPr>
            <w:tcW w:w="3533" w:type="dxa"/>
            <w:tcBorders>
              <w:top w:val="single" w:sz="8" w:space="0" w:color="009649"/>
              <w:left w:val="nil"/>
              <w:bottom w:val="single" w:sz="8" w:space="0" w:color="009649"/>
            </w:tcBorders>
            <w:shd w:val="clear" w:color="auto" w:fill="FFFFFF"/>
          </w:tcPr>
          <w:p w:rsidR="00ED665B" w:rsidRPr="00907702" w:rsidRDefault="006C7D2F" w:rsidP="00DC2656">
            <w:pPr>
              <w:ind w:left="82" w:right="38"/>
              <w:rPr>
                <w:rFonts w:ascii="Calibri" w:hAnsi="Calibri" w:cs="Calibri"/>
              </w:rPr>
            </w:pPr>
            <w:r>
              <w:rPr>
                <w:rFonts w:ascii="Calibri" w:hAnsi="Calibri"/>
                <w:color w:val="000000"/>
              </w:rPr>
              <w:t>Автоматизовані ТАНК низької складності для виявлення резистентності до ізоніазидів та протитуберкульозних препаратів другого ряду</w:t>
            </w:r>
          </w:p>
        </w:tc>
        <w:tc>
          <w:tcPr>
            <w:tcW w:w="5674" w:type="dxa"/>
            <w:tcBorders>
              <w:top w:val="single" w:sz="8" w:space="0" w:color="009649"/>
              <w:bottom w:val="single" w:sz="8" w:space="0" w:color="009649"/>
              <w:right w:val="nil"/>
            </w:tcBorders>
            <w:shd w:val="clear" w:color="auto" w:fill="FFFFFF"/>
          </w:tcPr>
          <w:p w:rsidR="00ED665B" w:rsidRPr="00907702" w:rsidRDefault="006C7D2F" w:rsidP="00DC2656">
            <w:pPr>
              <w:ind w:left="24"/>
              <w:rPr>
                <w:rFonts w:ascii="Calibri" w:hAnsi="Calibri" w:cs="Calibri"/>
              </w:rPr>
            </w:pPr>
            <w:r>
              <w:rPr>
                <w:rFonts w:ascii="Calibri" w:hAnsi="Calibri"/>
                <w:color w:val="000000"/>
              </w:rPr>
              <w:t>Xpert® MTB/XDR (Cepheid)</w:t>
            </w:r>
          </w:p>
        </w:tc>
      </w:tr>
      <w:tr w:rsidR="00ED665B" w:rsidRPr="00907702" w:rsidTr="00BE5914">
        <w:trPr>
          <w:trHeight w:val="880"/>
        </w:trPr>
        <w:tc>
          <w:tcPr>
            <w:tcW w:w="3533" w:type="dxa"/>
            <w:tcBorders>
              <w:top w:val="single" w:sz="8" w:space="0" w:color="009649"/>
              <w:left w:val="nil"/>
              <w:bottom w:val="single" w:sz="8" w:space="0" w:color="009649"/>
            </w:tcBorders>
            <w:shd w:val="clear" w:color="auto" w:fill="FFFFFF"/>
          </w:tcPr>
          <w:p w:rsidR="00ED665B" w:rsidRPr="00907702" w:rsidRDefault="006C7D2F" w:rsidP="00DC2656">
            <w:pPr>
              <w:ind w:left="82"/>
              <w:rPr>
                <w:rFonts w:ascii="Calibri" w:hAnsi="Calibri" w:cs="Calibri"/>
              </w:rPr>
            </w:pPr>
            <w:r>
              <w:rPr>
                <w:rFonts w:ascii="Calibri" w:hAnsi="Calibri"/>
                <w:color w:val="000000"/>
              </w:rPr>
              <w:t>Лінійні зонд-аналізи (LPA)</w:t>
            </w:r>
          </w:p>
        </w:tc>
        <w:tc>
          <w:tcPr>
            <w:tcW w:w="5674" w:type="dxa"/>
            <w:tcBorders>
              <w:top w:val="single" w:sz="8" w:space="0" w:color="009649"/>
              <w:bottom w:val="single" w:sz="8" w:space="0" w:color="009649"/>
              <w:right w:val="nil"/>
            </w:tcBorders>
            <w:shd w:val="clear" w:color="auto" w:fill="FFFFFF"/>
          </w:tcPr>
          <w:p w:rsidR="00ED665B" w:rsidRPr="00907702" w:rsidRDefault="006C7D2F" w:rsidP="00DC2656">
            <w:pPr>
              <w:ind w:left="24" w:right="293"/>
              <w:rPr>
                <w:rFonts w:ascii="Calibri" w:hAnsi="Calibri" w:cs="Calibri"/>
              </w:rPr>
            </w:pPr>
            <w:r>
              <w:rPr>
                <w:rFonts w:ascii="Calibri" w:hAnsi="Calibri"/>
                <w:color w:val="000000"/>
              </w:rPr>
              <w:t>GenoType® MTBDR</w:t>
            </w:r>
            <w:r w:rsidR="00BE6F5B" w:rsidRPr="00BE6F5B">
              <w:rPr>
                <w:rFonts w:ascii="Calibri" w:hAnsi="Calibri"/>
                <w:i/>
                <w:color w:val="000000"/>
              </w:rPr>
              <w:t>plus</w:t>
            </w:r>
            <w:r>
              <w:rPr>
                <w:rFonts w:ascii="Calibri" w:hAnsi="Calibri"/>
                <w:color w:val="000000"/>
              </w:rPr>
              <w:t xml:space="preserve"> v1 і v2; GenoType® MTBDR</w:t>
            </w:r>
            <w:r w:rsidR="00BE6F5B" w:rsidRPr="00BE6F5B">
              <w:rPr>
                <w:rFonts w:ascii="Calibri" w:hAnsi="Calibri"/>
                <w:i/>
                <w:color w:val="000000"/>
              </w:rPr>
              <w:t>sl</w:t>
            </w:r>
            <w:r>
              <w:rPr>
                <w:rFonts w:ascii="Calibri" w:hAnsi="Calibri"/>
                <w:color w:val="000000"/>
              </w:rPr>
              <w:t>, (Hain Lifescience/Bruker),</w:t>
            </w:r>
          </w:p>
          <w:p w:rsidR="00ED665B" w:rsidRPr="00907702" w:rsidRDefault="006C7D2F" w:rsidP="00DC2656">
            <w:pPr>
              <w:ind w:left="24" w:right="293"/>
              <w:rPr>
                <w:rFonts w:ascii="Calibri" w:hAnsi="Calibri" w:cs="Calibri"/>
              </w:rPr>
            </w:pPr>
            <w:r>
              <w:rPr>
                <w:rFonts w:ascii="Calibri" w:hAnsi="Calibri"/>
                <w:color w:val="000000"/>
              </w:rPr>
              <w:t>Genoscholar™ NTM+MDRTB II; Genoscholar™ PZA-TB II (Nipro)</w:t>
            </w:r>
          </w:p>
        </w:tc>
      </w:tr>
      <w:tr w:rsidR="00ED665B" w:rsidRPr="00907702" w:rsidTr="00BE5914">
        <w:trPr>
          <w:trHeight w:val="624"/>
        </w:trPr>
        <w:tc>
          <w:tcPr>
            <w:tcW w:w="9207" w:type="dxa"/>
            <w:gridSpan w:val="2"/>
            <w:tcBorders>
              <w:top w:val="single" w:sz="8" w:space="0" w:color="009649"/>
              <w:bottom w:val="nil"/>
              <w:right w:val="nil"/>
            </w:tcBorders>
            <w:shd w:val="clear" w:color="auto" w:fill="FFFFFF"/>
          </w:tcPr>
          <w:p w:rsidR="00ED665B" w:rsidRPr="00907702" w:rsidRDefault="006C7D2F" w:rsidP="006A232C">
            <w:pPr>
              <w:jc w:val="both"/>
              <w:rPr>
                <w:rFonts w:ascii="Calibri" w:hAnsi="Calibri" w:cs="Calibri"/>
              </w:rPr>
            </w:pPr>
            <w:r>
              <w:rPr>
                <w:rFonts w:ascii="Calibri" w:hAnsi="Calibri"/>
                <w:color w:val="000000"/>
                <w:sz w:val="16"/>
              </w:rPr>
              <w:t>*Ці рекомендації наразі є специфічними для кожного продукту, але їх буде змінено на класові, щоб узгодити з іншими рекомендаціями.</w:t>
            </w:r>
          </w:p>
        </w:tc>
      </w:tr>
    </w:tbl>
    <w:p w:rsidR="00ED665B" w:rsidRPr="00907702" w:rsidRDefault="00ED665B" w:rsidP="00DC2656">
      <w:pPr>
        <w:rPr>
          <w:rFonts w:ascii="Calibri" w:hAnsi="Calibri" w:cs="Calibri"/>
        </w:rPr>
        <w:sectPr w:rsidR="00ED665B" w:rsidRPr="00907702">
          <w:footerReference w:type="even" r:id="rId31"/>
          <w:pgSz w:w="11904" w:h="16838"/>
          <w:pgMar w:top="1339" w:right="1334" w:bottom="1363" w:left="1363" w:header="720" w:footer="720" w:gutter="0"/>
          <w:cols w:space="60"/>
          <w:noEndnote/>
        </w:sectPr>
      </w:pPr>
    </w:p>
    <w:p w:rsidR="00ED665B" w:rsidRPr="00907702" w:rsidRDefault="006C7D2F" w:rsidP="00DC2656">
      <w:pPr>
        <w:ind w:right="5"/>
        <w:jc w:val="both"/>
        <w:rPr>
          <w:rFonts w:ascii="Calibri" w:hAnsi="Calibri" w:cs="Calibri"/>
        </w:rPr>
      </w:pPr>
      <w:r>
        <w:rPr>
          <w:rFonts w:ascii="Calibri" w:hAnsi="Calibri"/>
          <w:color w:val="000000"/>
          <w:sz w:val="22"/>
        </w:rPr>
        <w:lastRenderedPageBreak/>
        <w:t>Автоматизовані методи ПЛР у реальному часі пропонують універсальне рішення, придатне для периферійного рівня, і найбільш широко використовуються на сьогодні. Ці інструменти виявляють ДНК MTБК і дозволяють виявити мутації в гені, пов’язані з резистентністю до рифампіцину. Наявні інструменти використовують програмне та апаратне забезпечення (комп’ютери) для звітування про результати, і для них потрібні добре оснащені лабораторні мережі та кваліфікований персонал.</w:t>
      </w:r>
    </w:p>
    <w:p w:rsidR="00ED665B" w:rsidRPr="00907702" w:rsidRDefault="006C7D2F" w:rsidP="00DC2656">
      <w:pPr>
        <w:spacing w:before="168"/>
        <w:ind w:right="5"/>
        <w:jc w:val="both"/>
        <w:rPr>
          <w:rFonts w:ascii="Calibri" w:hAnsi="Calibri" w:cs="Calibri"/>
        </w:rPr>
      </w:pPr>
      <w:r>
        <w:rPr>
          <w:rFonts w:ascii="Calibri" w:hAnsi="Calibri"/>
          <w:color w:val="000000"/>
          <w:sz w:val="22"/>
        </w:rPr>
        <w:t xml:space="preserve">LPA – це ряд тестів (на основі тест-смужок), за допомогою яких можна виявити ДНК MTБК та визначити його профіль медикаментозної резистентності. За допомогою структури зв’язування ампліконів (продуктів ампліфікації ДНК) зондами, орієнтованими на конкретні частини геному MTБК, загальні мутації, пов’язані зі резистентністю до протитуберкульозних лікарських засобів або відповідної послідовності ДНК дикого типу </w:t>
      </w:r>
      <w:r w:rsidRPr="00E02100">
        <w:rPr>
          <w:rFonts w:ascii="Calibri" w:hAnsi="Calibri"/>
          <w:i/>
          <w:color w:val="000000"/>
          <w:sz w:val="22"/>
        </w:rPr>
        <w:t>(4)</w:t>
      </w:r>
      <w:r>
        <w:rPr>
          <w:rFonts w:ascii="Calibri" w:hAnsi="Calibri"/>
          <w:color w:val="000000"/>
          <w:sz w:val="22"/>
        </w:rPr>
        <w:t xml:space="preserve">. Провести LPA технічно складніше, ніж тест Xpert MTB/RIF; однак вони можуть виявляти резистентність до ширшого кола препаратів першого та другого ряду та надавати специфічні дані про мутації для поширених варіантів. Платформи для тестування розроблені для використання в умовах референс лабораторій та є найбільш застосовними для країн з високим тягарем ТБ. Результати можна отримати за 5 годин </w:t>
      </w:r>
      <w:r w:rsidRPr="00E02100">
        <w:rPr>
          <w:rFonts w:ascii="Calibri" w:hAnsi="Calibri"/>
          <w:i/>
          <w:color w:val="000000"/>
          <w:sz w:val="22"/>
        </w:rPr>
        <w:t>(5)</w:t>
      </w:r>
      <w:r>
        <w:rPr>
          <w:rFonts w:ascii="Calibri" w:hAnsi="Calibri"/>
          <w:color w:val="000000"/>
          <w:sz w:val="22"/>
        </w:rPr>
        <w:t>. Існує дві групи аналізів:</w:t>
      </w:r>
    </w:p>
    <w:p w:rsidR="00ED665B" w:rsidRPr="00907702" w:rsidRDefault="006C7D2F" w:rsidP="00DC2656">
      <w:pPr>
        <w:numPr>
          <w:ilvl w:val="0"/>
          <w:numId w:val="2"/>
        </w:numPr>
        <w:tabs>
          <w:tab w:val="left" w:pos="240"/>
        </w:tabs>
        <w:spacing w:before="77"/>
        <w:ind w:left="240" w:right="5" w:hanging="240"/>
        <w:jc w:val="both"/>
        <w:rPr>
          <w:rFonts w:ascii="Calibri" w:hAnsi="Calibri" w:cs="Calibri"/>
          <w:color w:val="009649"/>
          <w:sz w:val="22"/>
          <w:szCs w:val="22"/>
        </w:rPr>
      </w:pPr>
      <w:r>
        <w:rPr>
          <w:rFonts w:ascii="Calibri" w:hAnsi="Calibri"/>
          <w:color w:val="000000"/>
          <w:sz w:val="22"/>
        </w:rPr>
        <w:t>ті, що виявляють MTБК та резистентність до протитуберкульозних лікарських засобів першого ряду (відомих як LPA першого ряду [FL-LPA]), наприклад, GenoType MTBDR</w:t>
      </w:r>
      <w:r w:rsidR="00BE6F5B" w:rsidRPr="00BE6F5B">
        <w:rPr>
          <w:rFonts w:ascii="Calibri" w:hAnsi="Calibri"/>
          <w:i/>
          <w:color w:val="000000"/>
          <w:sz w:val="22"/>
        </w:rPr>
        <w:t>plus</w:t>
      </w:r>
      <w:r>
        <w:rPr>
          <w:rFonts w:ascii="Calibri" w:hAnsi="Calibri"/>
          <w:color w:val="000000"/>
          <w:sz w:val="22"/>
        </w:rPr>
        <w:t xml:space="preserve"> v1 і v2, Genoscholar NTM+MDRTB II, GenoScholar PZA-TB; і</w:t>
      </w:r>
    </w:p>
    <w:p w:rsidR="00ED665B" w:rsidRPr="00907702" w:rsidRDefault="006C7D2F" w:rsidP="00DC2656">
      <w:pPr>
        <w:numPr>
          <w:ilvl w:val="0"/>
          <w:numId w:val="2"/>
        </w:numPr>
        <w:tabs>
          <w:tab w:val="left" w:pos="240"/>
        </w:tabs>
        <w:ind w:left="240" w:right="10" w:hanging="240"/>
        <w:jc w:val="both"/>
        <w:rPr>
          <w:rFonts w:ascii="Calibri" w:hAnsi="Calibri" w:cs="Calibri"/>
          <w:color w:val="009649"/>
          <w:sz w:val="22"/>
          <w:szCs w:val="22"/>
        </w:rPr>
      </w:pPr>
      <w:r>
        <w:rPr>
          <w:rFonts w:ascii="Calibri" w:hAnsi="Calibri"/>
          <w:color w:val="000000"/>
          <w:sz w:val="22"/>
        </w:rPr>
        <w:t>ті, що виявляють резистентність до протитуберкульозних агентів другого ряду (відомих як LPA другого ряду [SL-LPA]), наприклад, GenoType MTBDR</w:t>
      </w:r>
      <w:r w:rsidR="00BE6F5B" w:rsidRPr="00BE6F5B">
        <w:rPr>
          <w:rFonts w:ascii="Calibri" w:hAnsi="Calibri"/>
          <w:i/>
          <w:color w:val="000000"/>
          <w:sz w:val="22"/>
        </w:rPr>
        <w:t>sl</w:t>
      </w:r>
      <w:r>
        <w:rPr>
          <w:rFonts w:ascii="Calibri" w:hAnsi="Calibri"/>
          <w:color w:val="000000"/>
          <w:sz w:val="22"/>
        </w:rPr>
        <w:t>.</w:t>
      </w:r>
    </w:p>
    <w:p w:rsidR="00ED665B" w:rsidRPr="00907702" w:rsidRDefault="006C7D2F" w:rsidP="00DC2656">
      <w:pPr>
        <w:spacing w:before="168"/>
        <w:jc w:val="both"/>
        <w:rPr>
          <w:rFonts w:ascii="Calibri" w:hAnsi="Calibri" w:cs="Calibri"/>
        </w:rPr>
      </w:pPr>
      <w:r>
        <w:rPr>
          <w:rFonts w:ascii="Calibri" w:hAnsi="Calibri"/>
          <w:color w:val="000000"/>
          <w:sz w:val="22"/>
        </w:rPr>
        <w:t>Третя технологія заснована на методології LAMP, де цільова ДНК ампліфікується за фіксованих температурних рамок (на відміну від ПЛР, для якої потрібен термоциклер). Виявлення ампліфікованого продукту проводиться візуально, за допомогою ультрафіолетової (УФ) лампи, безпосередньо у реакційних пробірках. Для застосування методу потрібне лише базове обладнання та метод може бути реалізований на найнижчих рівнях мережі лабораторій. Однак за допомогою наразі рекомендованої технології неможливо виявити мутації в генах, пов’язані з резистентністю.</w:t>
      </w:r>
    </w:p>
    <w:p w:rsidR="00ED665B" w:rsidRPr="00907702" w:rsidRDefault="006C7D2F" w:rsidP="00DC2656">
      <w:pPr>
        <w:spacing w:before="168"/>
        <w:ind w:right="5"/>
        <w:jc w:val="both"/>
        <w:rPr>
          <w:rFonts w:ascii="Calibri" w:hAnsi="Calibri" w:cs="Calibri"/>
        </w:rPr>
      </w:pPr>
      <w:r>
        <w:rPr>
          <w:rFonts w:ascii="Calibri" w:hAnsi="Calibri"/>
          <w:color w:val="000000"/>
          <w:sz w:val="22"/>
        </w:rPr>
        <w:t>Пошук тесту для його проведення у клінічних умовах (тобто тесту бокового зсуву, що виявляє або антиген MTБК, або антитіла до MTБК) виявився складним завданням. Тим не менш, можливим оптимальним тестом для використання з такими цілями виявився тест на антиген мікобактеріального ліпоарабіноманнану (LAM) у сечі. Доступні на сьогодні аналізи сечі на LAM мають неоптимальну чутливість та специфічність, тому не підходять в якості діагностичних тестів на ТБ у всіх групах населення. Однак, на відміну від традиційних методів діагностики, аналізи сечі LAM демонструють покращену чутливість до діагностики ТБ серед осіб, коінфікованих ВІЛ.</w:t>
      </w:r>
    </w:p>
    <w:p w:rsidR="00ED665B" w:rsidRPr="00907702" w:rsidRDefault="006C7D2F" w:rsidP="00DC2656">
      <w:pPr>
        <w:spacing w:before="168"/>
        <w:ind w:right="5"/>
        <w:jc w:val="both"/>
        <w:rPr>
          <w:rFonts w:ascii="Calibri" w:hAnsi="Calibri" w:cs="Calibri"/>
        </w:rPr>
      </w:pPr>
      <w:r>
        <w:rPr>
          <w:rFonts w:ascii="Calibri" w:hAnsi="Calibri"/>
          <w:color w:val="000000"/>
          <w:sz w:val="22"/>
        </w:rPr>
        <w:t>7–18 грудня 2020 року ВООЗ скликала Групу розробки настанов (ГРН) для обговорення результатів систематичних оглядів трьох класів діагностичних технологій та надання рекомендацій.</w:t>
      </w:r>
    </w:p>
    <w:p w:rsidR="00ED665B" w:rsidRPr="00907702" w:rsidRDefault="006C7D2F" w:rsidP="00DC2656">
      <w:pPr>
        <w:spacing w:before="211"/>
        <w:rPr>
          <w:rFonts w:ascii="Calibri" w:hAnsi="Calibri" w:cs="Calibri"/>
        </w:rPr>
      </w:pPr>
      <w:r>
        <w:rPr>
          <w:rFonts w:ascii="Calibri" w:hAnsi="Calibri"/>
          <w:color w:val="000000"/>
          <w:sz w:val="22"/>
        </w:rPr>
        <w:t>Три класи технологій, що оцінюються, включають:</w:t>
      </w:r>
    </w:p>
    <w:p w:rsidR="00ED665B" w:rsidRPr="00907702" w:rsidRDefault="006C7D2F" w:rsidP="00DC2656">
      <w:pPr>
        <w:numPr>
          <w:ilvl w:val="0"/>
          <w:numId w:val="2"/>
        </w:numPr>
        <w:tabs>
          <w:tab w:val="left" w:pos="240"/>
        </w:tabs>
        <w:spacing w:before="101"/>
        <w:ind w:left="240" w:right="5" w:hanging="240"/>
        <w:jc w:val="both"/>
        <w:rPr>
          <w:rFonts w:ascii="Calibri" w:hAnsi="Calibri" w:cs="Calibri"/>
          <w:color w:val="009649"/>
          <w:sz w:val="22"/>
          <w:szCs w:val="22"/>
        </w:rPr>
      </w:pPr>
      <w:r>
        <w:rPr>
          <w:rFonts w:ascii="Calibri" w:hAnsi="Calibri"/>
          <w:color w:val="000000"/>
          <w:sz w:val="22"/>
        </w:rPr>
        <w:t>автоматизовані ТАНК помірної складності для виявлення туберкульозу та резистентності до рифампіцину та ізоніазиду;</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автоматизовані ТАНК низької складності для виявлення резистентності до ізоніазидів та протитуберкульозних препаратів другого ряду; і</w:t>
      </w:r>
    </w:p>
    <w:p w:rsidR="00ED665B" w:rsidRPr="00907702" w:rsidRDefault="00ED665B" w:rsidP="00DC2656">
      <w:pPr>
        <w:numPr>
          <w:ilvl w:val="0"/>
          <w:numId w:val="2"/>
        </w:numPr>
        <w:tabs>
          <w:tab w:val="left" w:pos="240"/>
        </w:tabs>
        <w:ind w:left="240" w:right="5" w:hanging="240"/>
        <w:jc w:val="both"/>
        <w:rPr>
          <w:rFonts w:ascii="Calibri" w:hAnsi="Calibri" w:cs="Calibri"/>
          <w:color w:val="009649"/>
          <w:sz w:val="22"/>
          <w:szCs w:val="22"/>
        </w:rPr>
        <w:sectPr w:rsidR="00ED665B" w:rsidRPr="00907702">
          <w:footerReference w:type="default" r:id="rId32"/>
          <w:pgSz w:w="11904" w:h="16838"/>
          <w:pgMar w:top="1339" w:right="1411" w:bottom="1675" w:left="1416" w:header="720" w:footer="720" w:gutter="0"/>
          <w:cols w:space="60"/>
          <w:noEndnote/>
        </w:sectPr>
      </w:pPr>
    </w:p>
    <w:p w:rsidR="00ED665B" w:rsidRPr="00907702" w:rsidRDefault="006C7D2F" w:rsidP="006A232C">
      <w:pPr>
        <w:ind w:left="240" w:hanging="240"/>
        <w:jc w:val="both"/>
        <w:rPr>
          <w:rFonts w:ascii="Calibri" w:hAnsi="Calibri" w:cs="Calibri"/>
        </w:rPr>
      </w:pPr>
      <w:bookmarkStart w:id="4" w:name="bookmark5"/>
      <w:r>
        <w:rPr>
          <w:rFonts w:ascii="Calibri" w:hAnsi="Calibri"/>
          <w:color w:val="009649"/>
          <w:sz w:val="22"/>
        </w:rPr>
        <w:lastRenderedPageBreak/>
        <w:t>•</w:t>
      </w:r>
      <w:bookmarkEnd w:id="4"/>
      <w:r>
        <w:rPr>
          <w:rFonts w:ascii="Calibri" w:hAnsi="Calibri"/>
          <w:color w:val="009649"/>
          <w:sz w:val="22"/>
        </w:rPr>
        <w:t xml:space="preserve"> </w:t>
      </w:r>
      <w:r w:rsidR="00BE5914">
        <w:rPr>
          <w:rFonts w:ascii="Calibri" w:hAnsi="Calibri"/>
          <w:color w:val="009649"/>
          <w:sz w:val="22"/>
        </w:rPr>
        <w:tab/>
      </w:r>
      <w:r>
        <w:rPr>
          <w:rFonts w:ascii="Calibri" w:hAnsi="Calibri"/>
          <w:color w:val="000000"/>
          <w:sz w:val="22"/>
        </w:rPr>
        <w:t>ТАНК високої складності на основі зворотної гібридизації для виявлення резистентності до піразинаміду.</w:t>
      </w:r>
    </w:p>
    <w:p w:rsidR="00ED665B" w:rsidRPr="00907702" w:rsidRDefault="006C7D2F" w:rsidP="00DC2656">
      <w:pPr>
        <w:spacing w:before="168"/>
        <w:ind w:right="5"/>
        <w:jc w:val="both"/>
        <w:rPr>
          <w:rFonts w:ascii="Calibri" w:hAnsi="Calibri" w:cs="Calibri"/>
        </w:rPr>
      </w:pPr>
      <w:r>
        <w:rPr>
          <w:rFonts w:ascii="Calibri" w:hAnsi="Calibri"/>
          <w:color w:val="000000"/>
          <w:sz w:val="22"/>
        </w:rPr>
        <w:t>Процес оцінки ВООЗ з діагностики туберкульозу наразі зосереджений на оцінці класів технологій діагностики туберкульозу, а не конкретних продуктів. Для цього оновлення настанов три оцінювані тут класи технологій були визначені за типом технології (наприклад, автоматизовані ТАНК або ТАНК на основі гібридизації), складністю тесту для впровадження (наприклад, низький, помірний або високий, з урахуванням вимог інфраструктури, обладнання та технічних навичок) та цільових умов (туберкульоз та резистентність до препаратів першого або другого ряду, або обох). Рівень складності – це лише один з елементів, які слід враховувати при впровадженні; серед інших слід зазначити діагностичну точність, епідеміологічні та географічні умови, операційні аспекти (наприклад, час від проведення до отримання результатів, пропускну здатність, наявну інфраструктуру та транспортну логістику), економічні аспекти та якісні аспекти прийнятності, справедливості та цінностей, а також переваги для кінцевих споживачів.</w:t>
      </w:r>
    </w:p>
    <w:p w:rsidR="00ED665B" w:rsidRPr="00640824" w:rsidRDefault="006C7D2F" w:rsidP="00DC2656">
      <w:pPr>
        <w:tabs>
          <w:tab w:val="left" w:pos="720"/>
        </w:tabs>
        <w:spacing w:before="317"/>
        <w:rPr>
          <w:rFonts w:ascii="Calibri" w:hAnsi="Calibri" w:cs="Calibri"/>
          <w:b/>
          <w:bCs/>
          <w:color w:val="009649"/>
        </w:rPr>
      </w:pPr>
      <w:r>
        <w:rPr>
          <w:rFonts w:ascii="Calibri" w:hAnsi="Calibri"/>
          <w:b/>
          <w:color w:val="009649"/>
          <w:sz w:val="38"/>
        </w:rPr>
        <w:t>1.2.</w:t>
      </w:r>
      <w:r>
        <w:rPr>
          <w:rFonts w:ascii="Calibri" w:hAnsi="Calibri"/>
          <w:b/>
          <w:color w:val="009649"/>
          <w:sz w:val="38"/>
        </w:rPr>
        <w:tab/>
        <w:t>Сфера застосування документа</w:t>
      </w:r>
    </w:p>
    <w:p w:rsidR="00ED665B" w:rsidRPr="00907702" w:rsidRDefault="006C7D2F" w:rsidP="00DC2656">
      <w:pPr>
        <w:spacing w:before="149"/>
        <w:ind w:right="5"/>
        <w:jc w:val="both"/>
        <w:rPr>
          <w:rFonts w:ascii="Calibri" w:hAnsi="Calibri" w:cs="Calibri"/>
        </w:rPr>
      </w:pPr>
      <w:r>
        <w:rPr>
          <w:rFonts w:ascii="Calibri" w:hAnsi="Calibri"/>
          <w:color w:val="000000"/>
          <w:sz w:val="22"/>
        </w:rPr>
        <w:t>Цей документ надає підґрунтя, обґрунтування та рекомендації щодо нових інструментів діагностики для виявлення МТБК та наявності чи відсутності мутацій у цільових генах, для яких доведено, що вони асоціюються з резистентністю до протитуберкульозних лікарських препаратів.</w:t>
      </w:r>
    </w:p>
    <w:p w:rsidR="00ED665B" w:rsidRPr="00640824" w:rsidRDefault="006C7D2F" w:rsidP="00DC2656">
      <w:pPr>
        <w:tabs>
          <w:tab w:val="left" w:pos="720"/>
        </w:tabs>
        <w:spacing w:before="317"/>
        <w:rPr>
          <w:rFonts w:ascii="Calibri" w:hAnsi="Calibri" w:cs="Calibri"/>
          <w:b/>
          <w:bCs/>
          <w:color w:val="009649"/>
        </w:rPr>
      </w:pPr>
      <w:r>
        <w:rPr>
          <w:rFonts w:ascii="Calibri" w:hAnsi="Calibri"/>
          <w:b/>
          <w:color w:val="009649"/>
          <w:sz w:val="38"/>
        </w:rPr>
        <w:t>1.3.</w:t>
      </w:r>
      <w:r>
        <w:rPr>
          <w:rFonts w:ascii="Calibri" w:hAnsi="Calibri"/>
          <w:b/>
          <w:color w:val="009649"/>
          <w:sz w:val="38"/>
        </w:rPr>
        <w:tab/>
        <w:t>Цільова аудиторія</w:t>
      </w:r>
    </w:p>
    <w:p w:rsidR="00ED665B" w:rsidRPr="00907702" w:rsidRDefault="006C7D2F" w:rsidP="00DC2656">
      <w:pPr>
        <w:spacing w:before="144"/>
        <w:ind w:right="5"/>
        <w:jc w:val="both"/>
        <w:rPr>
          <w:rFonts w:ascii="Calibri" w:hAnsi="Calibri" w:cs="Calibri"/>
        </w:rPr>
      </w:pPr>
      <w:r>
        <w:rPr>
          <w:rFonts w:ascii="Calibri" w:hAnsi="Calibri"/>
          <w:color w:val="000000"/>
          <w:sz w:val="22"/>
        </w:rPr>
        <w:t>Цільова аудиторія даних настанов представлена керівництвом лабораторій, лікарями-практиками та іншим медичним персоналом, керівниками програм з протидії ВІЛ і ТБ, регуляторними органами, технічними агентствами, донорами та партнерами-виконавцями, які забезпечують використання діагностики ТБ в умовах обмежених ресурсів.</w:t>
      </w:r>
    </w:p>
    <w:p w:rsidR="00ED665B" w:rsidRPr="00907702" w:rsidRDefault="006C7D2F" w:rsidP="00DC2656">
      <w:pPr>
        <w:spacing w:before="163"/>
        <w:jc w:val="both"/>
        <w:rPr>
          <w:rFonts w:ascii="Calibri" w:hAnsi="Calibri" w:cs="Calibri"/>
        </w:rPr>
      </w:pPr>
      <w:r>
        <w:rPr>
          <w:rFonts w:ascii="Calibri" w:hAnsi="Calibri"/>
          <w:color w:val="000000"/>
          <w:sz w:val="22"/>
        </w:rPr>
        <w:t>Для осіб, відповідальних за планування програми, складання бюджету, мобілізацію ресурсів та здійснення навчальних заходів для програмного ведення випадків ТБ з резистентністю до протитуберкульозних препаратів, цей документ може також виявитися корисним.</w:t>
      </w:r>
    </w:p>
    <w:p w:rsidR="00ED665B" w:rsidRPr="00907702" w:rsidRDefault="00ED665B" w:rsidP="00DC2656">
      <w:pPr>
        <w:spacing w:before="163"/>
        <w:jc w:val="both"/>
        <w:rPr>
          <w:rFonts w:ascii="Calibri" w:hAnsi="Calibri" w:cs="Calibri"/>
        </w:rPr>
        <w:sectPr w:rsidR="00ED665B" w:rsidRPr="00907702" w:rsidSect="000010CC">
          <w:pgSz w:w="11904" w:h="16838"/>
          <w:pgMar w:top="1334" w:right="1411" w:bottom="2269" w:left="1416" w:header="720" w:footer="720" w:gutter="0"/>
          <w:cols w:space="60"/>
          <w:noEndnote/>
        </w:sectPr>
      </w:pPr>
    </w:p>
    <w:p w:rsidR="00ED665B" w:rsidRPr="00907702" w:rsidRDefault="00640824" w:rsidP="00DC2656">
      <w:pPr>
        <w:ind w:left="14"/>
        <w:rPr>
          <w:rFonts w:ascii="Calibri" w:hAnsi="Calibri" w:cs="Calibri"/>
        </w:rPr>
      </w:pPr>
      <w:bookmarkStart w:id="5" w:name="bookmark6"/>
      <w:r>
        <w:rPr>
          <w:rFonts w:ascii="Calibri" w:hAnsi="Calibri"/>
          <w:noProof/>
          <w:color w:val="000000"/>
          <w:sz w:val="22"/>
          <w:lang w:val="en-US" w:bidi="ar-SA"/>
        </w:rPr>
        <w:lastRenderedPageBreak/>
        <w:drawing>
          <wp:anchor distT="0" distB="0" distL="6400800" distR="6400800" simplePos="0" relativeHeight="251673600" behindDoc="1" locked="0" layoutInCell="0" allowOverlap="1" wp14:anchorId="34BB8A74" wp14:editId="19BB56A4">
            <wp:simplePos x="0" y="0"/>
            <wp:positionH relativeFrom="page">
              <wp:align>left</wp:align>
            </wp:positionH>
            <wp:positionV relativeFrom="page">
              <wp:align>top</wp:align>
            </wp:positionV>
            <wp:extent cx="7562850" cy="1743075"/>
            <wp:effectExtent l="0" t="0" r="0" b="9525"/>
            <wp:wrapNone/>
            <wp:docPr id="5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9649"/>
          <w:sz w:val="64"/>
        </w:rPr>
        <w:t>2</w:t>
      </w:r>
      <w:bookmarkEnd w:id="5"/>
      <w:r>
        <w:rPr>
          <w:rFonts w:ascii="Calibri" w:hAnsi="Calibri"/>
          <w:color w:val="009649"/>
          <w:sz w:val="64"/>
        </w:rPr>
        <w:t>. Рекомендації</w:t>
      </w:r>
    </w:p>
    <w:p w:rsidR="00ED665B" w:rsidRPr="00640824" w:rsidRDefault="006C7D2F" w:rsidP="006A232C">
      <w:pPr>
        <w:spacing w:before="600"/>
        <w:ind w:left="14"/>
        <w:jc w:val="both"/>
        <w:rPr>
          <w:rFonts w:ascii="Calibri" w:hAnsi="Calibri" w:cs="Calibri"/>
          <w:b/>
          <w:bCs/>
        </w:rPr>
      </w:pPr>
      <w:r>
        <w:rPr>
          <w:rFonts w:ascii="Calibri" w:hAnsi="Calibri"/>
          <w:b/>
          <w:color w:val="009649"/>
          <w:sz w:val="38"/>
        </w:rPr>
        <w:t>2.1. Початкові діагностичні тести для діагностики туберкульозу з виявленням медикаментозної резистентності.</w:t>
      </w:r>
    </w:p>
    <w:p w:rsidR="00ED665B" w:rsidRPr="00640824" w:rsidRDefault="006C7D2F" w:rsidP="006A232C">
      <w:pPr>
        <w:spacing w:before="211"/>
        <w:ind w:left="14"/>
        <w:jc w:val="both"/>
        <w:rPr>
          <w:rFonts w:ascii="Calibri" w:hAnsi="Calibri" w:cs="Calibri"/>
          <w:b/>
          <w:bCs/>
        </w:rPr>
      </w:pPr>
      <w:r>
        <w:rPr>
          <w:rFonts w:ascii="Calibri" w:hAnsi="Calibri"/>
          <w:b/>
          <w:color w:val="009649"/>
          <w:sz w:val="28"/>
        </w:rPr>
        <w:t>Тести Xpert MTB/RIF і Xpert MTB/RIF Ultra</w:t>
      </w:r>
    </w:p>
    <w:p w:rsidR="00ED665B" w:rsidRPr="00907702" w:rsidRDefault="006C7D2F" w:rsidP="006A232C">
      <w:pPr>
        <w:spacing w:before="173"/>
        <w:ind w:left="14" w:right="5"/>
        <w:jc w:val="both"/>
        <w:rPr>
          <w:rFonts w:ascii="Calibri" w:hAnsi="Calibri" w:cs="Calibri"/>
        </w:rPr>
      </w:pPr>
      <w:r>
        <w:rPr>
          <w:rFonts w:ascii="Calibri" w:hAnsi="Calibri"/>
          <w:color w:val="000000"/>
          <w:sz w:val="22"/>
        </w:rPr>
        <w:t>Розробка аналізу Xpert MTB/RIF (Cepheid, Sunnyvale, Сполучені Штати Америки [США]) стала головним кроком вперед для покращення діагностики ТБ та виявлення резистентності до рифампіцину в усьому світі. Однак чутливість до Xpert MTB/RIF є недостатньо оптимальною, особливо у хворих на ТБ з негативним мазком мокроти та асоційованою ВІЛ-інфекцією. Тест Xpert MTB/RIF Ultra (Cepheid, Sunnyvale, США), далі – Xpert Ultra, був розроблений компанією «Cepheid» як аналіз нового покоління для подолання цих обмежень. Він проводиться на тій самій платформі GeneXpert®, що і Xpert MTB/RIF.</w:t>
      </w:r>
    </w:p>
    <w:p w:rsidR="00ED665B" w:rsidRPr="00640824" w:rsidRDefault="006C7D2F" w:rsidP="006A232C">
      <w:pPr>
        <w:spacing w:before="230"/>
        <w:ind w:left="14"/>
        <w:jc w:val="both"/>
        <w:rPr>
          <w:rFonts w:ascii="Calibri" w:hAnsi="Calibri" w:cs="Calibri"/>
          <w:b/>
          <w:bCs/>
        </w:rPr>
      </w:pPr>
      <w:r>
        <w:rPr>
          <w:rFonts w:ascii="Calibri" w:hAnsi="Calibri"/>
          <w:b/>
          <w:color w:val="009649"/>
          <w:sz w:val="28"/>
        </w:rPr>
        <w:t>Рекомендації</w:t>
      </w:r>
    </w:p>
    <w:p w:rsidR="00ED665B" w:rsidRPr="00907702" w:rsidRDefault="006C7D2F" w:rsidP="006A232C">
      <w:pPr>
        <w:spacing w:before="163"/>
        <w:ind w:left="14" w:right="14"/>
        <w:jc w:val="both"/>
        <w:rPr>
          <w:rFonts w:ascii="Calibri" w:hAnsi="Calibri" w:cs="Calibri"/>
        </w:rPr>
      </w:pPr>
      <w:r>
        <w:rPr>
          <w:rFonts w:ascii="Calibri" w:hAnsi="Calibri"/>
          <w:color w:val="000000"/>
          <w:sz w:val="22"/>
        </w:rPr>
        <w:t>Цей розділ містить п’ять наборів рекомендацій, причому кожен набір є специфічним для конкретного виду тестування (початкового або повторного) та типу туберкульозу (легеневого або позалегеневого).</w:t>
      </w:r>
    </w:p>
    <w:p w:rsidR="00ED665B" w:rsidRPr="006A232C" w:rsidRDefault="006C7D2F" w:rsidP="008E12CA">
      <w:pPr>
        <w:spacing w:before="274"/>
        <w:ind w:left="14"/>
        <w:jc w:val="both"/>
        <w:rPr>
          <w:rFonts w:ascii="Calibri" w:hAnsi="Calibri" w:cs="Calibri"/>
          <w:b/>
          <w:bCs/>
          <w:i/>
        </w:rPr>
      </w:pPr>
      <w:r w:rsidRPr="006A232C">
        <w:rPr>
          <w:rFonts w:ascii="Calibri" w:hAnsi="Calibri"/>
          <w:b/>
          <w:i/>
          <w:color w:val="009649"/>
          <w:sz w:val="22"/>
        </w:rPr>
        <w:t>Рекомендації щодо застосування Xpert MTB/RIF та Xpert Ultra в якості первинних тестів у дорослих та дітей з ознаками та симптомами легеневого ТБ</w:t>
      </w:r>
    </w:p>
    <w:p w:rsidR="00ED665B" w:rsidRPr="00907702" w:rsidRDefault="00ED665B" w:rsidP="00DC2656">
      <w:pPr>
        <w:spacing w:after="16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091"/>
      </w:tblGrid>
      <w:tr w:rsidR="00ED665B" w:rsidRPr="00907702" w:rsidTr="008E12CA">
        <w:trPr>
          <w:trHeight w:hRule="exact" w:val="3852"/>
        </w:trPr>
        <w:tc>
          <w:tcPr>
            <w:tcW w:w="9091"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640824">
            <w:pPr>
              <w:tabs>
                <w:tab w:val="left" w:pos="768"/>
              </w:tabs>
              <w:spacing w:before="120"/>
              <w:ind w:left="653" w:right="452" w:hanging="461"/>
              <w:jc w:val="both"/>
              <w:rPr>
                <w:rFonts w:ascii="Calibri" w:hAnsi="Calibri" w:cs="Calibri"/>
              </w:rPr>
            </w:pPr>
            <w:r>
              <w:rPr>
                <w:rFonts w:ascii="Calibri" w:hAnsi="Calibri"/>
                <w:color w:val="000000"/>
                <w:sz w:val="22"/>
              </w:rPr>
              <w:t>1.</w:t>
            </w:r>
            <w:r>
              <w:rPr>
                <w:rFonts w:ascii="Calibri" w:hAnsi="Calibri"/>
                <w:color w:val="000000"/>
                <w:sz w:val="22"/>
              </w:rPr>
              <w:tab/>
              <w:t>У дорослих з ознаками та симптомами легеневого ТБ в якості первинного діагностичного тесту на виявлення ТБ та резистентності до рифампіцину у мокроті слід застосовувати тест Xpert MTB/RIF, а не мікроскопію мазка/бакпосів та фенотипічний ТМЧ.</w:t>
            </w:r>
          </w:p>
          <w:p w:rsidR="00ED665B" w:rsidRPr="00640824" w:rsidRDefault="006C7D2F" w:rsidP="00640824">
            <w:pPr>
              <w:ind w:left="616" w:right="452"/>
              <w:jc w:val="both"/>
              <w:rPr>
                <w:rFonts w:ascii="Calibri" w:hAnsi="Calibri" w:cs="Calibri"/>
                <w:i/>
                <w:iCs/>
              </w:rPr>
            </w:pPr>
            <w:r w:rsidRPr="00FA1569">
              <w:rPr>
                <w:rFonts w:ascii="Calibri" w:hAnsi="Calibri"/>
                <w:color w:val="000000"/>
                <w:sz w:val="22"/>
              </w:rPr>
              <w:t>(</w:t>
            </w:r>
            <w:r>
              <w:rPr>
                <w:rFonts w:ascii="Calibri" w:hAnsi="Calibri"/>
                <w:i/>
                <w:color w:val="000000"/>
                <w:sz w:val="22"/>
              </w:rPr>
              <w:t>Сильна рекомендація, висока якість доказових даних щодо точності тесту; помірна достовірність доказів щодо важливих для пацієнта результатів</w:t>
            </w:r>
            <w:r>
              <w:rPr>
                <w:rFonts w:ascii="Calibri" w:hAnsi="Calibri"/>
                <w:i/>
                <w:color w:val="000000"/>
                <w:sz w:val="22"/>
                <w:vertAlign w:val="superscript"/>
              </w:rPr>
              <w:t>6</w:t>
            </w:r>
            <w:r>
              <w:rPr>
                <w:rFonts w:ascii="Calibri" w:hAnsi="Calibri"/>
                <w:i/>
                <w:color w:val="000000"/>
                <w:sz w:val="22"/>
              </w:rPr>
              <w:t>)</w:t>
            </w:r>
          </w:p>
          <w:p w:rsidR="00ED665B" w:rsidRPr="00907702" w:rsidRDefault="006C7D2F" w:rsidP="00640824">
            <w:pPr>
              <w:tabs>
                <w:tab w:val="left" w:pos="768"/>
              </w:tabs>
              <w:spacing w:before="120"/>
              <w:ind w:left="653" w:right="452" w:hanging="461"/>
              <w:jc w:val="both"/>
              <w:rPr>
                <w:rFonts w:ascii="Calibri" w:hAnsi="Calibri" w:cs="Calibri"/>
              </w:rPr>
            </w:pPr>
            <w:r>
              <w:rPr>
                <w:rFonts w:ascii="Calibri" w:hAnsi="Calibri"/>
                <w:color w:val="000000"/>
                <w:sz w:val="22"/>
              </w:rPr>
              <w:t>2.</w:t>
            </w:r>
            <w:r>
              <w:rPr>
                <w:rFonts w:ascii="Calibri" w:hAnsi="Calibri"/>
                <w:color w:val="000000"/>
                <w:sz w:val="22"/>
              </w:rPr>
              <w:tab/>
              <w:t>У дітей з ознаками та симптомами легеневого ТБ в якості первинного діагностичного тесту для виявлення ТБ та резистентності до рифампіцину у мокротинні, шлунковому аспіраті, аспіраті носоглотки та калі слід застосовувати тест Xpert MTB/RIF, а не мікроскопію мазка/бакпосів та фенотипічний ТМЧ.</w:t>
            </w:r>
          </w:p>
          <w:p w:rsidR="00ED665B" w:rsidRPr="00640824" w:rsidRDefault="006C7D2F" w:rsidP="00640824">
            <w:pPr>
              <w:ind w:left="616" w:right="452"/>
              <w:jc w:val="both"/>
              <w:rPr>
                <w:rFonts w:ascii="Calibri" w:hAnsi="Calibri" w:cs="Calibri"/>
                <w:i/>
                <w:iCs/>
              </w:rPr>
            </w:pPr>
            <w:r>
              <w:rPr>
                <w:rFonts w:ascii="Calibri" w:hAnsi="Calibri"/>
                <w:i/>
                <w:color w:val="000000"/>
                <w:sz w:val="22"/>
              </w:rPr>
              <w:t>(Сильна рекомендація, помірна якість доказових даних щодо точності тесту у мокротинні; низька якість доказових даних щодо точності тесту у шлунковому аспіраті, аспіраті носоглотки та калі)</w:t>
            </w:r>
          </w:p>
        </w:tc>
      </w:tr>
      <w:tr w:rsidR="00ED665B" w:rsidRPr="00907702" w:rsidTr="008E12CA">
        <w:trPr>
          <w:trHeight w:hRule="exact" w:val="1112"/>
        </w:trPr>
        <w:tc>
          <w:tcPr>
            <w:tcW w:w="9091" w:type="dxa"/>
            <w:tcBorders>
              <w:top w:val="single" w:sz="8" w:space="0" w:color="009649"/>
              <w:left w:val="nil"/>
              <w:bottom w:val="nil"/>
              <w:right w:val="nil"/>
            </w:tcBorders>
            <w:shd w:val="clear" w:color="auto" w:fill="FFFFFF"/>
            <w:vAlign w:val="bottom"/>
          </w:tcPr>
          <w:p w:rsidR="00640824" w:rsidRPr="00640824" w:rsidRDefault="00640824" w:rsidP="00640824">
            <w:pPr>
              <w:rPr>
                <w:rFonts w:ascii="Calibri" w:hAnsi="Calibri" w:cs="Calibri"/>
                <w:color w:val="000000"/>
                <w:sz w:val="16"/>
                <w:szCs w:val="16"/>
                <w:u w:val="single"/>
                <w:vertAlign w:val="superscript"/>
              </w:rPr>
            </w:pPr>
            <w:r>
              <w:rPr>
                <w:rFonts w:ascii="Calibri" w:hAnsi="Calibri"/>
                <w:color w:val="000000"/>
                <w:sz w:val="16"/>
                <w:u w:val="single"/>
                <w:vertAlign w:val="superscript"/>
              </w:rPr>
              <w:tab/>
            </w:r>
            <w:r>
              <w:rPr>
                <w:rFonts w:ascii="Calibri" w:hAnsi="Calibri"/>
                <w:color w:val="000000"/>
                <w:sz w:val="16"/>
                <w:u w:val="single"/>
                <w:vertAlign w:val="superscript"/>
              </w:rPr>
              <w:tab/>
            </w:r>
            <w:r>
              <w:rPr>
                <w:rFonts w:ascii="Calibri" w:hAnsi="Calibri"/>
                <w:color w:val="000000"/>
                <w:sz w:val="16"/>
                <w:u w:val="single"/>
                <w:vertAlign w:val="superscript"/>
              </w:rPr>
              <w:tab/>
            </w:r>
          </w:p>
          <w:p w:rsidR="00ED665B" w:rsidRPr="00907702" w:rsidRDefault="006C7D2F" w:rsidP="00640824">
            <w:pPr>
              <w:rPr>
                <w:rFonts w:ascii="Calibri" w:hAnsi="Calibri" w:cs="Calibri"/>
              </w:rPr>
            </w:pPr>
            <w:r>
              <w:rPr>
                <w:rFonts w:ascii="Calibri" w:hAnsi="Calibri"/>
                <w:color w:val="000000"/>
                <w:sz w:val="16"/>
                <w:vertAlign w:val="superscript"/>
              </w:rPr>
              <w:t>6</w:t>
            </w:r>
            <w:r>
              <w:rPr>
                <w:rFonts w:ascii="Calibri" w:hAnsi="Calibri"/>
                <w:color w:val="000000"/>
                <w:sz w:val="16"/>
              </w:rPr>
              <w:t xml:space="preserve"> Смертність, лікування, невдале попереднє лікування, час до діагностики, лікування та смертність у ЛЖВ.</w:t>
            </w:r>
          </w:p>
        </w:tc>
      </w:tr>
    </w:tbl>
    <w:p w:rsidR="00ED665B" w:rsidRPr="00907702" w:rsidRDefault="00ED665B" w:rsidP="00DC2656">
      <w:pPr>
        <w:rPr>
          <w:rFonts w:ascii="Calibri" w:hAnsi="Calibri" w:cs="Calibri"/>
        </w:rPr>
        <w:sectPr w:rsidR="00ED665B" w:rsidRPr="00907702">
          <w:footerReference w:type="default" r:id="rId33"/>
          <w:pgSz w:w="11904" w:h="16838"/>
          <w:pgMar w:top="2218" w:right="1411" w:bottom="1310" w:left="140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091"/>
      </w:tblGrid>
      <w:tr w:rsidR="00ED665B" w:rsidRPr="00907702" w:rsidTr="008E12CA">
        <w:trPr>
          <w:trHeight w:hRule="exact" w:val="5412"/>
        </w:trPr>
        <w:tc>
          <w:tcPr>
            <w:tcW w:w="9091"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640824">
            <w:pPr>
              <w:tabs>
                <w:tab w:val="left" w:pos="768"/>
              </w:tabs>
              <w:spacing w:before="120"/>
              <w:ind w:left="653" w:right="452" w:hanging="461"/>
              <w:jc w:val="both"/>
              <w:rPr>
                <w:rFonts w:ascii="Calibri" w:hAnsi="Calibri" w:cs="Calibri"/>
              </w:rPr>
            </w:pPr>
            <w:r>
              <w:rPr>
                <w:rFonts w:ascii="Calibri" w:hAnsi="Calibri"/>
                <w:color w:val="000000"/>
                <w:sz w:val="22"/>
              </w:rPr>
              <w:lastRenderedPageBreak/>
              <w:t>3.</w:t>
            </w:r>
            <w:r>
              <w:rPr>
                <w:rFonts w:ascii="Calibri" w:hAnsi="Calibri"/>
                <w:color w:val="000000"/>
                <w:sz w:val="22"/>
              </w:rPr>
              <w:tab/>
              <w:t xml:space="preserve">У дорослих людей з ознаками та симптомами легеневого ТБ та без захворювання на ТБ в анамнезі (≤5 років) або з віддаленим анамнезом лікування ТБ (&gt; 5 років з моменту закінчення лікування) в якості первинного діагностичного тесту для виявлення ТБ та резистентності до рифампіцину у мокротинні слід використовувати тест Xpert Ultra, а не мікроскопію мазка/бакпосів та фенотипічний ТМЧ. </w:t>
            </w:r>
            <w:r w:rsidRPr="008E12CA">
              <w:rPr>
                <w:rFonts w:ascii="Calibri" w:hAnsi="Calibri"/>
                <w:i/>
                <w:color w:val="000000"/>
                <w:sz w:val="22"/>
              </w:rPr>
              <w:t>(Сильна рекомендація, висока якість доказових даних щодо точності тесту)</w:t>
            </w:r>
          </w:p>
          <w:p w:rsidR="00ED665B" w:rsidRPr="00907702" w:rsidRDefault="006C7D2F" w:rsidP="00640824">
            <w:pPr>
              <w:tabs>
                <w:tab w:val="left" w:pos="768"/>
              </w:tabs>
              <w:spacing w:before="120"/>
              <w:ind w:left="653" w:right="452" w:hanging="461"/>
              <w:jc w:val="both"/>
              <w:rPr>
                <w:rFonts w:ascii="Calibri" w:hAnsi="Calibri" w:cs="Calibri"/>
              </w:rPr>
            </w:pPr>
            <w:r>
              <w:rPr>
                <w:rFonts w:ascii="Calibri" w:hAnsi="Calibri"/>
                <w:color w:val="000000"/>
                <w:sz w:val="22"/>
              </w:rPr>
              <w:t>4.</w:t>
            </w:r>
            <w:r>
              <w:rPr>
                <w:rFonts w:ascii="Calibri" w:hAnsi="Calibri"/>
                <w:color w:val="000000"/>
                <w:sz w:val="22"/>
              </w:rPr>
              <w:tab/>
              <w:t xml:space="preserve">У дорослих з ознаками та симптомами легеневого ТБ та із захворюванням на ТБ в анамнезі та закінченням лікування протягом останніх 5 років в якості первинного діагностичного тесту на ТБ та для виявлення резистентності до рифампіцину у мокротинні може використовуватися тест Xpert Ultra, а не мікроскопія мазка/бакпосів та фенотипічний ТМЧ. </w:t>
            </w:r>
            <w:r w:rsidRPr="008E12CA">
              <w:rPr>
                <w:rFonts w:ascii="Calibri" w:hAnsi="Calibri"/>
                <w:i/>
                <w:color w:val="000000"/>
                <w:sz w:val="22"/>
              </w:rPr>
              <w:t>(Умовна рекомендація, низька якість доказових даних щодо точності тесту)</w:t>
            </w:r>
          </w:p>
          <w:p w:rsidR="00ED665B" w:rsidRPr="00907702" w:rsidRDefault="006C7D2F" w:rsidP="00640824">
            <w:pPr>
              <w:tabs>
                <w:tab w:val="left" w:pos="768"/>
              </w:tabs>
              <w:spacing w:before="120"/>
              <w:ind w:left="653" w:right="452" w:hanging="461"/>
              <w:jc w:val="both"/>
              <w:rPr>
                <w:rFonts w:ascii="Calibri" w:hAnsi="Calibri" w:cs="Calibri"/>
              </w:rPr>
            </w:pPr>
            <w:r>
              <w:rPr>
                <w:rFonts w:ascii="Calibri" w:hAnsi="Calibri"/>
                <w:color w:val="000000"/>
                <w:sz w:val="22"/>
              </w:rPr>
              <w:t>5.</w:t>
            </w:r>
            <w:r>
              <w:rPr>
                <w:rFonts w:ascii="Calibri" w:hAnsi="Calibri"/>
                <w:color w:val="000000"/>
                <w:sz w:val="22"/>
              </w:rPr>
              <w:tab/>
              <w:t xml:space="preserve">У дітей з ознаками та симптомами легеневого ТБ слід застосовувати тест Xpert Ultra, а не мікроскопію мазка/бакпосів та фенотипічний ТМЧ, в якості первинного діагностичного тесту на виявлення ТБ та резистентності до рифампіцину у мокротинні або аспіраті носоглотки. </w:t>
            </w:r>
            <w:r w:rsidRPr="008E12CA">
              <w:rPr>
                <w:rFonts w:ascii="Calibri" w:hAnsi="Calibri"/>
                <w:i/>
                <w:color w:val="000000"/>
                <w:sz w:val="22"/>
              </w:rPr>
              <w:t>(Сильна рекомендація, низька якість доказових даних щодо точності тесту у мокротинні; дуже низька якість доказових даних щодо точності тесту в аспіраті носоглотки)</w:t>
            </w:r>
          </w:p>
        </w:tc>
      </w:tr>
      <w:tr w:rsidR="00ED665B" w:rsidRPr="00907702" w:rsidTr="00640824">
        <w:trPr>
          <w:trHeight w:hRule="exact" w:val="182"/>
        </w:trPr>
        <w:tc>
          <w:tcPr>
            <w:tcW w:w="9091" w:type="dxa"/>
            <w:tcBorders>
              <w:top w:val="single" w:sz="8" w:space="0" w:color="009649"/>
              <w:left w:val="nil"/>
              <w:bottom w:val="nil"/>
              <w:right w:val="nil"/>
            </w:tcBorders>
            <w:shd w:val="clear" w:color="auto" w:fill="FFFFFF"/>
          </w:tcPr>
          <w:p w:rsidR="00ED665B" w:rsidRPr="00907702" w:rsidRDefault="00ED665B" w:rsidP="00DC2656">
            <w:pPr>
              <w:rPr>
                <w:rFonts w:ascii="Calibri" w:hAnsi="Calibri" w:cs="Calibri"/>
              </w:rPr>
            </w:pPr>
          </w:p>
        </w:tc>
      </w:tr>
    </w:tbl>
    <w:p w:rsidR="00ED665B" w:rsidRPr="00907702" w:rsidRDefault="006C7D2F" w:rsidP="00DC2656">
      <w:pPr>
        <w:spacing w:before="298"/>
        <w:ind w:left="14"/>
        <w:rPr>
          <w:rFonts w:ascii="Calibri" w:hAnsi="Calibri" w:cs="Calibri"/>
        </w:rPr>
      </w:pPr>
      <w:r>
        <w:rPr>
          <w:rFonts w:ascii="Calibri" w:hAnsi="Calibri"/>
          <w:color w:val="000000"/>
          <w:sz w:val="24"/>
        </w:rPr>
        <w:t>Примітки</w:t>
      </w:r>
    </w:p>
    <w:p w:rsidR="00ED665B" w:rsidRPr="00907702" w:rsidRDefault="006C7D2F" w:rsidP="006A232C">
      <w:pPr>
        <w:spacing w:before="178"/>
        <w:ind w:left="14" w:right="5"/>
        <w:jc w:val="both"/>
        <w:rPr>
          <w:rFonts w:ascii="Calibri" w:hAnsi="Calibri" w:cs="Calibri"/>
        </w:rPr>
      </w:pPr>
      <w:r w:rsidRPr="008E12CA">
        <w:rPr>
          <w:rFonts w:ascii="Calibri" w:hAnsi="Calibri"/>
          <w:b/>
          <w:color w:val="000000"/>
          <w:sz w:val="22"/>
        </w:rPr>
        <w:t>Щодо рекомендації 2:</w:t>
      </w:r>
      <w:r>
        <w:rPr>
          <w:rFonts w:ascii="Calibri" w:hAnsi="Calibri"/>
          <w:color w:val="000000"/>
          <w:sz w:val="22"/>
        </w:rPr>
        <w:t xml:space="preserve"> Мокротиння може бути відхаркуване та індуковане. Наразі існує недостатня кількість досліджень, що оцінюють вплив тесту Xpert MTB/RIF на результати у дітей. Вибір зразка залежатиме від прийнятності (для дітей, батьків, працівників охорони здоров’я та інших зацікавлених сторін) та доцільності збору та підготовки зразків у місцевому контексті. Щодо Xpert MTB/RIF, то якість доказових даних для мокротиння та аспіратів носоглотки вища, ніж для інших типів зразків. Цю рекомендацію можна екстраполювати на дітей, які живуть з ВІЛ. Пряма користь від тестування на резистентність до рифампіцину у мокротинні (дуже низька якість доказових даних щодо точності тесту) може бути екстрапольована на інші зразки.</w:t>
      </w:r>
    </w:p>
    <w:p w:rsidR="00ED665B" w:rsidRPr="00907702" w:rsidRDefault="006C7D2F" w:rsidP="006A232C">
      <w:pPr>
        <w:spacing w:before="211"/>
        <w:ind w:left="14"/>
        <w:jc w:val="both"/>
        <w:rPr>
          <w:rFonts w:ascii="Calibri" w:hAnsi="Calibri" w:cs="Calibri"/>
        </w:rPr>
      </w:pPr>
      <w:r w:rsidRPr="008E12CA">
        <w:rPr>
          <w:rFonts w:ascii="Calibri" w:hAnsi="Calibri"/>
          <w:b/>
          <w:color w:val="000000"/>
          <w:sz w:val="22"/>
        </w:rPr>
        <w:t>Щодо рекомендації 4:</w:t>
      </w:r>
      <w:r>
        <w:rPr>
          <w:rFonts w:ascii="Calibri" w:hAnsi="Calibri"/>
          <w:color w:val="000000"/>
          <w:sz w:val="22"/>
        </w:rPr>
        <w:t xml:space="preserve"> Обґрунтування умовної рекомендації базується на таких аспектах:</w:t>
      </w:r>
    </w:p>
    <w:p w:rsidR="00ED665B" w:rsidRPr="00907702" w:rsidRDefault="006C7D2F" w:rsidP="006A232C">
      <w:pPr>
        <w:numPr>
          <w:ilvl w:val="0"/>
          <w:numId w:val="2"/>
        </w:numPr>
        <w:tabs>
          <w:tab w:val="left" w:pos="254"/>
        </w:tabs>
        <w:spacing w:before="96"/>
        <w:ind w:left="14"/>
        <w:jc w:val="both"/>
        <w:rPr>
          <w:rFonts w:ascii="Calibri" w:hAnsi="Calibri" w:cs="Calibri"/>
          <w:color w:val="009649"/>
          <w:sz w:val="22"/>
          <w:szCs w:val="22"/>
        </w:rPr>
      </w:pPr>
      <w:r>
        <w:rPr>
          <w:rFonts w:ascii="Calibri" w:hAnsi="Calibri"/>
          <w:color w:val="000000"/>
          <w:sz w:val="22"/>
        </w:rPr>
        <w:t>низька якість доказових даних щодо точності тесту;</w:t>
      </w:r>
    </w:p>
    <w:p w:rsidR="00ED665B" w:rsidRPr="00907702" w:rsidRDefault="006C7D2F" w:rsidP="006A232C">
      <w:pPr>
        <w:numPr>
          <w:ilvl w:val="0"/>
          <w:numId w:val="2"/>
        </w:numPr>
        <w:tabs>
          <w:tab w:val="left" w:pos="254"/>
        </w:tabs>
        <w:ind w:left="254" w:hanging="240"/>
        <w:jc w:val="both"/>
        <w:rPr>
          <w:rFonts w:ascii="Calibri" w:hAnsi="Calibri" w:cs="Calibri"/>
          <w:color w:val="009649"/>
          <w:sz w:val="22"/>
          <w:szCs w:val="22"/>
        </w:rPr>
      </w:pPr>
      <w:r>
        <w:rPr>
          <w:rFonts w:ascii="Calibri" w:hAnsi="Calibri"/>
          <w:color w:val="000000"/>
          <w:sz w:val="22"/>
        </w:rPr>
        <w:t>невизначеність щодо інтерпретації результатів Xpert Ultra у пацієнтів із захворюванням в анамнезі та пов’язаним з цим високим рівнем ймовірності хибнопозитивних результатів; і</w:t>
      </w:r>
    </w:p>
    <w:p w:rsidR="00ED665B" w:rsidRPr="00907702" w:rsidRDefault="006C7D2F" w:rsidP="006A232C">
      <w:pPr>
        <w:numPr>
          <w:ilvl w:val="0"/>
          <w:numId w:val="2"/>
        </w:numPr>
        <w:tabs>
          <w:tab w:val="left" w:pos="254"/>
        </w:tabs>
        <w:ind w:left="14"/>
        <w:jc w:val="both"/>
        <w:rPr>
          <w:rFonts w:ascii="Calibri" w:hAnsi="Calibri" w:cs="Calibri"/>
          <w:color w:val="009649"/>
          <w:sz w:val="22"/>
          <w:szCs w:val="22"/>
        </w:rPr>
      </w:pPr>
      <w:r>
        <w:rPr>
          <w:rFonts w:ascii="Calibri" w:hAnsi="Calibri"/>
          <w:color w:val="000000"/>
          <w:sz w:val="22"/>
        </w:rPr>
        <w:t>невизначеність необхідних ресурсів.</w:t>
      </w:r>
    </w:p>
    <w:p w:rsidR="00ED665B" w:rsidRPr="00907702" w:rsidRDefault="006C7D2F" w:rsidP="006A232C">
      <w:pPr>
        <w:spacing w:before="163"/>
        <w:ind w:left="14" w:right="5"/>
        <w:jc w:val="both"/>
        <w:rPr>
          <w:rFonts w:ascii="Calibri" w:hAnsi="Calibri" w:cs="Calibri"/>
        </w:rPr>
      </w:pPr>
      <w:r>
        <w:rPr>
          <w:rFonts w:ascii="Calibri" w:hAnsi="Calibri"/>
          <w:color w:val="000000"/>
          <w:sz w:val="22"/>
        </w:rPr>
        <w:t>Для пацієнтів, які мають результати Xpert Ultra, рішення щодо початку лікування повинні враховувати клінічну картину та контекст пацієнта (в тому числі попередню історію лікування, ймовірність рецидиву та інші результати тесту).</w:t>
      </w:r>
    </w:p>
    <w:p w:rsidR="00ED665B" w:rsidRPr="00907702" w:rsidRDefault="00ED665B" w:rsidP="00DC2656">
      <w:pPr>
        <w:spacing w:before="163"/>
        <w:ind w:left="14" w:right="5"/>
        <w:jc w:val="both"/>
        <w:rPr>
          <w:rFonts w:ascii="Calibri" w:hAnsi="Calibri" w:cs="Calibri"/>
        </w:rPr>
        <w:sectPr w:rsidR="00ED665B" w:rsidRPr="00907702">
          <w:pgSz w:w="11904" w:h="16838"/>
          <w:pgMar w:top="1421" w:right="1411" w:bottom="3341" w:left="140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30"/>
      </w:tblGrid>
      <w:tr w:rsidR="00153807" w:rsidRPr="00153807" w:rsidTr="00153807">
        <w:trPr>
          <w:trHeight w:hRule="exact" w:val="850"/>
        </w:trPr>
        <w:tc>
          <w:tcPr>
            <w:tcW w:w="9130" w:type="dxa"/>
            <w:tcBorders>
              <w:top w:val="nil"/>
              <w:left w:val="nil"/>
              <w:bottom w:val="single" w:sz="8" w:space="0" w:color="009649"/>
              <w:right w:val="nil"/>
            </w:tcBorders>
            <w:shd w:val="clear" w:color="auto" w:fill="FFFFFF"/>
          </w:tcPr>
          <w:p w:rsidR="00ED665B" w:rsidRPr="0075369F" w:rsidRDefault="006C7D2F" w:rsidP="006A232C">
            <w:pPr>
              <w:ind w:right="48"/>
              <w:jc w:val="both"/>
              <w:rPr>
                <w:rFonts w:ascii="Calibri" w:hAnsi="Calibri" w:cs="Calibri"/>
                <w:b/>
                <w:i/>
                <w:iCs/>
                <w:color w:val="009649"/>
              </w:rPr>
            </w:pPr>
            <w:r w:rsidRPr="0075369F">
              <w:rPr>
                <w:rFonts w:ascii="Calibri" w:hAnsi="Calibri"/>
                <w:b/>
                <w:i/>
                <w:color w:val="009649"/>
                <w:sz w:val="24"/>
              </w:rPr>
              <w:lastRenderedPageBreak/>
              <w:t>Рекомендації щодо застосування Xpert MTB/RIF та Xpert Ultra в якості первинних тестів у дорослих та дітей з ознаками та симптомами позалегеневого ТБ</w:t>
            </w:r>
          </w:p>
        </w:tc>
      </w:tr>
      <w:tr w:rsidR="00ED665B" w:rsidRPr="00907702" w:rsidTr="008E12CA">
        <w:trPr>
          <w:trHeight w:hRule="exact" w:val="7952"/>
        </w:trPr>
        <w:tc>
          <w:tcPr>
            <w:tcW w:w="9130"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6A232C">
            <w:pPr>
              <w:tabs>
                <w:tab w:val="left" w:pos="768"/>
              </w:tabs>
              <w:spacing w:before="120"/>
              <w:ind w:left="653" w:right="211" w:hanging="461"/>
              <w:jc w:val="both"/>
              <w:rPr>
                <w:rFonts w:ascii="Calibri" w:hAnsi="Calibri" w:cs="Calibri"/>
              </w:rPr>
            </w:pPr>
            <w:r>
              <w:rPr>
                <w:rFonts w:ascii="Calibri" w:hAnsi="Calibri"/>
                <w:color w:val="000000"/>
                <w:sz w:val="22"/>
              </w:rPr>
              <w:t>6.</w:t>
            </w:r>
            <w:r>
              <w:rPr>
                <w:rFonts w:ascii="Calibri" w:hAnsi="Calibri"/>
                <w:color w:val="000000"/>
                <w:sz w:val="22"/>
              </w:rPr>
              <w:tab/>
              <w:t>У дорослих та дітей з ознаками та симптомами туберкульозного менінгіту в якості первинного діагностичного тесту на туберкульозний менінгіт слід застосовувати тест Xpert MTB/RIF або Xpert Ultra у спинномозковій рідині (СМР), а не мікроскопію мазка/бакпосів.</w:t>
            </w:r>
          </w:p>
          <w:p w:rsidR="00ED665B" w:rsidRPr="00153807" w:rsidRDefault="006C7D2F" w:rsidP="00153807">
            <w:pPr>
              <w:ind w:left="625" w:right="211"/>
              <w:rPr>
                <w:rFonts w:ascii="Calibri" w:hAnsi="Calibri" w:cs="Calibri"/>
                <w:i/>
                <w:iCs/>
              </w:rPr>
            </w:pPr>
            <w:r>
              <w:rPr>
                <w:rFonts w:ascii="Calibri" w:hAnsi="Calibri"/>
                <w:i/>
                <w:color w:val="000000"/>
                <w:sz w:val="22"/>
              </w:rPr>
              <w:t>(Сильна рекомендація, помірна якість доказових даних щодо точності тесту для Xpert MTB/RIF; низька якість доказових даних щодо точності тесту для Xpert Ultra)</w:t>
            </w:r>
          </w:p>
          <w:p w:rsidR="00ED665B" w:rsidRPr="00907702" w:rsidRDefault="006C7D2F" w:rsidP="006A232C">
            <w:pPr>
              <w:tabs>
                <w:tab w:val="left" w:pos="768"/>
              </w:tabs>
              <w:spacing w:before="120"/>
              <w:ind w:left="653" w:right="211" w:hanging="461"/>
              <w:jc w:val="both"/>
              <w:rPr>
                <w:rFonts w:ascii="Calibri" w:hAnsi="Calibri" w:cs="Calibri"/>
              </w:rPr>
            </w:pPr>
            <w:r>
              <w:rPr>
                <w:rFonts w:ascii="Calibri" w:hAnsi="Calibri"/>
                <w:color w:val="000000"/>
                <w:sz w:val="22"/>
              </w:rPr>
              <w:t>7.</w:t>
            </w:r>
            <w:r>
              <w:rPr>
                <w:rFonts w:ascii="Calibri" w:hAnsi="Calibri"/>
                <w:color w:val="000000"/>
                <w:sz w:val="22"/>
              </w:rPr>
              <w:tab/>
              <w:t xml:space="preserve">У дорослих та дітей з ознаками та симптомами позалегеневого ТБ тест Xpert MTB/RIF, а не мікроскопія мазка/бакпосів, може застосовуватися в аспіраті лімфатичних вузлів, біопсії лімфатичних вузлів, плевральній рідині, перитонеальній рідині, перикардіальній рідині, синовіальній рідині або зразках сечі в якості первинного діагностичного тесту. </w:t>
            </w:r>
            <w:r w:rsidRPr="008E12CA">
              <w:rPr>
                <w:rFonts w:ascii="Calibri" w:hAnsi="Calibri"/>
                <w:i/>
                <w:color w:val="000000"/>
                <w:sz w:val="22"/>
              </w:rPr>
              <w:t>(Умовна рекомендація, помірна якість доказових даних щодо точності тесту у плевральній рідині; низька якість доказових даних для аспірату лімфатичних вузлів, перитонеальної рідини, синовіальної рідини, сечі; дуже низька якість доказових даних для перикардіальної рідини, біопсії лімфатичних вузлів)</w:t>
            </w:r>
          </w:p>
          <w:p w:rsidR="00ED665B" w:rsidRPr="00907702" w:rsidRDefault="006C7D2F" w:rsidP="006A232C">
            <w:pPr>
              <w:tabs>
                <w:tab w:val="left" w:pos="768"/>
              </w:tabs>
              <w:spacing w:before="120"/>
              <w:ind w:left="653" w:right="211" w:hanging="461"/>
              <w:jc w:val="both"/>
              <w:rPr>
                <w:rFonts w:ascii="Calibri" w:hAnsi="Calibri" w:cs="Calibri"/>
              </w:rPr>
            </w:pPr>
            <w:r>
              <w:rPr>
                <w:rFonts w:ascii="Calibri" w:hAnsi="Calibri"/>
                <w:color w:val="000000"/>
                <w:sz w:val="22"/>
              </w:rPr>
              <w:t>8.</w:t>
            </w:r>
            <w:r>
              <w:rPr>
                <w:rFonts w:ascii="Calibri" w:hAnsi="Calibri"/>
                <w:color w:val="000000"/>
                <w:sz w:val="22"/>
              </w:rPr>
              <w:tab/>
              <w:t>У дорослих та дітей з ознаками та симптомами позалегеневого ТБ тест Xpert Ultra, а не мікроскопія мазка/бакпосів, може застосовуватися в аспіраті та біопсії лімфатичних вузлів в якості первинного діагностичного тесту.</w:t>
            </w:r>
          </w:p>
          <w:p w:rsidR="00ED665B" w:rsidRPr="00153807" w:rsidRDefault="006C7D2F" w:rsidP="00153807">
            <w:pPr>
              <w:ind w:left="625"/>
              <w:rPr>
                <w:rFonts w:ascii="Calibri" w:hAnsi="Calibri" w:cs="Calibri"/>
                <w:i/>
                <w:iCs/>
              </w:rPr>
            </w:pPr>
            <w:r>
              <w:rPr>
                <w:rFonts w:ascii="Calibri" w:hAnsi="Calibri"/>
                <w:i/>
                <w:color w:val="000000"/>
                <w:sz w:val="22"/>
              </w:rPr>
              <w:t>(Умовна рекомендація, низька якість доказових даних)</w:t>
            </w:r>
          </w:p>
          <w:p w:rsidR="00ED665B" w:rsidRPr="00907702" w:rsidRDefault="006C7D2F" w:rsidP="006A232C">
            <w:pPr>
              <w:tabs>
                <w:tab w:val="left" w:pos="768"/>
              </w:tabs>
              <w:spacing w:before="120"/>
              <w:ind w:left="653" w:right="211" w:hanging="461"/>
              <w:jc w:val="both"/>
              <w:rPr>
                <w:rFonts w:ascii="Calibri" w:hAnsi="Calibri" w:cs="Calibri"/>
              </w:rPr>
            </w:pPr>
            <w:r>
              <w:rPr>
                <w:rFonts w:ascii="Calibri" w:hAnsi="Calibri"/>
                <w:color w:val="000000"/>
                <w:sz w:val="22"/>
              </w:rPr>
              <w:t>9.</w:t>
            </w:r>
            <w:r>
              <w:rPr>
                <w:rFonts w:ascii="Calibri" w:hAnsi="Calibri"/>
                <w:color w:val="000000"/>
                <w:sz w:val="22"/>
              </w:rPr>
              <w:tab/>
              <w:t>У дорослих та дітей з ознаками та симптомами позалегеневого ТБ для виявлення резистентності до рифампіцину слід застосовувати тест Xpert MTB/RIF або Xpert Ultra, а не культуральний та фенотипічний ТМЧ.</w:t>
            </w:r>
          </w:p>
          <w:p w:rsidR="00ED665B" w:rsidRPr="00153807" w:rsidRDefault="006C7D2F" w:rsidP="00153807">
            <w:pPr>
              <w:ind w:left="625" w:right="211"/>
              <w:rPr>
                <w:rFonts w:ascii="Calibri" w:hAnsi="Calibri" w:cs="Calibri"/>
                <w:i/>
                <w:iCs/>
              </w:rPr>
            </w:pPr>
            <w:r>
              <w:rPr>
                <w:rFonts w:ascii="Calibri" w:hAnsi="Calibri"/>
                <w:i/>
                <w:color w:val="000000"/>
                <w:sz w:val="22"/>
              </w:rPr>
              <w:t>(Сильна рекомендація, висока якість доказових даних щодо точності тесту для Xpert MTB/RIF; низька якість доказових даних для Xpert Ultra)</w:t>
            </w:r>
          </w:p>
          <w:p w:rsidR="00ED665B" w:rsidRPr="00907702" w:rsidRDefault="006C7D2F" w:rsidP="006A232C">
            <w:pPr>
              <w:tabs>
                <w:tab w:val="left" w:pos="768"/>
              </w:tabs>
              <w:spacing w:before="120"/>
              <w:ind w:left="653" w:right="211" w:hanging="461"/>
              <w:jc w:val="both"/>
              <w:rPr>
                <w:rFonts w:ascii="Calibri" w:hAnsi="Calibri" w:cs="Calibri"/>
              </w:rPr>
            </w:pPr>
            <w:r>
              <w:rPr>
                <w:rFonts w:ascii="Calibri" w:hAnsi="Calibri"/>
                <w:color w:val="000000"/>
                <w:sz w:val="22"/>
              </w:rPr>
              <w:t>10.</w:t>
            </w:r>
            <w:r>
              <w:rPr>
                <w:rFonts w:ascii="Calibri" w:hAnsi="Calibri"/>
                <w:color w:val="000000"/>
                <w:sz w:val="22"/>
              </w:rPr>
              <w:tab/>
              <w:t xml:space="preserve">У ВІЛ-позитивних дорослих та дітей з ознаками та симптомами дисемінованого ТБ тест Xpert MTB/RIF може використовуватися у крові в якості первинного діагностичного тесту на дисемінований ТБ. </w:t>
            </w:r>
            <w:r>
              <w:rPr>
                <w:rFonts w:ascii="Calibri" w:hAnsi="Calibri"/>
                <w:i/>
                <w:color w:val="000000"/>
                <w:sz w:val="22"/>
              </w:rPr>
              <w:t>(Умовна рекомендація, дуже низька якість доказових даних щодо точності тесту)</w:t>
            </w:r>
          </w:p>
        </w:tc>
      </w:tr>
    </w:tbl>
    <w:p w:rsidR="00ED665B" w:rsidRPr="00153807" w:rsidRDefault="006C7D2F" w:rsidP="00DC2656">
      <w:pPr>
        <w:spacing w:before="470"/>
        <w:ind w:left="14"/>
        <w:rPr>
          <w:rFonts w:ascii="Calibri" w:hAnsi="Calibri" w:cs="Calibri"/>
          <w:b/>
          <w:bCs/>
        </w:rPr>
      </w:pPr>
      <w:r>
        <w:rPr>
          <w:rFonts w:ascii="Calibri" w:hAnsi="Calibri"/>
          <w:b/>
          <w:color w:val="000000"/>
          <w:sz w:val="24"/>
        </w:rPr>
        <w:t>Примітки</w:t>
      </w:r>
    </w:p>
    <w:p w:rsidR="00ED665B" w:rsidRPr="00907702" w:rsidRDefault="006C7D2F" w:rsidP="00DC2656">
      <w:pPr>
        <w:spacing w:before="178"/>
        <w:ind w:left="14" w:right="43"/>
        <w:jc w:val="both"/>
        <w:rPr>
          <w:rFonts w:ascii="Calibri" w:hAnsi="Calibri" w:cs="Calibri"/>
        </w:rPr>
      </w:pPr>
      <w:r>
        <w:rPr>
          <w:rFonts w:ascii="Calibri" w:hAnsi="Calibri"/>
          <w:b/>
          <w:color w:val="000000"/>
          <w:sz w:val="22"/>
        </w:rPr>
        <w:t>Щодо рекомендації 6:</w:t>
      </w:r>
      <w:r>
        <w:rPr>
          <w:rFonts w:ascii="Calibri" w:hAnsi="Calibri"/>
          <w:color w:val="000000"/>
          <w:sz w:val="22"/>
        </w:rPr>
        <w:t xml:space="preserve"> Ця рекомендація стосується всіх пацієнтів з ознаками та симптомами туберкульозного менінгіту. Рекомендація для дітей з ознаками та симптомами туберкульозного менінгіту ґрунтується на дуже низькій якості доказових даних щодо точності тесту Xpert MTB/RIF. Немає даних про точність застосування Xpert Ultra для виявлення туберкульозного менінгіту у дітей.</w:t>
      </w:r>
    </w:p>
    <w:p w:rsidR="00ED665B" w:rsidRDefault="006C7D2F" w:rsidP="00153807">
      <w:pPr>
        <w:spacing w:before="168"/>
        <w:ind w:left="14" w:right="43"/>
        <w:jc w:val="both"/>
        <w:rPr>
          <w:rFonts w:ascii="Calibri" w:hAnsi="Calibri" w:cs="Calibri"/>
        </w:rPr>
      </w:pPr>
      <w:r>
        <w:rPr>
          <w:rFonts w:ascii="Calibri" w:hAnsi="Calibri"/>
          <w:b/>
          <w:color w:val="000000"/>
          <w:sz w:val="22"/>
        </w:rPr>
        <w:t>Щодо рекомендації 7:</w:t>
      </w:r>
      <w:r>
        <w:rPr>
          <w:rFonts w:ascii="Calibri" w:hAnsi="Calibri"/>
          <w:color w:val="000000"/>
          <w:sz w:val="22"/>
        </w:rPr>
        <w:t xml:space="preserve"> При призначенні лікування слід керуватися клінічним судженням та ймовірністю наявності хвороби до проведення тесту. В умовах високої ймовірності наявності хвороби до проведення тесту (&gt; 5%) негативний результат тесту не виключає наявності хвороби. Доступні дані щодо Xpert MTB/RIF для дітей включали аспірат лімфатичних вузлів та біопсію лімфатичних вузлів; враховуючи подібність ефектів, рекомендація для дорослих екстраполюється на дітей.</w:t>
      </w:r>
    </w:p>
    <w:p w:rsidR="00153807" w:rsidRPr="00907702" w:rsidRDefault="00153807" w:rsidP="00153807">
      <w:pPr>
        <w:spacing w:before="168"/>
        <w:ind w:right="43"/>
        <w:jc w:val="both"/>
        <w:rPr>
          <w:rFonts w:ascii="Calibri" w:hAnsi="Calibri" w:cs="Calibri"/>
        </w:rPr>
        <w:sectPr w:rsidR="00153807" w:rsidRPr="00907702">
          <w:footerReference w:type="default" r:id="rId34"/>
          <w:pgSz w:w="11904" w:h="16838"/>
          <w:pgMar w:top="1291" w:right="1373" w:bottom="2141" w:left="1402" w:header="720" w:footer="720" w:gutter="0"/>
          <w:cols w:space="60"/>
          <w:noEndnote/>
        </w:sectPr>
      </w:pPr>
    </w:p>
    <w:p w:rsidR="00ED665B" w:rsidRPr="00907702" w:rsidRDefault="006C7D2F" w:rsidP="00DC2656">
      <w:pPr>
        <w:ind w:left="14" w:right="10"/>
        <w:jc w:val="both"/>
        <w:rPr>
          <w:rFonts w:ascii="Calibri" w:hAnsi="Calibri" w:cs="Calibri"/>
        </w:rPr>
      </w:pPr>
      <w:r>
        <w:rPr>
          <w:rFonts w:ascii="Calibri" w:hAnsi="Calibri"/>
          <w:b/>
          <w:color w:val="000000"/>
          <w:sz w:val="22"/>
        </w:rPr>
        <w:lastRenderedPageBreak/>
        <w:t>Щодо рекомендації 8:</w:t>
      </w:r>
      <w:r>
        <w:rPr>
          <w:rFonts w:ascii="Calibri" w:hAnsi="Calibri"/>
          <w:color w:val="000000"/>
          <w:sz w:val="22"/>
        </w:rPr>
        <w:t xml:space="preserve"> Складений референс стандарт для Xpert Ultra дав аналогічні результати тому, коли аспірат лімфатичних вузлів порівнювався з біопсією лімфатичних вузлів.</w:t>
      </w:r>
    </w:p>
    <w:p w:rsidR="00ED665B" w:rsidRPr="00907702" w:rsidRDefault="006C7D2F" w:rsidP="00DC2656">
      <w:pPr>
        <w:spacing w:before="168"/>
        <w:ind w:left="14" w:right="5"/>
        <w:jc w:val="both"/>
        <w:rPr>
          <w:rFonts w:ascii="Calibri" w:hAnsi="Calibri" w:cs="Calibri"/>
        </w:rPr>
      </w:pPr>
      <w:r>
        <w:rPr>
          <w:rFonts w:ascii="Calibri" w:hAnsi="Calibri"/>
          <w:b/>
          <w:color w:val="000000"/>
          <w:sz w:val="22"/>
        </w:rPr>
        <w:t>Щодо рекомендації 9:</w:t>
      </w:r>
      <w:r>
        <w:rPr>
          <w:rFonts w:ascii="Calibri" w:hAnsi="Calibri"/>
          <w:color w:val="000000"/>
          <w:sz w:val="22"/>
        </w:rPr>
        <w:t xml:space="preserve"> При призначенні лікування слід керуватися клінічним судженням та ймовірністю наявності хвороби до проведення тесту. В умовах високої ймовірності наявності хвороби до проведення тесту негативний результат тесту не виключає наявності хвороби.</w:t>
      </w:r>
    </w:p>
    <w:p w:rsidR="00ED665B" w:rsidRPr="00907702" w:rsidRDefault="006C7D2F" w:rsidP="00DC2656">
      <w:pPr>
        <w:spacing w:before="168"/>
        <w:ind w:left="14" w:right="5"/>
        <w:jc w:val="both"/>
        <w:rPr>
          <w:rFonts w:ascii="Calibri" w:hAnsi="Calibri" w:cs="Calibri"/>
        </w:rPr>
      </w:pPr>
      <w:r>
        <w:rPr>
          <w:rFonts w:ascii="Calibri" w:hAnsi="Calibri"/>
          <w:b/>
          <w:color w:val="000000"/>
          <w:sz w:val="22"/>
        </w:rPr>
        <w:t xml:space="preserve">Щодо рекомендації 10: </w:t>
      </w:r>
      <w:r>
        <w:rPr>
          <w:rFonts w:ascii="Calibri" w:hAnsi="Calibri"/>
          <w:color w:val="000000"/>
          <w:sz w:val="22"/>
        </w:rPr>
        <w:t xml:space="preserve">На підставі одного дослідження з невеликою кількістю учасників кров оцінювали лише у людей, які живуть з ВІЛ (ЛЖВ) та за певними технологічними характеристиками </w:t>
      </w:r>
      <w:r w:rsidRPr="00E02100">
        <w:rPr>
          <w:rFonts w:ascii="Calibri" w:hAnsi="Calibri"/>
          <w:i/>
          <w:color w:val="000000"/>
          <w:sz w:val="22"/>
        </w:rPr>
        <w:t>(6)</w:t>
      </w:r>
      <w:r>
        <w:rPr>
          <w:rFonts w:ascii="Calibri" w:hAnsi="Calibri"/>
          <w:color w:val="000000"/>
          <w:sz w:val="22"/>
        </w:rPr>
        <w:t>, з використанням картриджів Xpert MTB/RIF третього покоління. Рекомендація стосується лише певної популяції (ВІЛ-позитивні дорослі з ознаками та симптомами дисемінованого ТБ). Члени ГРН не вважали екстраполювання цієї рекомендації на інші популяції пацієнтів прийнятним.</w:t>
      </w:r>
    </w:p>
    <w:p w:rsidR="00ED665B" w:rsidRPr="0075369F" w:rsidRDefault="006C7D2F" w:rsidP="00DC2656">
      <w:pPr>
        <w:spacing w:before="274"/>
        <w:ind w:left="14"/>
        <w:rPr>
          <w:rFonts w:ascii="Calibri" w:hAnsi="Calibri" w:cs="Calibri"/>
          <w:b/>
          <w:bCs/>
          <w:i/>
          <w:color w:val="009649"/>
          <w:sz w:val="22"/>
        </w:rPr>
      </w:pPr>
      <w:r w:rsidRPr="0075369F">
        <w:rPr>
          <w:rFonts w:ascii="Calibri" w:hAnsi="Calibri"/>
          <w:b/>
          <w:i/>
          <w:color w:val="009649"/>
          <w:sz w:val="24"/>
        </w:rPr>
        <w:t>Рекомендації щодо повторного тестування Xpert MTB/RIF та Xpert Ultra у дорослих та дітей з ознаками та симптомами легеневого ТБ</w:t>
      </w:r>
      <w:r w:rsidRPr="0075369F">
        <w:rPr>
          <w:rFonts w:ascii="Calibri" w:hAnsi="Calibri"/>
          <w:b/>
          <w:i/>
          <w:color w:val="009649"/>
          <w:sz w:val="24"/>
          <w:vertAlign w:val="superscript"/>
        </w:rPr>
        <w:t>7</w:t>
      </w:r>
    </w:p>
    <w:p w:rsidR="00ED665B" w:rsidRPr="0075369F" w:rsidRDefault="00ED665B" w:rsidP="00DC2656">
      <w:pPr>
        <w:spacing w:after="216"/>
        <w:rPr>
          <w:rFonts w:ascii="Calibri" w:hAnsi="Calibri" w:cs="Calibri"/>
          <w:b/>
          <w:bCs/>
          <w:i/>
          <w:color w:val="009649"/>
          <w:sz w:val="4"/>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091"/>
      </w:tblGrid>
      <w:tr w:rsidR="00ED665B" w:rsidRPr="00907702" w:rsidTr="008E12CA">
        <w:trPr>
          <w:trHeight w:hRule="exact" w:val="8014"/>
        </w:trPr>
        <w:tc>
          <w:tcPr>
            <w:tcW w:w="9091" w:type="dxa"/>
            <w:tcBorders>
              <w:top w:val="single" w:sz="8" w:space="0" w:color="009649"/>
              <w:left w:val="single" w:sz="8" w:space="0" w:color="009649"/>
              <w:bottom w:val="single" w:sz="8" w:space="0" w:color="009649"/>
              <w:right w:val="single" w:sz="8" w:space="0" w:color="009649"/>
            </w:tcBorders>
            <w:shd w:val="clear" w:color="auto" w:fill="FFFFFF"/>
          </w:tcPr>
          <w:p w:rsidR="00375B3E" w:rsidRDefault="006C7D2F" w:rsidP="00375B3E">
            <w:pPr>
              <w:tabs>
                <w:tab w:val="left" w:pos="768"/>
              </w:tabs>
              <w:spacing w:before="120"/>
              <w:ind w:left="653" w:right="310" w:hanging="461"/>
              <w:jc w:val="both"/>
              <w:rPr>
                <w:rFonts w:ascii="Calibri" w:hAnsi="Calibri" w:cs="Calibri"/>
                <w:color w:val="000000"/>
                <w:sz w:val="22"/>
                <w:szCs w:val="22"/>
              </w:rPr>
            </w:pPr>
            <w:r>
              <w:rPr>
                <w:rFonts w:ascii="Calibri" w:hAnsi="Calibri"/>
                <w:color w:val="000000"/>
                <w:sz w:val="22"/>
              </w:rPr>
              <w:t>11.</w:t>
            </w:r>
            <w:r>
              <w:rPr>
                <w:rFonts w:ascii="Calibri" w:hAnsi="Calibri"/>
                <w:color w:val="000000"/>
                <w:sz w:val="22"/>
              </w:rPr>
              <w:tab/>
              <w:t xml:space="preserve">У дорослих з ознаками та симптомами легеневого ТБ, які мають позитивні результати первинного тесту Xpert Ultra, повторне тестування з використанням тесту Xpert Ultra застосовувати не можна. </w:t>
            </w:r>
          </w:p>
          <w:p w:rsidR="00ED665B" w:rsidRPr="00375B3E" w:rsidRDefault="00375B3E" w:rsidP="00375B3E">
            <w:pPr>
              <w:tabs>
                <w:tab w:val="left" w:pos="768"/>
              </w:tabs>
              <w:ind w:left="653" w:right="310" w:hanging="320"/>
              <w:jc w:val="both"/>
              <w:rPr>
                <w:rFonts w:ascii="Calibri" w:hAnsi="Calibri" w:cs="Calibri"/>
                <w:i/>
                <w:iCs/>
              </w:rPr>
            </w:pPr>
            <w:r>
              <w:rPr>
                <w:rFonts w:ascii="Calibri" w:hAnsi="Calibri"/>
                <w:color w:val="000000"/>
                <w:sz w:val="22"/>
              </w:rPr>
              <w:tab/>
            </w:r>
            <w:r>
              <w:rPr>
                <w:rFonts w:ascii="Calibri" w:hAnsi="Calibri"/>
                <w:i/>
                <w:color w:val="000000"/>
                <w:sz w:val="22"/>
              </w:rPr>
              <w:t>(Умовна рекомендація, дуже низька якість доказових даних щодо точності тесту)</w:t>
            </w:r>
          </w:p>
          <w:p w:rsidR="00375B3E" w:rsidRDefault="006C7D2F" w:rsidP="00375B3E">
            <w:pPr>
              <w:tabs>
                <w:tab w:val="left" w:pos="768"/>
              </w:tabs>
              <w:spacing w:before="120"/>
              <w:ind w:left="653" w:right="310" w:hanging="461"/>
              <w:jc w:val="both"/>
              <w:rPr>
                <w:rFonts w:ascii="Calibri" w:hAnsi="Calibri" w:cs="Calibri"/>
                <w:color w:val="000000"/>
                <w:sz w:val="22"/>
                <w:szCs w:val="22"/>
                <w:vertAlign w:val="superscript"/>
              </w:rPr>
            </w:pPr>
            <w:r>
              <w:rPr>
                <w:rFonts w:ascii="Calibri" w:hAnsi="Calibri"/>
                <w:color w:val="000000"/>
                <w:sz w:val="22"/>
              </w:rPr>
              <w:t>12.</w:t>
            </w:r>
            <w:r>
              <w:rPr>
                <w:rFonts w:ascii="Calibri" w:hAnsi="Calibri"/>
                <w:color w:val="000000"/>
                <w:sz w:val="22"/>
              </w:rPr>
              <w:tab/>
              <w:t>У дітей з ознаками та симптомами легеневого туберкульозу в умовах зі ймовірністю наявності хвороби до проведення тесту нижче 5% та негативним результатом первинного тесту Xpert MTB/RIF повторне тестування Xpert MTB/RIF у зразках мокротиння, аспірату носоглотки чи кала проводити не можна.</w:t>
            </w:r>
            <w:r>
              <w:rPr>
                <w:rFonts w:ascii="Calibri" w:hAnsi="Calibri"/>
                <w:color w:val="000000"/>
                <w:sz w:val="22"/>
                <w:vertAlign w:val="superscript"/>
              </w:rPr>
              <w:t xml:space="preserve">8 </w:t>
            </w:r>
          </w:p>
          <w:p w:rsidR="00ED665B" w:rsidRPr="00375B3E" w:rsidRDefault="00375B3E" w:rsidP="00375B3E">
            <w:pPr>
              <w:tabs>
                <w:tab w:val="left" w:pos="768"/>
              </w:tabs>
              <w:ind w:left="653" w:right="310" w:hanging="461"/>
              <w:jc w:val="both"/>
              <w:rPr>
                <w:rFonts w:ascii="Calibri" w:hAnsi="Calibri" w:cs="Calibri"/>
                <w:i/>
                <w:iCs/>
              </w:rPr>
            </w:pPr>
            <w:r>
              <w:rPr>
                <w:rFonts w:ascii="Calibri" w:hAnsi="Calibri"/>
                <w:color w:val="000000"/>
                <w:sz w:val="22"/>
                <w:vertAlign w:val="superscript"/>
              </w:rPr>
              <w:tab/>
            </w:r>
            <w:r>
              <w:rPr>
                <w:rFonts w:ascii="Calibri" w:hAnsi="Calibri"/>
                <w:i/>
                <w:color w:val="000000"/>
                <w:sz w:val="22"/>
              </w:rPr>
              <w:t>(Умовна рекомендація, низька якість доказових даних щодо точності випробування у мокротинні і дуже низька в інших зразках)</w:t>
            </w:r>
          </w:p>
          <w:p w:rsidR="00375B3E" w:rsidRDefault="006C7D2F" w:rsidP="00375B3E">
            <w:pPr>
              <w:tabs>
                <w:tab w:val="left" w:pos="768"/>
              </w:tabs>
              <w:spacing w:before="120"/>
              <w:ind w:left="653" w:right="310" w:hanging="461"/>
              <w:jc w:val="both"/>
              <w:rPr>
                <w:rFonts w:ascii="Calibri" w:hAnsi="Calibri" w:cs="Calibri"/>
                <w:color w:val="000000"/>
                <w:sz w:val="22"/>
                <w:szCs w:val="22"/>
              </w:rPr>
            </w:pPr>
            <w:r>
              <w:rPr>
                <w:rFonts w:ascii="Calibri" w:hAnsi="Calibri"/>
                <w:color w:val="000000"/>
                <w:sz w:val="22"/>
              </w:rPr>
              <w:t>13.</w:t>
            </w:r>
            <w:r>
              <w:rPr>
                <w:rFonts w:ascii="Calibri" w:hAnsi="Calibri"/>
                <w:color w:val="000000"/>
                <w:sz w:val="22"/>
              </w:rPr>
              <w:tab/>
              <w:t xml:space="preserve">У дітей з ознаками та симптомами легеневого ТБ в умовах зі ймовірністю наявності хвороби до проведення тесту 5% або більше та негативним результатом Xpert MTB/RIF при первинному тесті може використовуватися повторне тестування з використанням тесту Xpert MTB/RIF (загалом два тести) у мокротинні, шлунковій рідині, аспіраті носоглотки чи калі. </w:t>
            </w:r>
          </w:p>
          <w:p w:rsidR="00ED665B" w:rsidRPr="00375B3E" w:rsidRDefault="00375B3E" w:rsidP="00375B3E">
            <w:pPr>
              <w:tabs>
                <w:tab w:val="left" w:pos="768"/>
              </w:tabs>
              <w:ind w:left="653" w:right="310" w:hanging="461"/>
              <w:jc w:val="both"/>
              <w:rPr>
                <w:rFonts w:ascii="Calibri" w:hAnsi="Calibri" w:cs="Calibri"/>
                <w:i/>
                <w:iCs/>
              </w:rPr>
            </w:pPr>
            <w:r>
              <w:rPr>
                <w:rFonts w:ascii="Calibri" w:hAnsi="Calibri"/>
                <w:color w:val="000000"/>
                <w:sz w:val="22"/>
              </w:rPr>
              <w:tab/>
            </w:r>
            <w:r>
              <w:rPr>
                <w:rFonts w:ascii="Calibri" w:hAnsi="Calibri"/>
                <w:i/>
                <w:color w:val="000000"/>
                <w:sz w:val="22"/>
              </w:rPr>
              <w:t>(Умовна рекомендація, низька якість доказових даних щодо точності випробування у мокротинні і дуже низька в інших зразках)</w:t>
            </w:r>
          </w:p>
          <w:p w:rsidR="00ED665B" w:rsidRPr="00907702" w:rsidRDefault="006C7D2F" w:rsidP="00375B3E">
            <w:pPr>
              <w:tabs>
                <w:tab w:val="left" w:pos="768"/>
              </w:tabs>
              <w:spacing w:before="120"/>
              <w:ind w:left="653" w:right="310" w:hanging="461"/>
              <w:jc w:val="both"/>
              <w:rPr>
                <w:rFonts w:ascii="Calibri" w:hAnsi="Calibri" w:cs="Calibri"/>
              </w:rPr>
            </w:pPr>
            <w:r>
              <w:rPr>
                <w:rFonts w:ascii="Calibri" w:hAnsi="Calibri"/>
                <w:color w:val="000000"/>
                <w:sz w:val="22"/>
              </w:rPr>
              <w:t>14.</w:t>
            </w:r>
            <w:r>
              <w:rPr>
                <w:rFonts w:ascii="Calibri" w:hAnsi="Calibri"/>
                <w:color w:val="000000"/>
                <w:sz w:val="22"/>
              </w:rPr>
              <w:tab/>
              <w:t xml:space="preserve">У дітей з ознаками та симптомами легеневого туберкульозу в умовах зі ймовірністю наявності хвороби до проведення тесту нижче 5% та негативним результатом первинного тесту Xpert Ultra повторне тестування Xpert Ultra у мокротинні або аспірату носоглотки застосовувати не можна. </w:t>
            </w:r>
            <w:r w:rsidRPr="008E12CA">
              <w:rPr>
                <w:rFonts w:ascii="Calibri" w:hAnsi="Calibri"/>
                <w:i/>
                <w:color w:val="000000"/>
                <w:sz w:val="22"/>
              </w:rPr>
              <w:t>(Умовна рекомендація, дуже низька якість доказових даних щодо точності тесту)</w:t>
            </w:r>
          </w:p>
          <w:p w:rsidR="00375B3E" w:rsidRDefault="006C7D2F" w:rsidP="00375B3E">
            <w:pPr>
              <w:tabs>
                <w:tab w:val="left" w:pos="768"/>
              </w:tabs>
              <w:spacing w:before="120"/>
              <w:ind w:left="653" w:right="310" w:hanging="461"/>
              <w:jc w:val="both"/>
              <w:rPr>
                <w:rFonts w:ascii="Calibri" w:hAnsi="Calibri" w:cs="Calibri"/>
                <w:color w:val="000000"/>
                <w:sz w:val="22"/>
                <w:szCs w:val="22"/>
              </w:rPr>
            </w:pPr>
            <w:r>
              <w:rPr>
                <w:rFonts w:ascii="Calibri" w:hAnsi="Calibri"/>
                <w:color w:val="000000"/>
                <w:sz w:val="22"/>
              </w:rPr>
              <w:t>15.</w:t>
            </w:r>
            <w:r>
              <w:rPr>
                <w:rFonts w:ascii="Calibri" w:hAnsi="Calibri"/>
                <w:color w:val="000000"/>
                <w:sz w:val="22"/>
              </w:rPr>
              <w:tab/>
              <w:t xml:space="preserve">У дітей з ознаками та симптомами легеневого туберкульозу в умовах зі ймовірністю наявності хвороби до проведення тесту 5% або більше та негативним результатом первинного тесту Xpert Ultra один повторний тест Xpert Ultra (загалом два тести) може використовуватися у зразках мокротиння та аспіраті носоглотки. </w:t>
            </w:r>
          </w:p>
          <w:p w:rsidR="00ED665B" w:rsidRPr="00375B3E" w:rsidRDefault="00375B3E" w:rsidP="00375B3E">
            <w:pPr>
              <w:tabs>
                <w:tab w:val="left" w:pos="768"/>
              </w:tabs>
              <w:ind w:left="653" w:right="310" w:hanging="461"/>
              <w:jc w:val="both"/>
              <w:rPr>
                <w:rFonts w:ascii="Calibri" w:hAnsi="Calibri" w:cs="Calibri"/>
                <w:i/>
                <w:iCs/>
              </w:rPr>
            </w:pPr>
            <w:r>
              <w:rPr>
                <w:rFonts w:ascii="Calibri" w:hAnsi="Calibri"/>
                <w:color w:val="000000"/>
                <w:sz w:val="22"/>
              </w:rPr>
              <w:tab/>
            </w:r>
            <w:r>
              <w:rPr>
                <w:rFonts w:ascii="Calibri" w:hAnsi="Calibri"/>
                <w:i/>
                <w:color w:val="000000"/>
                <w:sz w:val="22"/>
              </w:rPr>
              <w:t>(Умовна рекомендація, дуже низька якість доказових даних щодо точності тесту)</w:t>
            </w:r>
          </w:p>
        </w:tc>
      </w:tr>
      <w:tr w:rsidR="00ED665B" w:rsidRPr="00907702" w:rsidTr="008E12CA">
        <w:trPr>
          <w:trHeight w:hRule="exact" w:val="1126"/>
        </w:trPr>
        <w:tc>
          <w:tcPr>
            <w:tcW w:w="9091" w:type="dxa"/>
            <w:tcBorders>
              <w:top w:val="single" w:sz="8" w:space="0" w:color="009649"/>
              <w:left w:val="nil"/>
              <w:bottom w:val="nil"/>
              <w:right w:val="nil"/>
            </w:tcBorders>
            <w:shd w:val="clear" w:color="auto" w:fill="FFFFFF"/>
            <w:vAlign w:val="bottom"/>
          </w:tcPr>
          <w:p w:rsidR="00375B3E" w:rsidRPr="00375B3E" w:rsidRDefault="00375B3E" w:rsidP="00375B3E">
            <w:pPr>
              <w:rPr>
                <w:rFonts w:ascii="Calibri" w:hAnsi="Calibri" w:cs="Calibri"/>
                <w:color w:val="000000"/>
                <w:sz w:val="16"/>
                <w:szCs w:val="16"/>
                <w:u w:val="single"/>
              </w:rPr>
            </w:pPr>
            <w:r>
              <w:rPr>
                <w:rFonts w:ascii="Calibri" w:hAnsi="Calibri"/>
                <w:color w:val="000000"/>
                <w:sz w:val="16"/>
                <w:u w:val="single"/>
              </w:rPr>
              <w:tab/>
            </w:r>
            <w:r>
              <w:rPr>
                <w:rFonts w:ascii="Calibri" w:hAnsi="Calibri"/>
                <w:color w:val="000000"/>
                <w:sz w:val="16"/>
                <w:u w:val="single"/>
              </w:rPr>
              <w:tab/>
            </w:r>
            <w:r>
              <w:rPr>
                <w:rFonts w:ascii="Calibri" w:hAnsi="Calibri"/>
                <w:color w:val="000000"/>
                <w:sz w:val="16"/>
                <w:u w:val="single"/>
              </w:rPr>
              <w:tab/>
            </w:r>
          </w:p>
          <w:p w:rsidR="00ED665B" w:rsidRPr="00907702" w:rsidRDefault="006C7D2F" w:rsidP="00375B3E">
            <w:pPr>
              <w:tabs>
                <w:tab w:val="left" w:pos="235"/>
              </w:tabs>
              <w:rPr>
                <w:rFonts w:ascii="Calibri" w:hAnsi="Calibri" w:cs="Calibri"/>
              </w:rPr>
            </w:pPr>
            <w:r>
              <w:rPr>
                <w:rFonts w:ascii="Calibri" w:hAnsi="Calibri"/>
                <w:color w:val="000000"/>
                <w:sz w:val="16"/>
                <w:vertAlign w:val="superscript"/>
              </w:rPr>
              <w:t>7</w:t>
            </w:r>
            <w:r>
              <w:rPr>
                <w:rFonts w:ascii="Calibri" w:hAnsi="Calibri"/>
                <w:color w:val="000000"/>
                <w:sz w:val="16"/>
              </w:rPr>
              <w:tab/>
              <w:t>На підставі питань PICO 3 та 4.</w:t>
            </w:r>
          </w:p>
          <w:p w:rsidR="00ED665B" w:rsidRPr="00907702" w:rsidRDefault="006C7D2F" w:rsidP="00375B3E">
            <w:pPr>
              <w:tabs>
                <w:tab w:val="left" w:pos="235"/>
              </w:tabs>
              <w:rPr>
                <w:rFonts w:ascii="Calibri" w:hAnsi="Calibri" w:cs="Calibri"/>
              </w:rPr>
            </w:pPr>
            <w:r>
              <w:rPr>
                <w:rFonts w:ascii="Calibri" w:hAnsi="Calibri"/>
                <w:color w:val="000000"/>
                <w:sz w:val="16"/>
                <w:vertAlign w:val="superscript"/>
              </w:rPr>
              <w:t>8</w:t>
            </w:r>
            <w:r>
              <w:rPr>
                <w:rFonts w:ascii="Calibri" w:hAnsi="Calibri"/>
                <w:color w:val="000000"/>
                <w:sz w:val="16"/>
              </w:rPr>
              <w:tab/>
              <w:t>В умовах низької поширеності ефект другого тесту був менш вираженим.</w:t>
            </w:r>
          </w:p>
        </w:tc>
      </w:tr>
    </w:tbl>
    <w:p w:rsidR="00ED665B" w:rsidRPr="00907702" w:rsidRDefault="00ED665B" w:rsidP="00DC2656">
      <w:pPr>
        <w:rPr>
          <w:rFonts w:ascii="Calibri" w:hAnsi="Calibri" w:cs="Calibri"/>
        </w:rPr>
        <w:sectPr w:rsidR="00ED665B" w:rsidRPr="00907702">
          <w:pgSz w:w="11904" w:h="16838"/>
          <w:pgMar w:top="1334" w:right="1411" w:bottom="1162" w:left="1402" w:header="720" w:footer="720" w:gutter="0"/>
          <w:cols w:space="60"/>
          <w:noEndnote/>
        </w:sectPr>
      </w:pPr>
    </w:p>
    <w:p w:rsidR="00ED665B" w:rsidRPr="00375B3E" w:rsidRDefault="006C7D2F" w:rsidP="00DC2656">
      <w:pPr>
        <w:ind w:left="14"/>
        <w:rPr>
          <w:rFonts w:ascii="Calibri" w:hAnsi="Calibri" w:cs="Calibri"/>
          <w:b/>
          <w:bCs/>
        </w:rPr>
      </w:pPr>
      <w:r>
        <w:rPr>
          <w:rFonts w:ascii="Calibri" w:hAnsi="Calibri"/>
          <w:b/>
          <w:color w:val="000000"/>
          <w:sz w:val="24"/>
        </w:rPr>
        <w:lastRenderedPageBreak/>
        <w:t>Примітки</w:t>
      </w:r>
    </w:p>
    <w:p w:rsidR="00ED665B" w:rsidRPr="00907702" w:rsidRDefault="006C7D2F" w:rsidP="00DC2656">
      <w:pPr>
        <w:spacing w:before="178"/>
        <w:ind w:left="14" w:right="10"/>
        <w:jc w:val="both"/>
        <w:rPr>
          <w:rFonts w:ascii="Calibri" w:hAnsi="Calibri" w:cs="Calibri"/>
        </w:rPr>
      </w:pPr>
      <w:r>
        <w:rPr>
          <w:rFonts w:ascii="Calibri" w:hAnsi="Calibri"/>
          <w:b/>
          <w:color w:val="000000"/>
          <w:sz w:val="22"/>
        </w:rPr>
        <w:t>Щодо рекомендації 11:</w:t>
      </w:r>
      <w:r>
        <w:rPr>
          <w:rFonts w:ascii="Calibri" w:hAnsi="Calibri"/>
          <w:color w:val="000000"/>
          <w:sz w:val="22"/>
        </w:rPr>
        <w:t xml:space="preserve"> Результати Xpert Ultra потребують подальшого спостереження, включаючи повторну оцінку клінічних симптомів та інформацію про ТБ в анамнезі. У разі підозри на резистентність до рифампіцину повторне тестування може забезпечити додаткову користь для виявлення, а також початкову спробу оцінити резистентність до рифампіцину.</w:t>
      </w:r>
    </w:p>
    <w:p w:rsidR="00ED665B" w:rsidRPr="00907702" w:rsidRDefault="006C7D2F" w:rsidP="00DC2656">
      <w:pPr>
        <w:spacing w:before="168"/>
        <w:ind w:left="14"/>
        <w:jc w:val="both"/>
        <w:rPr>
          <w:rFonts w:ascii="Calibri" w:hAnsi="Calibri" w:cs="Calibri"/>
        </w:rPr>
      </w:pPr>
      <w:r>
        <w:rPr>
          <w:rFonts w:ascii="Calibri" w:hAnsi="Calibri"/>
          <w:b/>
          <w:color w:val="000000"/>
          <w:sz w:val="22"/>
        </w:rPr>
        <w:t xml:space="preserve">Щодо рекомендації 13: </w:t>
      </w:r>
      <w:r>
        <w:rPr>
          <w:rFonts w:ascii="Calibri" w:hAnsi="Calibri"/>
          <w:color w:val="000000"/>
          <w:sz w:val="22"/>
        </w:rPr>
        <w:t>ГРН вважає, що реалізація рекомендації залежить від прийнятності (для дітей, батьків чи осіб, що здійснюють догляд, працівників охорони здоров’я та інших зацікавлених сторін) та доцільності проведення повторного тестування у локальному контексті. Переглянуті дані оцінювали повторами одного і того самого тесту на однотипному зразку. Однак у даних, що переглядаються при порівнянні одиничних тестів на різних типах зразків, виявляється, що немає різниці, незалежно від того, який другий зразок отримано. Рекомендацію можна екстраполювати на дітей, які живуть з ВІЛ (для Xpert MTB/RIF). Це передбачає розгляд прямої користі від виявлення резистентності до рифампіцину в зразках мокротиння (дуже низька якість доказових даних щодо точності тесту), які, на думку ГРН, можна екстраполювати на інші зразки. Рекомендація стосується помірного або високого рівня ймовірності наявності хвороби до проведення тесту (&gt; 5%). Якщо результат першого тесту є позитивним, тест не слід повторювати. В умовах середньої та високої ймовірності наявності хвороби до проведення тесту інкрементальний результат більше, ніж двох тестів, невідомий.</w:t>
      </w:r>
    </w:p>
    <w:p w:rsidR="00ED665B" w:rsidRPr="00907702" w:rsidRDefault="006C7D2F" w:rsidP="00DC2656">
      <w:pPr>
        <w:spacing w:before="168"/>
        <w:ind w:left="14" w:right="5"/>
        <w:jc w:val="both"/>
        <w:rPr>
          <w:rFonts w:ascii="Calibri" w:hAnsi="Calibri" w:cs="Calibri"/>
        </w:rPr>
      </w:pPr>
      <w:r>
        <w:rPr>
          <w:rFonts w:ascii="Calibri" w:hAnsi="Calibri"/>
          <w:b/>
          <w:color w:val="000000"/>
          <w:sz w:val="22"/>
        </w:rPr>
        <w:t>Щодо рекомендації 15:</w:t>
      </w:r>
      <w:r>
        <w:rPr>
          <w:rFonts w:ascii="Calibri" w:hAnsi="Calibri"/>
          <w:color w:val="000000"/>
          <w:sz w:val="22"/>
        </w:rPr>
        <w:t xml:space="preserve"> Бажані та небажані явища були визнані помірними, але члени ГРН вважали тестування двічі при помірних та високих рівнях імовірності (&gt;5%) в цілому може забезпечити більше користі, ніж шкоди. Рекомендація застосовна для мокротиння та аспірату носоглотки. Не було виявлено даних для калу та шлункових аспіратів.</w:t>
      </w:r>
    </w:p>
    <w:p w:rsidR="00ED665B" w:rsidRPr="008E12CA" w:rsidRDefault="006C7D2F" w:rsidP="00DC2656">
      <w:pPr>
        <w:spacing w:before="274"/>
        <w:ind w:left="14"/>
        <w:rPr>
          <w:rFonts w:ascii="Calibri" w:hAnsi="Calibri" w:cs="Calibri"/>
          <w:b/>
          <w:bCs/>
          <w:i/>
          <w:color w:val="009649"/>
        </w:rPr>
      </w:pPr>
      <w:r w:rsidRPr="008E12CA">
        <w:rPr>
          <w:rFonts w:ascii="Calibri" w:hAnsi="Calibri"/>
          <w:b/>
          <w:i/>
          <w:color w:val="009649"/>
          <w:sz w:val="24"/>
        </w:rPr>
        <w:t>Рекомендації щодо Xpert MTB/RIF та Xpert Ultra в якості первинних тестів на виявлення легеневого ТБ серед загальної популяції дорослих, дорослих з ознаками та симптомами ТБ або рентгенограмою грудної клітки з патологіями легень, або обома</w:t>
      </w:r>
      <w:r w:rsidRPr="008E12CA">
        <w:rPr>
          <w:rFonts w:ascii="Calibri" w:hAnsi="Calibri"/>
          <w:b/>
          <w:i/>
          <w:color w:val="009649"/>
          <w:sz w:val="24"/>
          <w:vertAlign w:val="superscript"/>
        </w:rPr>
        <w:t>9</w:t>
      </w:r>
    </w:p>
    <w:p w:rsidR="00ED665B" w:rsidRPr="008E12CA" w:rsidRDefault="00ED665B" w:rsidP="00DC2656">
      <w:pPr>
        <w:spacing w:after="197"/>
        <w:rPr>
          <w:rFonts w:ascii="Calibri" w:hAnsi="Calibri" w:cs="Calibri"/>
          <w: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091"/>
      </w:tblGrid>
      <w:tr w:rsidR="00ED665B" w:rsidRPr="00907702" w:rsidTr="00375B3E">
        <w:trPr>
          <w:trHeight w:hRule="exact" w:val="3374"/>
        </w:trPr>
        <w:tc>
          <w:tcPr>
            <w:tcW w:w="9091"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375B3E">
            <w:pPr>
              <w:tabs>
                <w:tab w:val="left" w:pos="768"/>
              </w:tabs>
              <w:spacing w:before="120"/>
              <w:ind w:left="653" w:right="310" w:hanging="461"/>
              <w:jc w:val="both"/>
              <w:rPr>
                <w:rFonts w:ascii="Calibri" w:hAnsi="Calibri" w:cs="Calibri"/>
              </w:rPr>
            </w:pPr>
            <w:r>
              <w:rPr>
                <w:rFonts w:ascii="Calibri" w:hAnsi="Calibri"/>
                <w:color w:val="000000"/>
                <w:sz w:val="22"/>
              </w:rPr>
              <w:t>16.</w:t>
            </w:r>
            <w:r>
              <w:rPr>
                <w:rFonts w:ascii="Calibri" w:hAnsi="Calibri"/>
                <w:color w:val="000000"/>
                <w:sz w:val="22"/>
              </w:rPr>
              <w:tab/>
              <w:t>Серед загальної популяції дорослих, які мали ознаки або симптоми ТБ, або на рентгенографії органів грудної клітки яких спостерігаються патології легень, або обидва варіанти, Xpert MTB/RIF або Xpert Ultra може використовуватися замість посіву, який робиться в якості первинного тесту на легеневий ТБ.</w:t>
            </w:r>
          </w:p>
          <w:p w:rsidR="00ED665B" w:rsidRPr="00375B3E" w:rsidRDefault="006C7D2F" w:rsidP="00375B3E">
            <w:pPr>
              <w:ind w:left="616" w:right="310"/>
              <w:jc w:val="both"/>
              <w:rPr>
                <w:rFonts w:ascii="Calibri" w:hAnsi="Calibri" w:cs="Calibri"/>
                <w:i/>
                <w:iCs/>
              </w:rPr>
            </w:pPr>
            <w:r>
              <w:rPr>
                <w:rFonts w:ascii="Calibri" w:hAnsi="Calibri"/>
                <w:i/>
                <w:color w:val="000000"/>
                <w:sz w:val="22"/>
              </w:rPr>
              <w:t>(Умовна рекомендація, низька якість доказових даних щодо точності тесту для Xpert MTB/RIF та помірна якість доказових даних для Xpert Ultra)</w:t>
            </w:r>
          </w:p>
          <w:p w:rsidR="00375B3E" w:rsidRDefault="006C7D2F" w:rsidP="00375B3E">
            <w:pPr>
              <w:tabs>
                <w:tab w:val="left" w:pos="768"/>
              </w:tabs>
              <w:spacing w:before="120"/>
              <w:ind w:left="653" w:right="310" w:hanging="461"/>
              <w:jc w:val="both"/>
              <w:rPr>
                <w:rFonts w:ascii="Calibri" w:hAnsi="Calibri" w:cs="Calibri"/>
                <w:color w:val="000000"/>
                <w:sz w:val="22"/>
                <w:szCs w:val="22"/>
              </w:rPr>
            </w:pPr>
            <w:r>
              <w:rPr>
                <w:rFonts w:ascii="Calibri" w:hAnsi="Calibri"/>
                <w:color w:val="000000"/>
                <w:sz w:val="22"/>
              </w:rPr>
              <w:t>17.</w:t>
            </w:r>
            <w:r>
              <w:rPr>
                <w:rFonts w:ascii="Calibri" w:hAnsi="Calibri"/>
                <w:color w:val="000000"/>
                <w:sz w:val="22"/>
              </w:rPr>
              <w:tab/>
              <w:t xml:space="preserve">Серед загальної популяції дорослих, які або мали позитивний скрин симптомів ТБ, або на рентгенографії органів грудної клітки яких спостерігаються патології легень, або обидва варіанти, в якості первинного тесту на легеневий ТБ може бути використаний один, а не два тести Xpert Ultra. </w:t>
            </w:r>
          </w:p>
          <w:p w:rsidR="00ED665B" w:rsidRPr="00375B3E" w:rsidRDefault="00375B3E" w:rsidP="00375B3E">
            <w:pPr>
              <w:tabs>
                <w:tab w:val="left" w:pos="768"/>
              </w:tabs>
              <w:ind w:left="653" w:right="310" w:hanging="461"/>
              <w:jc w:val="both"/>
              <w:rPr>
                <w:rFonts w:ascii="Calibri" w:hAnsi="Calibri" w:cs="Calibri"/>
                <w:i/>
                <w:iCs/>
              </w:rPr>
            </w:pPr>
            <w:r>
              <w:rPr>
                <w:rFonts w:ascii="Calibri" w:hAnsi="Calibri"/>
                <w:color w:val="000000"/>
                <w:sz w:val="22"/>
              </w:rPr>
              <w:tab/>
            </w:r>
            <w:r>
              <w:rPr>
                <w:rFonts w:ascii="Calibri" w:hAnsi="Calibri"/>
                <w:i/>
                <w:color w:val="000000"/>
                <w:sz w:val="22"/>
              </w:rPr>
              <w:t>(Умовна рекомендація, дуже низька якість доказових даних щодо точності тесту)</w:t>
            </w:r>
          </w:p>
        </w:tc>
      </w:tr>
      <w:tr w:rsidR="00ED665B" w:rsidRPr="00907702" w:rsidTr="00375B3E">
        <w:trPr>
          <w:trHeight w:hRule="exact" w:val="1832"/>
        </w:trPr>
        <w:tc>
          <w:tcPr>
            <w:tcW w:w="9091" w:type="dxa"/>
            <w:tcBorders>
              <w:top w:val="single" w:sz="8" w:space="0" w:color="009649"/>
              <w:left w:val="nil"/>
              <w:bottom w:val="nil"/>
              <w:right w:val="nil"/>
            </w:tcBorders>
            <w:shd w:val="clear" w:color="auto" w:fill="FFFFFF"/>
            <w:vAlign w:val="bottom"/>
          </w:tcPr>
          <w:p w:rsidR="00375B3E" w:rsidRPr="00375B3E" w:rsidRDefault="00375B3E" w:rsidP="00375B3E">
            <w:pPr>
              <w:rPr>
                <w:rFonts w:ascii="Calibri" w:hAnsi="Calibri" w:cs="Calibri"/>
                <w:color w:val="000000"/>
                <w:sz w:val="16"/>
                <w:szCs w:val="16"/>
                <w:u w:val="single"/>
              </w:rPr>
            </w:pPr>
            <w:r>
              <w:rPr>
                <w:rFonts w:ascii="Calibri" w:hAnsi="Calibri"/>
                <w:color w:val="000000"/>
                <w:sz w:val="16"/>
                <w:u w:val="single"/>
              </w:rPr>
              <w:tab/>
            </w:r>
            <w:r>
              <w:rPr>
                <w:rFonts w:ascii="Calibri" w:hAnsi="Calibri"/>
                <w:color w:val="000000"/>
                <w:sz w:val="16"/>
                <w:u w:val="single"/>
              </w:rPr>
              <w:tab/>
            </w:r>
            <w:r>
              <w:rPr>
                <w:rFonts w:ascii="Calibri" w:hAnsi="Calibri"/>
                <w:color w:val="000000"/>
                <w:sz w:val="16"/>
                <w:u w:val="single"/>
              </w:rPr>
              <w:tab/>
            </w:r>
          </w:p>
          <w:p w:rsidR="00ED665B" w:rsidRPr="00907702" w:rsidRDefault="006C7D2F" w:rsidP="00375B3E">
            <w:pPr>
              <w:rPr>
                <w:rFonts w:ascii="Calibri" w:hAnsi="Calibri" w:cs="Calibri"/>
              </w:rPr>
            </w:pPr>
            <w:r>
              <w:rPr>
                <w:rFonts w:ascii="Calibri" w:hAnsi="Calibri"/>
                <w:color w:val="000000"/>
                <w:sz w:val="16"/>
                <w:vertAlign w:val="superscript"/>
              </w:rPr>
              <w:t>9</w:t>
            </w:r>
            <w:r>
              <w:rPr>
                <w:rFonts w:ascii="Calibri" w:hAnsi="Calibri"/>
                <w:color w:val="000000"/>
                <w:sz w:val="16"/>
              </w:rPr>
              <w:t xml:space="preserve"> На основі питання PICO 5.</w:t>
            </w:r>
          </w:p>
        </w:tc>
      </w:tr>
    </w:tbl>
    <w:p w:rsidR="00ED665B" w:rsidRPr="00907702" w:rsidRDefault="00ED665B" w:rsidP="00DC2656">
      <w:pPr>
        <w:rPr>
          <w:rFonts w:ascii="Calibri" w:hAnsi="Calibri" w:cs="Calibri"/>
        </w:rPr>
        <w:sectPr w:rsidR="00ED665B" w:rsidRPr="00907702">
          <w:pgSz w:w="11904" w:h="16838"/>
          <w:pgMar w:top="1382" w:right="1406" w:bottom="1330" w:left="1402" w:header="720" w:footer="720" w:gutter="0"/>
          <w:cols w:space="60"/>
          <w:noEndnote/>
        </w:sectPr>
      </w:pPr>
    </w:p>
    <w:p w:rsidR="00ED665B" w:rsidRPr="00375B3E" w:rsidRDefault="006C7D2F" w:rsidP="00DC2656">
      <w:pPr>
        <w:rPr>
          <w:rFonts w:ascii="Calibri" w:hAnsi="Calibri" w:cs="Calibri"/>
          <w:b/>
          <w:bCs/>
        </w:rPr>
      </w:pPr>
      <w:r>
        <w:rPr>
          <w:rFonts w:ascii="Calibri" w:hAnsi="Calibri"/>
          <w:b/>
          <w:color w:val="000000"/>
          <w:sz w:val="24"/>
        </w:rPr>
        <w:lastRenderedPageBreak/>
        <w:t>Примітки</w:t>
      </w:r>
    </w:p>
    <w:p w:rsidR="00ED665B" w:rsidRPr="00907702" w:rsidRDefault="006C7D2F" w:rsidP="00DC2656">
      <w:pPr>
        <w:spacing w:before="178"/>
        <w:ind w:right="5"/>
        <w:jc w:val="both"/>
        <w:rPr>
          <w:rFonts w:ascii="Calibri" w:hAnsi="Calibri" w:cs="Calibri"/>
        </w:rPr>
      </w:pPr>
      <w:r>
        <w:rPr>
          <w:rFonts w:ascii="Calibri" w:hAnsi="Calibri"/>
          <w:b/>
          <w:color w:val="000000"/>
          <w:sz w:val="22"/>
        </w:rPr>
        <w:t>Щодо рекомендації 16:</w:t>
      </w:r>
      <w:r>
        <w:rPr>
          <w:rFonts w:ascii="Calibri" w:hAnsi="Calibri"/>
          <w:color w:val="000000"/>
          <w:sz w:val="22"/>
        </w:rPr>
        <w:t xml:space="preserve"> Ця рекомендація була підтверджена даними нещодавніх національних досліджень стосовно поширеності захворюваності на ТБ у чотирьох країнах з високим тягарем ТБ. Опосередкованість даних була класифікована як серйозна, адже методи, застосовані у дослідженнях, мета яких – визначити рівень поширеності ТБ, відрізняються від звичайних програмних умов (наприклад, скрин симптомів, обмежений кашлем, що триває більше 14 днів, і вимога проведення досліджень, результат яких вимагає і скрин симптомів, і рентгенографії органів грудної клітки). Крім того, невідповідність даних також була класифікована як серйозна внаслідок мінливості даних різних країн. Як результат, визначеність в оцінках явища була знижена до низької для чутливості і помірної для специфічності. </w:t>
      </w:r>
      <w:r>
        <w:rPr>
          <w:rFonts w:ascii="Calibri" w:hAnsi="Calibri"/>
          <w:b/>
          <w:color w:val="000000"/>
          <w:sz w:val="22"/>
        </w:rPr>
        <w:t>Рекомендація стосується лише застосування Xpert MTB/RIF або Xpert Ultra для ведення клінічних випадків у ситуаціях, коли потрібно негайно прийняти рішення щодо лікування пацієнта, і застосовування додаткових тестів неможливе або викликає затримки.</w:t>
      </w:r>
      <w:r>
        <w:rPr>
          <w:rFonts w:ascii="Calibri" w:hAnsi="Calibri"/>
          <w:color w:val="000000"/>
          <w:sz w:val="22"/>
        </w:rPr>
        <w:t xml:space="preserve"> Це не стосується наукових досліджень з іншими цілями, такими як достовірна оцінка поширеності захворюваності на ТБ у громаді, для яких потрібні альтернативні алгоритми тестування (зокрема, для вирішення питання хибнопозитивних результатів, як це проілюстровано у </w:t>
      </w:r>
      <w:r>
        <w:rPr>
          <w:rFonts w:ascii="Calibri" w:hAnsi="Calibri"/>
          <w:color w:val="1B61AF"/>
          <w:sz w:val="22"/>
        </w:rPr>
        <w:t>Таблиці 1.17</w:t>
      </w:r>
      <w:r>
        <w:rPr>
          <w:rFonts w:ascii="Calibri" w:hAnsi="Calibri"/>
          <w:color w:val="000000"/>
          <w:sz w:val="22"/>
        </w:rPr>
        <w:t>). Рекомендації щодо алгоритмів скринінгу та діагностики, які слід використовувати в таких дослідженнях, виходять за межі повноважень цієї ГРН. Рекомендації щодо алгоритму діагностики, які слід рекомендувати у національних дослідженнях, що стосуються поширеності ТБ, спеціально розробляються ВООЗ і плануються до випуску в 2020 році.</w:t>
      </w:r>
    </w:p>
    <w:p w:rsidR="00ED665B" w:rsidRPr="00907702" w:rsidRDefault="006C7D2F" w:rsidP="00DC2656">
      <w:pPr>
        <w:spacing w:before="168"/>
        <w:jc w:val="both"/>
        <w:rPr>
          <w:rFonts w:ascii="Calibri" w:hAnsi="Calibri" w:cs="Calibri"/>
        </w:rPr>
      </w:pPr>
      <w:r>
        <w:rPr>
          <w:rFonts w:ascii="Calibri" w:hAnsi="Calibri"/>
          <w:b/>
          <w:color w:val="000000"/>
          <w:sz w:val="22"/>
        </w:rPr>
        <w:t>Щодо рекомендації 17:</w:t>
      </w:r>
      <w:r>
        <w:rPr>
          <w:rFonts w:ascii="Calibri" w:hAnsi="Calibri"/>
          <w:color w:val="000000"/>
          <w:sz w:val="22"/>
        </w:rPr>
        <w:t xml:space="preserve"> Виникають занепокоєння щодо втрати глобальної та національної спроможності до культурального тестування – нинішнього референс стандарту для виявлення випадків активної форми туберкульозу. Результат Xpert Ultra у цих дослідженнях вважався негативним. Більше хибнопозитивних результатів очікується при виконанні Xpert Ultra при легеневому ТБ. </w:t>
      </w:r>
      <w:r>
        <w:rPr>
          <w:rFonts w:ascii="Calibri" w:hAnsi="Calibri"/>
          <w:b/>
          <w:color w:val="000000"/>
          <w:sz w:val="22"/>
        </w:rPr>
        <w:t xml:space="preserve">Рекомендація стосується лише використання Xpert Ultra для ведення клінічних випадків. </w:t>
      </w:r>
      <w:r>
        <w:rPr>
          <w:rFonts w:ascii="Calibri" w:hAnsi="Calibri"/>
          <w:color w:val="000000"/>
          <w:sz w:val="22"/>
        </w:rPr>
        <w:t>У разі позитивного результату тесту Xpert Ultra слід проводити клінічне лікування відповідно до національних вказівок. Коли Xpert Ultra дає негативний результат, пацієнту слід повторно провести клінічне дослідження. У разі позитивного результату культурального дослідження слід проводити клінічне лікування відповідно до національних вказівок. У разі негативно вираженого результату культурального дослідження пацієнту слід повторно провести клінічні аналізи. Рекомендація не поширюється на наукові дослідження, які мають інші цілі, такі як достовірна оцінка поширеності захворюваності на ТБ у громаді, які можуть вимагати альтернативні алгоритми тестування (наприклад, використання більш ніж одного тесту). Рекомендації щодо алгоритмів діагностики, які будуть використовуватися в таких дослідженнях, виходять за межі повноважень цієї ГРН. Рекомендації щодо алгоритму діагностики, які слід рекомендувати у національних дослідженнях, що стосуються поширеності ТБ, спеціально розробляються ВООЗ і плануються до випуску в 2020 році.</w:t>
      </w:r>
    </w:p>
    <w:p w:rsidR="00ED665B" w:rsidRPr="00375B3E" w:rsidRDefault="006C7D2F" w:rsidP="00DC2656">
      <w:pPr>
        <w:spacing w:before="235"/>
        <w:rPr>
          <w:rFonts w:ascii="Calibri" w:hAnsi="Calibri" w:cs="Calibri"/>
          <w:b/>
          <w:bCs/>
          <w:color w:val="009649"/>
        </w:rPr>
      </w:pPr>
      <w:r>
        <w:rPr>
          <w:rFonts w:ascii="Calibri" w:hAnsi="Calibri"/>
          <w:b/>
          <w:color w:val="009649"/>
          <w:sz w:val="28"/>
        </w:rPr>
        <w:t>Описи тестів</w:t>
      </w:r>
    </w:p>
    <w:p w:rsidR="00ED665B" w:rsidRPr="00907702" w:rsidRDefault="006C7D2F" w:rsidP="00DC2656">
      <w:pPr>
        <w:spacing w:before="163"/>
        <w:ind w:right="5"/>
        <w:jc w:val="both"/>
        <w:rPr>
          <w:rFonts w:ascii="Calibri" w:hAnsi="Calibri" w:cs="Calibri"/>
        </w:rPr>
      </w:pPr>
      <w:r>
        <w:rPr>
          <w:rFonts w:ascii="Calibri" w:hAnsi="Calibri"/>
          <w:color w:val="000000"/>
          <w:sz w:val="22"/>
        </w:rPr>
        <w:t>Xpert MTB/RIF – це автоматизований ПЛР-тест (молекулярний тест), що працює на платформі GeneXpert (</w:t>
      </w:r>
      <w:r>
        <w:rPr>
          <w:rFonts w:ascii="Calibri" w:hAnsi="Calibri"/>
          <w:color w:val="1B61AF"/>
          <w:sz w:val="22"/>
        </w:rPr>
        <w:t>Рис. 2.1.1</w:t>
      </w:r>
      <w:r>
        <w:rPr>
          <w:rFonts w:ascii="Calibri" w:hAnsi="Calibri"/>
          <w:color w:val="000000"/>
          <w:sz w:val="22"/>
        </w:rPr>
        <w:t xml:space="preserve">). Xpert MTB/RIF – це єдиний тест, який може виявити як бактерії MTБК, так і резистентність до рифампіцину протягом 2 годин після початку тестування, з мінімальним технічним часом </w:t>
      </w:r>
      <w:r w:rsidRPr="00E02100">
        <w:rPr>
          <w:rFonts w:ascii="Calibri" w:hAnsi="Calibri"/>
          <w:i/>
          <w:color w:val="000000"/>
          <w:sz w:val="22"/>
        </w:rPr>
        <w:t>(7)</w:t>
      </w:r>
      <w:r>
        <w:rPr>
          <w:rFonts w:ascii="Calibri" w:hAnsi="Calibri"/>
          <w:color w:val="000000"/>
          <w:sz w:val="22"/>
        </w:rPr>
        <w:t>.</w:t>
      </w:r>
    </w:p>
    <w:p w:rsidR="00ED665B" w:rsidRPr="00907702" w:rsidRDefault="00ED665B" w:rsidP="00DC2656">
      <w:pPr>
        <w:spacing w:before="163"/>
        <w:ind w:right="5"/>
        <w:jc w:val="both"/>
        <w:rPr>
          <w:rFonts w:ascii="Calibri" w:hAnsi="Calibri" w:cs="Calibri"/>
        </w:rPr>
        <w:sectPr w:rsidR="00ED665B" w:rsidRPr="00907702">
          <w:pgSz w:w="11904" w:h="16838"/>
          <w:pgMar w:top="1382" w:right="1411" w:bottom="2568" w:left="1416" w:header="720" w:footer="720" w:gutter="0"/>
          <w:cols w:space="60"/>
          <w:noEndnote/>
        </w:sectPr>
      </w:pPr>
    </w:p>
    <w:p w:rsidR="00ED665B" w:rsidRPr="00375B3E" w:rsidRDefault="006C7D2F" w:rsidP="00DC2656">
      <w:pPr>
        <w:rPr>
          <w:rFonts w:ascii="Calibri" w:hAnsi="Calibri" w:cs="Calibri"/>
          <w:b/>
          <w:bCs/>
        </w:rPr>
      </w:pPr>
      <w:bookmarkStart w:id="6" w:name="bookmark7"/>
      <w:r>
        <w:rPr>
          <w:rFonts w:ascii="Calibri" w:hAnsi="Calibri"/>
          <w:b/>
          <w:color w:val="636466"/>
          <w:sz w:val="24"/>
        </w:rPr>
        <w:lastRenderedPageBreak/>
        <w:t>Р</w:t>
      </w:r>
      <w:bookmarkEnd w:id="6"/>
      <w:r>
        <w:rPr>
          <w:rFonts w:ascii="Calibri" w:hAnsi="Calibri"/>
          <w:b/>
          <w:color w:val="636466"/>
          <w:sz w:val="24"/>
        </w:rPr>
        <w:t>ис. 2.1.1. Чотиримодульний прилад GeneXpert та тестовий картридж Xpert MTB/RIF</w:t>
      </w:r>
    </w:p>
    <w:p w:rsidR="00ED665B" w:rsidRPr="00907702" w:rsidRDefault="00CD1F71" w:rsidP="00DC2656">
      <w:pPr>
        <w:spacing w:before="58"/>
        <w:ind w:left="58"/>
        <w:rPr>
          <w:rFonts w:ascii="Calibri" w:hAnsi="Calibri" w:cs="Calibri"/>
        </w:rPr>
      </w:pPr>
      <w:r>
        <w:rPr>
          <w:rFonts w:ascii="Calibri" w:hAnsi="Calibri"/>
          <w:noProof/>
          <w:lang w:val="en-US" w:bidi="ar-SA"/>
        </w:rPr>
        <w:drawing>
          <wp:inline distT="0" distB="0" distL="0" distR="0" wp14:anchorId="35FC4164" wp14:editId="2965599E">
            <wp:extent cx="5677535" cy="260032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7535" cy="2600325"/>
                    </a:xfrm>
                    <a:prstGeom prst="rect">
                      <a:avLst/>
                    </a:prstGeom>
                    <a:noFill/>
                    <a:ln>
                      <a:noFill/>
                    </a:ln>
                  </pic:spPr>
                </pic:pic>
              </a:graphicData>
            </a:graphic>
          </wp:inline>
        </w:drawing>
      </w:r>
    </w:p>
    <w:p w:rsidR="00ED665B" w:rsidRPr="00907702" w:rsidRDefault="006C7D2F" w:rsidP="00DC2656">
      <w:pPr>
        <w:spacing w:before="58"/>
        <w:rPr>
          <w:rFonts w:ascii="Calibri" w:hAnsi="Calibri" w:cs="Calibri"/>
        </w:rPr>
      </w:pPr>
      <w:r>
        <w:rPr>
          <w:rFonts w:ascii="Calibri" w:hAnsi="Calibri"/>
          <w:color w:val="000000"/>
          <w:sz w:val="16"/>
        </w:rPr>
        <w:t>Джерело: Відтворено з дозволу компанії «Cepheid», © 2021. Усі права захищені.</w:t>
      </w:r>
    </w:p>
    <w:p w:rsidR="00ED665B" w:rsidRPr="00907702" w:rsidRDefault="006C7D2F" w:rsidP="00DC2656">
      <w:pPr>
        <w:spacing w:before="312"/>
        <w:jc w:val="both"/>
        <w:rPr>
          <w:rFonts w:ascii="Calibri" w:hAnsi="Calibri" w:cs="Calibri"/>
        </w:rPr>
      </w:pPr>
      <w:r>
        <w:rPr>
          <w:rFonts w:ascii="Calibri" w:hAnsi="Calibri"/>
          <w:color w:val="000000"/>
          <w:sz w:val="22"/>
        </w:rPr>
        <w:t xml:space="preserve">В обробці зразків Xpert MTB/RIF, на відміну від звичайних тестів на ампліфікацію нуклеїнової кислоти (ТАНК), ампліфікація та виявлення ПЛР інтегровані у єдиний внутрішній тестовий блок, тобто картридж Xpert MTB/RIF. Після завантаження зразка всі етапи аналізу автоматизовані і проходять у картриджі. Крім того, реактив для проведення аналізу зразка, який використовується для зрідження мокротиння, є туберкулоцидним (тобто він має здатність вбивати бактерії ТБ), що значною мірою усуває занепокоєння щодо біобезпеки під час процедури тестування. Ці особливості дозволяють проводити аналіз не у центральній лабораторії або референс лабораторії, а ближче до пацієнтів. Однак Xpert MTB/RIF вимагає безперебійного та стабільного електропостачання, контролю температури та щорічного калібрування модулів приладу </w:t>
      </w:r>
      <w:r w:rsidRPr="006A232C">
        <w:rPr>
          <w:rFonts w:ascii="Calibri" w:hAnsi="Calibri"/>
          <w:i/>
          <w:color w:val="000000"/>
          <w:sz w:val="22"/>
        </w:rPr>
        <w:t>(8).</w:t>
      </w:r>
    </w:p>
    <w:p w:rsidR="00ED665B" w:rsidRPr="00907702" w:rsidRDefault="006C7D2F" w:rsidP="00DC2656">
      <w:pPr>
        <w:spacing w:before="168"/>
        <w:jc w:val="both"/>
        <w:rPr>
          <w:rFonts w:ascii="Calibri" w:hAnsi="Calibri" w:cs="Calibri"/>
        </w:rPr>
      </w:pPr>
      <w:r>
        <w:rPr>
          <w:rFonts w:ascii="Calibri" w:hAnsi="Calibri"/>
          <w:color w:val="000000"/>
          <w:sz w:val="22"/>
        </w:rPr>
        <w:t xml:space="preserve">Xpert Ultra використовує ту ж платформу GeneXpert, що й Xpert MTB/RIF; і його було розроблено компанією «Cepheid» в якості аналізу нового покоління для подолання обмежень чутливості для діагностики ТБ. Для підвищення чутливості аналізу для виявлення MTБК аналіз Xpert Ultra включає дві різні цілі ампліфікації мультикопій (IS6110 та IS1081) і має більшу камеру реакції ДНК, ніж Xpert MTB/RIF (50 мкл ПЛР в Xpert Ultra проти 25 мкл в Xpert MTB/RIF, </w:t>
      </w:r>
      <w:r>
        <w:rPr>
          <w:rFonts w:ascii="Calibri" w:hAnsi="Calibri"/>
          <w:color w:val="1B61AF"/>
          <w:sz w:val="22"/>
        </w:rPr>
        <w:t>Рис. 2.1.2</w:t>
      </w:r>
      <w:r>
        <w:rPr>
          <w:rFonts w:ascii="Calibri" w:hAnsi="Calibri"/>
          <w:color w:val="000000"/>
          <w:sz w:val="22"/>
        </w:rPr>
        <w:t xml:space="preserve">). Xpert Ultra також включає споріднені ампліфікації нуклеїнових кислот, більш швидкий термічний кругообіг та покращені флюїдики та ферменти. Результатом цього є те, що Xpert Ultra має обмеження у виявленні – до 16 колонієутворюючі одиниці (КУО) бактерій на мілілітр (порівняно з 114 КУО/мл для Xpert MTB/RIF). Для підвищення точності виявлення резистентності до рифампіцину тест Xpert Ultra використовує аналіз на основі температури плавлення. Зокрема, чотири зонди ідентифікують мутації резистентності до рифампіцину на ділянці, що визначає резистентність до рифампіцину гена </w:t>
      </w:r>
      <w:r w:rsidRPr="009D59CA">
        <w:rPr>
          <w:rFonts w:ascii="Calibri" w:hAnsi="Calibri"/>
          <w:i/>
          <w:color w:val="000000"/>
          <w:sz w:val="22"/>
        </w:rPr>
        <w:t>rpoB</w:t>
      </w:r>
      <w:r>
        <w:rPr>
          <w:rFonts w:ascii="Calibri" w:hAnsi="Calibri"/>
          <w:color w:val="000000"/>
          <w:sz w:val="22"/>
        </w:rPr>
        <w:t xml:space="preserve">, шляхом виявлення зрушень температури плавлення в стороні від дикого типу </w:t>
      </w:r>
      <w:r w:rsidRPr="006A232C">
        <w:rPr>
          <w:rFonts w:ascii="Calibri" w:hAnsi="Calibri"/>
          <w:i/>
          <w:color w:val="000000"/>
          <w:sz w:val="22"/>
        </w:rPr>
        <w:t>(9).</w:t>
      </w:r>
    </w:p>
    <w:p w:rsidR="00ED665B" w:rsidRPr="00907702" w:rsidRDefault="00ED665B" w:rsidP="00DC2656">
      <w:pPr>
        <w:spacing w:before="168"/>
        <w:jc w:val="both"/>
        <w:rPr>
          <w:rFonts w:ascii="Calibri" w:hAnsi="Calibri" w:cs="Calibri"/>
        </w:rPr>
        <w:sectPr w:rsidR="00ED665B" w:rsidRPr="00907702">
          <w:pgSz w:w="11904" w:h="16838"/>
          <w:pgMar w:top="1378" w:right="1416" w:bottom="3230" w:left="1416" w:header="720" w:footer="720" w:gutter="0"/>
          <w:cols w:space="60"/>
          <w:noEndnote/>
        </w:sectPr>
      </w:pPr>
    </w:p>
    <w:p w:rsidR="00ED665B" w:rsidRPr="0083735C" w:rsidRDefault="006C7D2F" w:rsidP="00DC2656">
      <w:pPr>
        <w:ind w:left="10"/>
        <w:rPr>
          <w:rFonts w:ascii="Calibri" w:hAnsi="Calibri" w:cs="Calibri"/>
          <w:b/>
          <w:sz w:val="22"/>
        </w:rPr>
      </w:pPr>
      <w:bookmarkStart w:id="7" w:name="bookmark8"/>
      <w:r w:rsidRPr="0083735C">
        <w:rPr>
          <w:rFonts w:ascii="Calibri" w:hAnsi="Calibri"/>
          <w:b/>
          <w:color w:val="636466"/>
          <w:sz w:val="24"/>
        </w:rPr>
        <w:lastRenderedPageBreak/>
        <w:t>Р</w:t>
      </w:r>
      <w:bookmarkEnd w:id="7"/>
      <w:r w:rsidRPr="0083735C">
        <w:rPr>
          <w:rFonts w:ascii="Calibri" w:hAnsi="Calibri"/>
          <w:b/>
          <w:color w:val="636466"/>
          <w:sz w:val="24"/>
        </w:rPr>
        <w:t>ис. 2.1.2. (a) Картридж Xpert MTB/RIF Ultra з реакційною пробіркою 50 мкл (зелена) та (б) картридж Xpert MTB/RIF з 25-мкл реакційною пробіркою (зелена)</w:t>
      </w:r>
    </w:p>
    <w:p w:rsidR="00ED665B" w:rsidRPr="00907702" w:rsidRDefault="00CD1F71" w:rsidP="00DC2656">
      <w:pPr>
        <w:spacing w:before="130"/>
        <w:ind w:left="53"/>
        <w:rPr>
          <w:rFonts w:ascii="Calibri" w:hAnsi="Calibri" w:cs="Calibri"/>
        </w:rPr>
      </w:pPr>
      <w:r>
        <w:rPr>
          <w:rFonts w:ascii="Calibri" w:hAnsi="Calibri"/>
          <w:noProof/>
          <w:lang w:val="en-US" w:bidi="ar-SA"/>
        </w:rPr>
        <w:drawing>
          <wp:inline distT="0" distB="0" distL="0" distR="0" wp14:anchorId="302BD665" wp14:editId="1CCCABEC">
            <wp:extent cx="5716905" cy="247269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6905" cy="2472690"/>
                    </a:xfrm>
                    <a:prstGeom prst="rect">
                      <a:avLst/>
                    </a:prstGeom>
                    <a:noFill/>
                    <a:ln>
                      <a:noFill/>
                    </a:ln>
                  </pic:spPr>
                </pic:pic>
              </a:graphicData>
            </a:graphic>
          </wp:inline>
        </w:drawing>
      </w:r>
    </w:p>
    <w:p w:rsidR="00ED665B" w:rsidRPr="00907702" w:rsidRDefault="006C7D2F" w:rsidP="00DC2656">
      <w:pPr>
        <w:spacing w:before="72"/>
        <w:ind w:left="5"/>
        <w:rPr>
          <w:rFonts w:ascii="Calibri" w:hAnsi="Calibri" w:cs="Calibri"/>
        </w:rPr>
      </w:pPr>
      <w:r>
        <w:rPr>
          <w:rFonts w:ascii="Calibri" w:hAnsi="Calibri"/>
          <w:color w:val="000000"/>
          <w:sz w:val="16"/>
        </w:rPr>
        <w:t>Джерело: Відтворено з дозволу компанії «Cepheid», © 2021. Усі права захищені.</w:t>
      </w:r>
    </w:p>
    <w:p w:rsidR="00ED665B" w:rsidRPr="0083735C" w:rsidRDefault="00640824" w:rsidP="00DC2656">
      <w:pPr>
        <w:spacing w:before="494"/>
        <w:ind w:left="5"/>
        <w:rPr>
          <w:rFonts w:ascii="Calibri" w:hAnsi="Calibri" w:cs="Calibri"/>
          <w:b/>
        </w:rPr>
      </w:pPr>
      <w:r w:rsidRPr="0083735C">
        <w:rPr>
          <w:rFonts w:ascii="Calibri" w:hAnsi="Calibri"/>
          <w:b/>
          <w:color w:val="009649"/>
          <w:sz w:val="28"/>
        </w:rPr>
        <w:t>Обґрунтування та дані</w:t>
      </w:r>
    </w:p>
    <w:p w:rsidR="00ED665B" w:rsidRPr="00907702" w:rsidRDefault="006C7D2F" w:rsidP="00DC2656">
      <w:pPr>
        <w:spacing w:before="168"/>
        <w:ind w:left="5"/>
        <w:jc w:val="both"/>
        <w:rPr>
          <w:rFonts w:ascii="Calibri" w:hAnsi="Calibri" w:cs="Calibri"/>
        </w:rPr>
      </w:pPr>
      <w:r>
        <w:rPr>
          <w:rFonts w:ascii="Calibri" w:hAnsi="Calibri"/>
          <w:color w:val="000000"/>
          <w:sz w:val="22"/>
        </w:rPr>
        <w:t>Глобальна програма боротьби з туберкульозом ВООЗ ініціювала оновлення керівництва та запровадила систематичний огляд на використання Xpert MTB/RIF та Xpert Ultra для діагностики ТБ у людей з ознаками та симптомами ТБ.</w:t>
      </w:r>
    </w:p>
    <w:p w:rsidR="00ED665B" w:rsidRPr="00907702" w:rsidRDefault="006C7D2F" w:rsidP="00DC2656">
      <w:pPr>
        <w:spacing w:before="163"/>
        <w:ind w:right="5"/>
        <w:jc w:val="both"/>
        <w:rPr>
          <w:rFonts w:ascii="Calibri" w:hAnsi="Calibri" w:cs="Calibri"/>
        </w:rPr>
      </w:pPr>
      <w:r>
        <w:rPr>
          <w:rFonts w:ascii="Calibri" w:hAnsi="Calibri"/>
          <w:color w:val="000000"/>
          <w:sz w:val="22"/>
        </w:rPr>
        <w:t>Питання щодо кількості населення, заходів, порівняння, результату (PICO) були розроблені, щоб створити основу для пошуку, зберігання та аналізу даних.</w:t>
      </w:r>
    </w:p>
    <w:p w:rsidR="00ED665B" w:rsidRPr="00907702" w:rsidRDefault="00F85B2E" w:rsidP="00F85B2E">
      <w:pPr>
        <w:spacing w:before="106"/>
        <w:rPr>
          <w:rFonts w:ascii="Calibri" w:hAnsi="Calibri" w:cs="Calibri"/>
        </w:rPr>
      </w:pPr>
      <w:r>
        <w:rPr>
          <w:rFonts w:ascii="Calibri" w:hAnsi="Calibri"/>
          <w:noProof/>
          <w:lang w:val="en-US" w:bidi="ar-SA"/>
        </w:rPr>
        <mc:AlternateContent>
          <mc:Choice Requires="wpg">
            <w:drawing>
              <wp:anchor distT="0" distB="0" distL="114300" distR="114300" simplePos="0" relativeHeight="251675648" behindDoc="0" locked="0" layoutInCell="1" allowOverlap="1" wp14:anchorId="77E87553" wp14:editId="2BE9E8F7">
                <wp:simplePos x="0" y="0"/>
                <wp:positionH relativeFrom="margin">
                  <wp:align>right</wp:align>
                </wp:positionH>
                <wp:positionV relativeFrom="paragraph">
                  <wp:posOffset>175024</wp:posOffset>
                </wp:positionV>
                <wp:extent cx="5779075" cy="2573079"/>
                <wp:effectExtent l="0" t="0" r="0" b="0"/>
                <wp:wrapNone/>
                <wp:docPr id="521" name="Группа 521"/>
                <wp:cNvGraphicFramePr/>
                <a:graphic xmlns:a="http://schemas.openxmlformats.org/drawingml/2006/main">
                  <a:graphicData uri="http://schemas.microsoft.com/office/word/2010/wordprocessingGroup">
                    <wpg:wgp>
                      <wpg:cNvGrpSpPr/>
                      <wpg:grpSpPr>
                        <a:xfrm>
                          <a:off x="0" y="0"/>
                          <a:ext cx="5779075" cy="2573079"/>
                          <a:chOff x="-112" y="162"/>
                          <a:chExt cx="5779632" cy="2413718"/>
                        </a:xfrm>
                      </wpg:grpSpPr>
                      <wps:wsp>
                        <wps:cNvPr id="522" name="Прямоугольник с двумя скругленными соседними углами 522"/>
                        <wps:cNvSpPr/>
                        <wps:spPr>
                          <a:xfrm rot="5400000">
                            <a:off x="1762151" y="-1603489"/>
                            <a:ext cx="2413718"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Прямоугольник с двумя скругленными соседними углами 523"/>
                        <wps:cNvSpPr/>
                        <wps:spPr>
                          <a:xfrm rot="5400000">
                            <a:off x="1286262" y="-1137529"/>
                            <a:ext cx="340793" cy="2913542"/>
                          </a:xfrm>
                          <a:prstGeom prst="round2SameRect">
                            <a:avLst>
                              <a:gd name="adj1" fmla="val 37520"/>
                              <a:gd name="adj2" fmla="val 0"/>
                            </a:avLst>
                          </a:prstGeom>
                          <a:solidFill>
                            <a:srgbClr val="0096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Надпись 524"/>
                        <wps:cNvSpPr txBox="1"/>
                        <wps:spPr>
                          <a:xfrm>
                            <a:off x="161888" y="219896"/>
                            <a:ext cx="5029200" cy="287020"/>
                          </a:xfrm>
                          <a:prstGeom prst="rect">
                            <a:avLst/>
                          </a:prstGeom>
                          <a:noFill/>
                          <a:ln w="6350">
                            <a:noFill/>
                          </a:ln>
                        </wps:spPr>
                        <wps:txbx>
                          <w:txbxContent>
                            <w:p w:rsidR="00BE6F5B" w:rsidRPr="00A3729E" w:rsidRDefault="00BE6F5B" w:rsidP="00375B3E">
                              <w:pPr>
                                <w:rPr>
                                  <w:rFonts w:asciiTheme="minorHAnsi" w:hAnsiTheme="minorHAnsi" w:cstheme="minorHAnsi"/>
                                </w:rPr>
                              </w:pPr>
                              <w:r>
                                <w:rPr>
                                  <w:rFonts w:asciiTheme="minorHAnsi" w:hAnsiTheme="minorHAnsi"/>
                                  <w:b/>
                                  <w:color w:val="FFFFFF"/>
                                  <w:sz w:val="22"/>
                                </w:rPr>
                                <w:t>Вставка 2.1.1. Питання та підпитання PICO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5" name="Надпись 525"/>
                        <wps:cNvSpPr txBox="1"/>
                        <wps:spPr>
                          <a:xfrm>
                            <a:off x="385172" y="570770"/>
                            <a:ext cx="5082363" cy="1810923"/>
                          </a:xfrm>
                          <a:prstGeom prst="rect">
                            <a:avLst/>
                          </a:prstGeom>
                          <a:noFill/>
                          <a:ln w="6350">
                            <a:noFill/>
                          </a:ln>
                        </wps:spPr>
                        <wps:txbx>
                          <w:txbxContent>
                            <w:p w:rsidR="00BE6F5B" w:rsidRPr="00F85B2E" w:rsidRDefault="00BE6F5B" w:rsidP="0083735C">
                              <w:pPr>
                                <w:spacing w:after="120"/>
                                <w:ind w:left="709" w:hanging="709"/>
                                <w:jc w:val="both"/>
                                <w:rPr>
                                  <w:rFonts w:ascii="Calibri" w:hAnsi="Calibri" w:cs="Calibri"/>
                                  <w:b/>
                                  <w:bCs/>
                                  <w:color w:val="000000"/>
                                </w:rPr>
                              </w:pPr>
                              <w:r>
                                <w:rPr>
                                  <w:rFonts w:ascii="Calibri" w:hAnsi="Calibri"/>
                                  <w:b/>
                                  <w:color w:val="000000"/>
                                </w:rPr>
                                <w:t xml:space="preserve">PICO 1: </w:t>
                              </w:r>
                              <w:r>
                                <w:rPr>
                                  <w:rFonts w:ascii="Calibri" w:hAnsi="Calibri"/>
                                  <w:b/>
                                  <w:color w:val="000000"/>
                                </w:rPr>
                                <w:tab/>
                                <w:t>Чи слід застосовувати Xpert MTB/RIF/Xpert Ultra серед дорослих людей з ознаками та симптомами легеневого ТБ у лікувальних закладах в якості первинного тесту для діагностики легеневого ТБ та резистентності до рифампіцину?</w:t>
                              </w:r>
                            </w:p>
                            <w:p w:rsidR="00BE6F5B" w:rsidRPr="00F85B2E" w:rsidRDefault="00BE6F5B" w:rsidP="008E12CA">
                              <w:pPr>
                                <w:spacing w:after="120"/>
                                <w:jc w:val="both"/>
                                <w:rPr>
                                  <w:rFonts w:ascii="Calibri" w:hAnsi="Calibri" w:cs="Calibri"/>
                                  <w:color w:val="000000"/>
                                </w:rPr>
                              </w:pPr>
                              <w:r>
                                <w:rPr>
                                  <w:rFonts w:ascii="Calibri" w:hAnsi="Calibri"/>
                                  <w:color w:val="000000"/>
                                </w:rPr>
                                <w:t>1.1. Яким є вплив Xpert MTB/RIF на важливі для пацієнта результати (виліковність, смертність, час діагностики та час початку лікування)?</w:t>
                              </w:r>
                            </w:p>
                            <w:p w:rsidR="00BE6F5B" w:rsidRPr="00F85B2E" w:rsidRDefault="00BE6F5B" w:rsidP="008E12CA">
                              <w:pPr>
                                <w:spacing w:after="120"/>
                                <w:jc w:val="both"/>
                                <w:rPr>
                                  <w:rFonts w:ascii="Calibri" w:hAnsi="Calibri" w:cs="Calibri"/>
                                  <w:color w:val="000000"/>
                                </w:rPr>
                              </w:pPr>
                              <w:r>
                                <w:rPr>
                                  <w:rFonts w:ascii="Calibri" w:hAnsi="Calibri"/>
                                  <w:color w:val="000000"/>
                                </w:rPr>
                                <w:t>1.1 Яка діагностична точність Xpert MTB/RIF у виявленні легеневого ТБ та резистентності до рифампіцину порівняно з референс стандартом мікробіологічного дослідження (МРС)?10</w:t>
                              </w:r>
                            </w:p>
                            <w:p w:rsidR="00BE6F5B" w:rsidRPr="00F85B2E" w:rsidRDefault="00BE6F5B" w:rsidP="008E12CA">
                              <w:pPr>
                                <w:spacing w:after="120"/>
                                <w:jc w:val="both"/>
                                <w:rPr>
                                  <w:rFonts w:asciiTheme="minorHAnsi" w:hAnsiTheme="minorHAnsi" w:cstheme="minorHAnsi"/>
                                </w:rPr>
                              </w:pPr>
                              <w:r>
                                <w:rPr>
                                  <w:rFonts w:ascii="Calibri" w:hAnsi="Calibri"/>
                                  <w:color w:val="000000"/>
                                </w:rPr>
                                <w:t>1.3 Яка діагностична точність Xpert Ultra щодо виявлення легеневого ТБ та резистентності до рифампіцину у порівнянні з МРС?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E87553" id="Группа 521" o:spid="_x0000_s1032" style="position:absolute;margin-left:403.85pt;margin-top:13.8pt;width:455.05pt;height:202.6pt;z-index:251675648;mso-position-horizontal:right;mso-position-horizontal-relative:margin;mso-width-relative:margin;mso-height-relative:margin" coordorigin="-1,1" coordsize="57796,2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">
                <v:shape id="Прямоугольник с двумя скругленными соседними углами 522" o:spid="_x0000_s1033" style="position:absolute;left:17621;top:-16035;width:24137;height:56210;rotation:90;visibility:visible;mso-wrap-style:square;v-text-anchor:middle" coordsize="2413718,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" path="m199446,l2214272,v110151,,199446,89295,199446,199446l2413718,5621020r,l,5621020r,l,199446c,89295,89295,,199446,xe" fillcolor="#c6e0ce" stroked="f" strokeweight="1pt">
                  <v:stroke joinstyle="miter"/>
                  <v:path arrowok="t" o:connecttype="custom" o:connectlocs="199446,0;2214272,0;2413718,199446;2413718,5621020;2413718,5621020;0,5621020;0,5621020;0,199446;199446,0" o:connectangles="0,0,0,0,0,0,0,0,0"/>
                </v:shape>
                <v:shape id="Прямоугольник с двумя скругленными соседними углами 523" o:spid="_x0000_s1034" style="position:absolute;left:12863;top:-11376;width:3408;height:29135;rotation:90;visibility:visible;mso-wrap-style:square;v-text-anchor:middle" coordsize="340793,29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" path="m127866,r85061,c283545,,340793,57248,340793,127866r,2785676l340793,2913542,,2913542r,l,127866c,57248,57248,,127866,xe" fillcolor="#009649" stroked="f" strokeweight="1pt">
                  <v:stroke joinstyle="miter"/>
                  <v:path arrowok="t" o:connecttype="custom" o:connectlocs="127866,0;212927,0;340793,127866;340793,2913542;340793,2913542;0,2913542;0,2913542;0,127866;127866,0" o:connectangles="0,0,0,0,0,0,0,0,0"/>
                </v:shape>
                <v:shape id="Надпись 524" o:spid="_x0000_s1035" type="#_x0000_t202" style="position:absolute;left:1618;top:2198;width:50292;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" filled="f" stroked="f" strokeweight=".5pt">
                  <v:textbox inset="0,0,0,0">
                    <w:txbxContent>
                      <w:p w:rsidR="00BE6F5B" w:rsidRPr="00A3729E" w:rsidRDefault="00BE6F5B" w:rsidP="00375B3E">
                        <w:pPr>
                          <w:rPr>
                            <w:rFonts w:asciiTheme="minorHAnsi" w:hAnsiTheme="minorHAnsi" w:cstheme="minorHAnsi"/>
                          </w:rPr>
                        </w:pPr>
                        <w:r>
                          <w:rPr>
                            <w:rFonts w:asciiTheme="minorHAnsi" w:hAnsiTheme="minorHAnsi"/>
                            <w:b/>
                            <w:color w:val="FFFFFF"/>
                            <w:sz w:val="22"/>
                          </w:rPr>
                          <w:t>Вставка 2.1.1. Питання та підпитання PICO</w:t>
                        </w:r>
                      </w:p>
                    </w:txbxContent>
                  </v:textbox>
                </v:shape>
                <v:shape id="Надпись 525" o:spid="_x0000_s1036" type="#_x0000_t202" style="position:absolute;left:3851;top:5707;width:50824;height:1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" filled="f" stroked="f" strokeweight=".5pt">
                  <v:textbox inset="0,0,0,0">
                    <w:txbxContent>
                      <w:p w:rsidR="00BE6F5B" w:rsidRPr="00F85B2E" w:rsidRDefault="00BE6F5B" w:rsidP="0083735C">
                        <w:pPr>
                          <w:spacing w:after="120"/>
                          <w:ind w:left="709" w:hanging="709"/>
                          <w:jc w:val="both"/>
                          <w:rPr>
                            <w:rFonts w:ascii="Calibri" w:hAnsi="Calibri" w:cs="Calibri"/>
                            <w:b/>
                            <w:bCs/>
                            <w:color w:val="000000"/>
                          </w:rPr>
                        </w:pPr>
                        <w:r>
                          <w:rPr>
                            <w:rFonts w:ascii="Calibri" w:hAnsi="Calibri"/>
                            <w:b/>
                            <w:color w:val="000000"/>
                          </w:rPr>
                          <w:t xml:space="preserve">PICO 1: </w:t>
                        </w:r>
                        <w:r>
                          <w:rPr>
                            <w:rFonts w:ascii="Calibri" w:hAnsi="Calibri"/>
                            <w:b/>
                            <w:color w:val="000000"/>
                          </w:rPr>
                          <w:tab/>
                          <w:t>Чи слід застосовувати Xpert MTB/RIF/Xpert Ultra серед дорослих людей з ознаками та симптомами легеневого ТБ у лікувальних закладах в якості первинного тесту для діагностики легеневого ТБ та резистентності до рифампіцину?</w:t>
                        </w:r>
                      </w:p>
                      <w:p w:rsidR="00BE6F5B" w:rsidRPr="00F85B2E" w:rsidRDefault="00BE6F5B" w:rsidP="008E12CA">
                        <w:pPr>
                          <w:spacing w:after="120"/>
                          <w:jc w:val="both"/>
                          <w:rPr>
                            <w:rFonts w:ascii="Calibri" w:hAnsi="Calibri" w:cs="Calibri"/>
                            <w:color w:val="000000"/>
                          </w:rPr>
                        </w:pPr>
                        <w:r>
                          <w:rPr>
                            <w:rFonts w:ascii="Calibri" w:hAnsi="Calibri"/>
                            <w:color w:val="000000"/>
                          </w:rPr>
                          <w:t>1.1. Яким є вплив Xpert MTB/RIF на важливі для пацієнта результати (виліковність, смертність, час діагностики та час початку лікування)?</w:t>
                        </w:r>
                      </w:p>
                      <w:p w:rsidR="00BE6F5B" w:rsidRPr="00F85B2E" w:rsidRDefault="00BE6F5B" w:rsidP="008E12CA">
                        <w:pPr>
                          <w:spacing w:after="120"/>
                          <w:jc w:val="both"/>
                          <w:rPr>
                            <w:rFonts w:ascii="Calibri" w:hAnsi="Calibri" w:cs="Calibri"/>
                            <w:color w:val="000000"/>
                          </w:rPr>
                        </w:pPr>
                        <w:r>
                          <w:rPr>
                            <w:rFonts w:ascii="Calibri" w:hAnsi="Calibri"/>
                            <w:color w:val="000000"/>
                          </w:rPr>
                          <w:t>1.1 Яка діагностична точність Xpert MTB/RIF у виявленні легеневого ТБ та резистентності до рифампіцину порівняно з референс стандартом мікробіологічного дослідження (МРС)?10</w:t>
                        </w:r>
                      </w:p>
                      <w:p w:rsidR="00BE6F5B" w:rsidRPr="00F85B2E" w:rsidRDefault="00BE6F5B" w:rsidP="008E12CA">
                        <w:pPr>
                          <w:spacing w:after="120"/>
                          <w:jc w:val="both"/>
                          <w:rPr>
                            <w:rFonts w:asciiTheme="minorHAnsi" w:hAnsiTheme="minorHAnsi" w:cstheme="minorHAnsi"/>
                          </w:rPr>
                        </w:pPr>
                        <w:r>
                          <w:rPr>
                            <w:rFonts w:ascii="Calibri" w:hAnsi="Calibri"/>
                            <w:color w:val="000000"/>
                          </w:rPr>
                          <w:t>1.3 Яка діагностична точність Xpert Ultra щодо виявлення легеневого ТБ та резистентності до рифампіцину у порівнянні з МРС?</w:t>
                        </w:r>
                      </w:p>
                    </w:txbxContent>
                  </v:textbox>
                </v:shape>
                <w10:wrap anchorx="margin"/>
              </v:group>
            </w:pict>
          </mc:Fallback>
        </mc:AlternateContent>
      </w:r>
    </w:p>
    <w:p w:rsidR="00F85B2E" w:rsidRPr="00F85B2E" w:rsidRDefault="00F85B2E" w:rsidP="00F85B2E">
      <w:pPr>
        <w:spacing w:before="4560"/>
        <w:ind w:left="10"/>
        <w:rPr>
          <w:rFonts w:ascii="Calibri" w:hAnsi="Calibri" w:cs="Calibri"/>
          <w:color w:val="000000"/>
          <w:sz w:val="16"/>
          <w:szCs w:val="16"/>
          <w:u w:val="single"/>
        </w:rPr>
      </w:pPr>
      <w:r>
        <w:rPr>
          <w:rFonts w:ascii="Calibri" w:hAnsi="Calibri"/>
          <w:color w:val="000000"/>
          <w:sz w:val="16"/>
          <w:u w:val="single"/>
        </w:rPr>
        <w:tab/>
      </w:r>
      <w:r>
        <w:rPr>
          <w:rFonts w:ascii="Calibri" w:hAnsi="Calibri"/>
          <w:color w:val="000000"/>
          <w:sz w:val="16"/>
          <w:u w:val="single"/>
        </w:rPr>
        <w:tab/>
      </w:r>
      <w:r>
        <w:rPr>
          <w:rFonts w:ascii="Calibri" w:hAnsi="Calibri"/>
          <w:color w:val="000000"/>
          <w:sz w:val="16"/>
          <w:u w:val="single"/>
        </w:rPr>
        <w:tab/>
      </w:r>
    </w:p>
    <w:p w:rsidR="00ED665B" w:rsidRPr="00907702" w:rsidRDefault="006C7D2F" w:rsidP="008E12CA">
      <w:pPr>
        <w:tabs>
          <w:tab w:val="left" w:pos="238"/>
        </w:tabs>
        <w:ind w:left="10"/>
        <w:rPr>
          <w:rFonts w:ascii="Calibri" w:hAnsi="Calibri" w:cs="Calibri"/>
        </w:rPr>
      </w:pPr>
      <w:r>
        <w:rPr>
          <w:rFonts w:ascii="Calibri" w:hAnsi="Calibri"/>
          <w:color w:val="000000"/>
          <w:sz w:val="16"/>
          <w:vertAlign w:val="superscript"/>
        </w:rPr>
        <w:t>10</w:t>
      </w:r>
      <w:r>
        <w:rPr>
          <w:rFonts w:ascii="Calibri" w:hAnsi="Calibri"/>
          <w:color w:val="000000"/>
          <w:sz w:val="16"/>
        </w:rPr>
        <w:tab/>
        <w:t>Посів.</w:t>
      </w:r>
    </w:p>
    <w:p w:rsidR="00ED665B" w:rsidRPr="00907702" w:rsidRDefault="00ED665B" w:rsidP="00DC2656">
      <w:pPr>
        <w:spacing w:before="1646"/>
        <w:ind w:left="10"/>
        <w:rPr>
          <w:rFonts w:ascii="Calibri" w:hAnsi="Calibri" w:cs="Calibri"/>
        </w:rPr>
        <w:sectPr w:rsidR="00ED665B" w:rsidRPr="00907702">
          <w:pgSz w:w="11904" w:h="16838"/>
          <w:pgMar w:top="1378" w:right="1411" w:bottom="1378" w:left="1421" w:header="720" w:footer="720" w:gutter="0"/>
          <w:cols w:space="60"/>
          <w:noEndnote/>
        </w:sectPr>
      </w:pPr>
    </w:p>
    <w:p w:rsidR="00ED665B" w:rsidRPr="00907702" w:rsidRDefault="00F85B2E" w:rsidP="00F85B2E">
      <w:pPr>
        <w:tabs>
          <w:tab w:val="left" w:pos="840"/>
        </w:tabs>
        <w:spacing w:before="106"/>
        <w:ind w:right="14"/>
        <w:jc w:val="both"/>
        <w:rPr>
          <w:rFonts w:ascii="Calibri" w:hAnsi="Calibri" w:cs="Calibri"/>
          <w:color w:val="000000"/>
          <w:sz w:val="22"/>
          <w:szCs w:val="22"/>
        </w:rPr>
      </w:pPr>
      <w:r>
        <w:rPr>
          <w:rFonts w:ascii="Calibri" w:hAnsi="Calibri"/>
          <w:noProof/>
          <w:lang w:val="en-US" w:bidi="ar-SA"/>
        </w:rPr>
        <w:lastRenderedPageBreak/>
        <mc:AlternateContent>
          <mc:Choice Requires="wpg">
            <w:drawing>
              <wp:anchor distT="0" distB="0" distL="114300" distR="114300" simplePos="0" relativeHeight="251677696" behindDoc="0" locked="0" layoutInCell="1" allowOverlap="1" wp14:anchorId="27F508A5" wp14:editId="7E597602">
                <wp:simplePos x="0" y="0"/>
                <wp:positionH relativeFrom="margin">
                  <wp:posOffset>132474</wp:posOffset>
                </wp:positionH>
                <wp:positionV relativeFrom="paragraph">
                  <wp:posOffset>71492</wp:posOffset>
                </wp:positionV>
                <wp:extent cx="5620478" cy="6634716"/>
                <wp:effectExtent l="19050" t="0" r="0" b="0"/>
                <wp:wrapNone/>
                <wp:docPr id="526" name="Группа 526"/>
                <wp:cNvGraphicFramePr/>
                <a:graphic xmlns:a="http://schemas.openxmlformats.org/drawingml/2006/main">
                  <a:graphicData uri="http://schemas.microsoft.com/office/word/2010/wordprocessingGroup">
                    <wpg:wgp>
                      <wpg:cNvGrpSpPr/>
                      <wpg:grpSpPr>
                        <a:xfrm>
                          <a:off x="0" y="0"/>
                          <a:ext cx="5620478" cy="6634716"/>
                          <a:chOff x="158455" y="299"/>
                          <a:chExt cx="5621020" cy="6294763"/>
                        </a:xfrm>
                      </wpg:grpSpPr>
                      <wps:wsp>
                        <wps:cNvPr id="527" name="Прямоугольник с двумя скругленными соседними углами 527"/>
                        <wps:cNvSpPr/>
                        <wps:spPr>
                          <a:xfrm rot="5400000">
                            <a:off x="-178417" y="337171"/>
                            <a:ext cx="6294763"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Надпись 530"/>
                        <wps:cNvSpPr txBox="1"/>
                        <wps:spPr>
                          <a:xfrm>
                            <a:off x="385148" y="149001"/>
                            <a:ext cx="5082363" cy="6053764"/>
                          </a:xfrm>
                          <a:prstGeom prst="rect">
                            <a:avLst/>
                          </a:prstGeom>
                          <a:noFill/>
                          <a:ln w="6350">
                            <a:noFill/>
                          </a:ln>
                        </wps:spPr>
                        <wps:txbx>
                          <w:txbxContent>
                            <w:p w:rsidR="00BE6F5B" w:rsidRPr="00F85B2E" w:rsidRDefault="00BE6F5B" w:rsidP="003E096B">
                              <w:pPr>
                                <w:spacing w:after="120"/>
                                <w:ind w:left="851" w:hanging="851"/>
                                <w:jc w:val="both"/>
                                <w:rPr>
                                  <w:rFonts w:ascii="Calibri" w:hAnsi="Calibri" w:cs="Calibri"/>
                                  <w:b/>
                                  <w:bCs/>
                                  <w:color w:val="000000"/>
                                </w:rPr>
                              </w:pPr>
                              <w:r>
                                <w:rPr>
                                  <w:rFonts w:ascii="Calibri" w:hAnsi="Calibri"/>
                                  <w:b/>
                                  <w:color w:val="000000"/>
                                </w:rPr>
                                <w:t xml:space="preserve">PICO 2: </w:t>
                              </w:r>
                              <w:r>
                                <w:rPr>
                                  <w:rFonts w:ascii="Calibri" w:hAnsi="Calibri"/>
                                  <w:b/>
                                  <w:color w:val="000000"/>
                                </w:rPr>
                                <w:tab/>
                                <w:t>Чи слід застосовувати Xpert MTB/RIF/Xpert Ultra серед дітей з ознаками та симптомами легеневого ТБ у лікувальних закладах в якості первинного тесту для діагностики легеневого ТБ та резистентності до рифампіцину?</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2.1</w:t>
                              </w:r>
                              <w:r>
                                <w:rPr>
                                  <w:rFonts w:ascii="Calibri" w:hAnsi="Calibri"/>
                                  <w:color w:val="000000"/>
                                </w:rPr>
                                <w:tab/>
                                <w:t>Яка діагностична точність Xpert MTB/RIF щодо легеневого ТБ та резистентності до рифампіцину у дітей порівняно з МРС та складеним референс стандартом (СРС)?11</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2.2</w:t>
                              </w:r>
                              <w:r>
                                <w:rPr>
                                  <w:rFonts w:ascii="Calibri" w:hAnsi="Calibri"/>
                                  <w:color w:val="000000"/>
                                </w:rPr>
                                <w:tab/>
                                <w:t>Яка діагностична точність Xpert Ultra щодо легеневого ТБ та резистентності до рифампіцину у дітей порівняно з МРС та СРС?</w:t>
                              </w:r>
                            </w:p>
                            <w:p w:rsidR="00BE6F5B" w:rsidRPr="00F85B2E" w:rsidRDefault="00BE6F5B" w:rsidP="008E12CA">
                              <w:pPr>
                                <w:spacing w:after="120"/>
                                <w:jc w:val="both"/>
                                <w:rPr>
                                  <w:rFonts w:ascii="Calibri" w:hAnsi="Calibri" w:cs="Calibri"/>
                                  <w:b/>
                                  <w:bCs/>
                                  <w:color w:val="000000"/>
                                </w:rPr>
                              </w:pPr>
                              <w:r>
                                <w:rPr>
                                  <w:rFonts w:ascii="Calibri" w:hAnsi="Calibri"/>
                                  <w:b/>
                                  <w:color w:val="000000"/>
                                </w:rPr>
                                <w:t xml:space="preserve">PICO 3: </w:t>
                              </w:r>
                              <w:r>
                                <w:rPr>
                                  <w:rFonts w:ascii="Calibri" w:hAnsi="Calibri"/>
                                  <w:b/>
                                  <w:color w:val="000000"/>
                                </w:rPr>
                                <w:tab/>
                                <w:t>Чи слід застосовувати Xpert MTB/RIF/Xpert Ultra серед дорослих з ознаками та симптомами легеневого ТБ у лікувальних закладах в якості первинного тесту для діагностики легеневого ТБ та резистентності до рифампіцину?</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3.1</w:t>
                              </w:r>
                              <w:r>
                                <w:rPr>
                                  <w:rFonts w:ascii="Calibri" w:hAnsi="Calibri"/>
                                  <w:color w:val="000000"/>
                                </w:rPr>
                                <w:tab/>
                                <w:t>Яка діагностична точність Xpert MTB/RIF щодо позалегеневого ТБ та резистентності до рифампіцину у дорослих порівняно з МРС та СРС?</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3.2</w:t>
                              </w:r>
                              <w:r>
                                <w:rPr>
                                  <w:rFonts w:ascii="Calibri" w:hAnsi="Calibri"/>
                                  <w:color w:val="000000"/>
                                </w:rPr>
                                <w:tab/>
                                <w:t>Яка діагностична точність Xpert Ultra щодо позалегеневого ТБ та резистентності до рифампіцину у дорослих у порівнянні з МРС та СРС?</w:t>
                              </w:r>
                            </w:p>
                            <w:p w:rsidR="00BE6F5B" w:rsidRPr="00F85B2E" w:rsidRDefault="00BE6F5B" w:rsidP="003E096B">
                              <w:pPr>
                                <w:spacing w:after="120"/>
                                <w:ind w:left="851" w:hanging="851"/>
                                <w:jc w:val="both"/>
                                <w:rPr>
                                  <w:rFonts w:ascii="Calibri" w:hAnsi="Calibri" w:cs="Calibri"/>
                                  <w:b/>
                                  <w:bCs/>
                                  <w:color w:val="000000"/>
                                </w:rPr>
                              </w:pPr>
                              <w:r>
                                <w:rPr>
                                  <w:rFonts w:ascii="Calibri" w:hAnsi="Calibri"/>
                                  <w:b/>
                                  <w:color w:val="000000"/>
                                </w:rPr>
                                <w:t xml:space="preserve">PICO 4: </w:t>
                              </w:r>
                              <w:r>
                                <w:rPr>
                                  <w:rFonts w:ascii="Calibri" w:hAnsi="Calibri"/>
                                  <w:b/>
                                  <w:color w:val="000000"/>
                                </w:rPr>
                                <w:tab/>
                                <w:t>Чи слід застосовувати Xpert MTB/RIF/Xpert Ultra серед дітей з ознаками та симптомами позалегеневого ТБ та резистентності до рифампіцину у лікувальних закладах в якості первинного тесту для діагностики позалегеневого ТБ та резистентності до рифампіцину?</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4.1</w:t>
                              </w:r>
                              <w:r>
                                <w:rPr>
                                  <w:rFonts w:ascii="Calibri" w:hAnsi="Calibri"/>
                                  <w:color w:val="000000"/>
                                </w:rPr>
                                <w:tab/>
                                <w:t>Яка діагностична точність Xpert MTB/RIF щодо позалегеневого ТБ та резистентності до рифампіцину у дітей порівняно з МРС та СРС?</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4.2</w:t>
                              </w:r>
                              <w:r>
                                <w:rPr>
                                  <w:rFonts w:ascii="Calibri" w:hAnsi="Calibri"/>
                                  <w:color w:val="000000"/>
                                </w:rPr>
                                <w:tab/>
                                <w:t>Яка діагностична точність Xpert Ultra щодо позалегеневого ТБ та резистентності до рифампіцину у дітей порівняно з МРС та СРС?</w:t>
                              </w:r>
                            </w:p>
                            <w:p w:rsidR="00BE6F5B" w:rsidRPr="00F85B2E" w:rsidRDefault="00BE6F5B" w:rsidP="003E096B">
                              <w:pPr>
                                <w:spacing w:after="120"/>
                                <w:ind w:left="851" w:hanging="851"/>
                                <w:jc w:val="both"/>
                                <w:rPr>
                                  <w:rFonts w:ascii="Calibri" w:hAnsi="Calibri" w:cs="Calibri"/>
                                  <w:b/>
                                  <w:bCs/>
                                  <w:color w:val="000000"/>
                                </w:rPr>
                              </w:pPr>
                              <w:r>
                                <w:rPr>
                                  <w:rFonts w:ascii="Calibri" w:hAnsi="Calibri"/>
                                  <w:b/>
                                  <w:color w:val="000000"/>
                                </w:rPr>
                                <w:t xml:space="preserve">PICO 5: </w:t>
                              </w:r>
                              <w:r>
                                <w:rPr>
                                  <w:rFonts w:ascii="Calibri" w:hAnsi="Calibri"/>
                                  <w:b/>
                                  <w:color w:val="000000"/>
                                </w:rPr>
                                <w:tab/>
                                <w:t>Чи підвищують чутливість / специфічність повторні тести Xpert (Ultra), які проводяться на наступних зразках, в якості первинного тесту для діагностики легеневого ТБ та резистентності до рифампіцину, порівняно з єдиним початковим тестом cеред людей з ознаками та симптомами легеневого ТБ, які звертаються за допомогою до медичних закладів?</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5.1</w:t>
                              </w:r>
                              <w:r>
                                <w:rPr>
                                  <w:rFonts w:ascii="Calibri" w:hAnsi="Calibri"/>
                                  <w:color w:val="000000"/>
                                </w:rPr>
                                <w:tab/>
                                <w:t>Повторний тест Xpert Ultra для діагностики легеневого ТБ у дорослих людей з ознаками та симптомами легеневого ТБ, які мають початковий результат тесту Xpert Ultra, порівняно з МРС?</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5.2</w:t>
                              </w:r>
                              <w:r>
                                <w:rPr>
                                  <w:rFonts w:ascii="Calibri" w:hAnsi="Calibri"/>
                                  <w:color w:val="000000"/>
                                </w:rPr>
                                <w:tab/>
                                <w:t>Більше одного Xpert MTB/RIF у порівнянні з одним Xpert MTB/RIF для діагностики легеневого ТБ у дітей з ознаками та симптомами легеневого ТБ порівняно з МРС?</w:t>
                              </w:r>
                            </w:p>
                            <w:p w:rsidR="00BE6F5B" w:rsidRPr="00F85B2E" w:rsidRDefault="00BE6F5B" w:rsidP="003E096B">
                              <w:pPr>
                                <w:tabs>
                                  <w:tab w:val="left" w:pos="426"/>
                                </w:tabs>
                                <w:spacing w:after="120"/>
                                <w:jc w:val="both"/>
                                <w:rPr>
                                  <w:rFonts w:asciiTheme="minorHAnsi" w:hAnsiTheme="minorHAnsi" w:cstheme="minorHAnsi"/>
                                </w:rPr>
                              </w:pPr>
                              <w:r>
                                <w:rPr>
                                  <w:rFonts w:ascii="Calibri" w:hAnsi="Calibri"/>
                                  <w:color w:val="000000"/>
                                </w:rPr>
                                <w:t>5.3</w:t>
                              </w:r>
                              <w:r>
                                <w:rPr>
                                  <w:rFonts w:ascii="Calibri" w:hAnsi="Calibri"/>
                                  <w:color w:val="000000"/>
                                </w:rPr>
                                <w:tab/>
                                <w:t>Більше одного тесту Xpert Ultra у порівнянні з одним Xpert Ultra для діагностики легеневого ТБ у дітей з ознаками та симптомами легеневого ТБ порівняно з МРС?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508A5" id="Группа 526" o:spid="_x0000_s1037" style="position:absolute;left:0;text-align:left;margin-left:10.45pt;margin-top:5.65pt;width:442.55pt;height:522.4pt;z-index:251677696;mso-position-horizontal-relative:margin;mso-width-relative:margin;mso-height-relative:margin" coordorigin="1584,2" coordsize="56210,6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">
                <v:shape id="Прямоугольник с двумя скругленными соседними углами 527" o:spid="_x0000_s1038" style="position:absolute;left:-1785;top:3371;width:62948;height:56210;rotation:90;visibility:visible;mso-wrap-style:square;v-text-anchor:middle" coordsize="6294763,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" path="m464465,l5830298,v256517,,464465,207948,464465,464465l6294763,5621020r,l,5621020r,l,464465c,207948,207948,,464465,xe" fillcolor="#c6e0ce" stroked="f" strokeweight="1pt">
                  <v:stroke joinstyle="miter"/>
                  <v:path arrowok="t" o:connecttype="custom" o:connectlocs="464465,0;5830298,0;6294763,464465;6294763,5621020;6294763,5621020;0,5621020;0,5621020;0,464465;464465,0" o:connectangles="0,0,0,0,0,0,0,0,0"/>
                </v:shape>
                <v:shape id="Надпись 530" o:spid="_x0000_s1039" type="#_x0000_t202" style="position:absolute;left:3851;top:1490;width:50824;height:60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" filled="f" stroked="f" strokeweight=".5pt">
                  <v:textbox inset="0,0,0,0">
                    <w:txbxContent>
                      <w:p w:rsidR="00BE6F5B" w:rsidRPr="00F85B2E" w:rsidRDefault="00BE6F5B" w:rsidP="003E096B">
                        <w:pPr>
                          <w:spacing w:after="120"/>
                          <w:ind w:left="851" w:hanging="851"/>
                          <w:jc w:val="both"/>
                          <w:rPr>
                            <w:rFonts w:ascii="Calibri" w:hAnsi="Calibri" w:cs="Calibri"/>
                            <w:b/>
                            <w:bCs/>
                            <w:color w:val="000000"/>
                          </w:rPr>
                        </w:pPr>
                        <w:r>
                          <w:rPr>
                            <w:rFonts w:ascii="Calibri" w:hAnsi="Calibri"/>
                            <w:b/>
                            <w:color w:val="000000"/>
                          </w:rPr>
                          <w:t xml:space="preserve">PICO 2: </w:t>
                        </w:r>
                        <w:r>
                          <w:rPr>
                            <w:rFonts w:ascii="Calibri" w:hAnsi="Calibri"/>
                            <w:b/>
                            <w:color w:val="000000"/>
                          </w:rPr>
                          <w:tab/>
                          <w:t>Чи слід застосовувати Xpert MTB/RIF/Xpert Ultra серед дітей з ознаками та симптомами легеневого ТБ у лікувальних закладах в якості первинного тесту для діагностики легеневого ТБ та резистентності до рифампіцину?</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2.1</w:t>
                        </w:r>
                        <w:r>
                          <w:rPr>
                            <w:rFonts w:ascii="Calibri" w:hAnsi="Calibri"/>
                            <w:color w:val="000000"/>
                          </w:rPr>
                          <w:tab/>
                          <w:t>Яка діагностична точність Xpert MTB/RIF щодо легеневого ТБ та резистентності до рифампіцину у дітей порівняно з МРС та складеним референс стандартом (СРС)?11</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2.2</w:t>
                        </w:r>
                        <w:r>
                          <w:rPr>
                            <w:rFonts w:ascii="Calibri" w:hAnsi="Calibri"/>
                            <w:color w:val="000000"/>
                          </w:rPr>
                          <w:tab/>
                          <w:t>Яка діагностична точність Xpert Ultra щодо легеневого ТБ та резистентності до рифампіцину у дітей порівняно з МРС та СРС?</w:t>
                        </w:r>
                      </w:p>
                      <w:p w:rsidR="00BE6F5B" w:rsidRPr="00F85B2E" w:rsidRDefault="00BE6F5B" w:rsidP="008E12CA">
                        <w:pPr>
                          <w:spacing w:after="120"/>
                          <w:jc w:val="both"/>
                          <w:rPr>
                            <w:rFonts w:ascii="Calibri" w:hAnsi="Calibri" w:cs="Calibri"/>
                            <w:b/>
                            <w:bCs/>
                            <w:color w:val="000000"/>
                          </w:rPr>
                        </w:pPr>
                        <w:r>
                          <w:rPr>
                            <w:rFonts w:ascii="Calibri" w:hAnsi="Calibri"/>
                            <w:b/>
                            <w:color w:val="000000"/>
                          </w:rPr>
                          <w:t xml:space="preserve">PICO 3: </w:t>
                        </w:r>
                        <w:r>
                          <w:rPr>
                            <w:rFonts w:ascii="Calibri" w:hAnsi="Calibri"/>
                            <w:b/>
                            <w:color w:val="000000"/>
                          </w:rPr>
                          <w:tab/>
                          <w:t>Чи слід застосовувати Xpert MTB/RIF/Xpert Ultra серед дорослих з ознаками та симптомами легеневого ТБ у лікувальних закладах в якості первинного тесту для діагностики легеневого ТБ та резистентності до рифампіцину?</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3.1</w:t>
                        </w:r>
                        <w:r>
                          <w:rPr>
                            <w:rFonts w:ascii="Calibri" w:hAnsi="Calibri"/>
                            <w:color w:val="000000"/>
                          </w:rPr>
                          <w:tab/>
                          <w:t>Яка діагностична точність Xpert MTB/RIF щодо позалегеневого ТБ та резистентності до рифампіцину у дорослих порівняно з МРС та СРС?</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3.2</w:t>
                        </w:r>
                        <w:r>
                          <w:rPr>
                            <w:rFonts w:ascii="Calibri" w:hAnsi="Calibri"/>
                            <w:color w:val="000000"/>
                          </w:rPr>
                          <w:tab/>
                          <w:t>Яка діагностична точність Xpert Ultra щодо позалегеневого ТБ та резистентності до рифампіцину у дорослих у порівнянні з МРС та СРС?</w:t>
                        </w:r>
                      </w:p>
                      <w:p w:rsidR="00BE6F5B" w:rsidRPr="00F85B2E" w:rsidRDefault="00BE6F5B" w:rsidP="003E096B">
                        <w:pPr>
                          <w:spacing w:after="120"/>
                          <w:ind w:left="851" w:hanging="851"/>
                          <w:jc w:val="both"/>
                          <w:rPr>
                            <w:rFonts w:ascii="Calibri" w:hAnsi="Calibri" w:cs="Calibri"/>
                            <w:b/>
                            <w:bCs/>
                            <w:color w:val="000000"/>
                          </w:rPr>
                        </w:pPr>
                        <w:r>
                          <w:rPr>
                            <w:rFonts w:ascii="Calibri" w:hAnsi="Calibri"/>
                            <w:b/>
                            <w:color w:val="000000"/>
                          </w:rPr>
                          <w:t xml:space="preserve">PICO 4: </w:t>
                        </w:r>
                        <w:r>
                          <w:rPr>
                            <w:rFonts w:ascii="Calibri" w:hAnsi="Calibri"/>
                            <w:b/>
                            <w:color w:val="000000"/>
                          </w:rPr>
                          <w:tab/>
                          <w:t>Чи слід застосовувати Xpert MTB/RIF/Xpert Ultra серед дітей з ознаками та симптомами позалегеневого ТБ та резистентності до рифампіцину у лікувальних закладах в якості первинного тесту для діагностики позалегеневого ТБ та резистентності до рифампіцину?</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4.1</w:t>
                        </w:r>
                        <w:r>
                          <w:rPr>
                            <w:rFonts w:ascii="Calibri" w:hAnsi="Calibri"/>
                            <w:color w:val="000000"/>
                          </w:rPr>
                          <w:tab/>
                          <w:t>Яка діагностична точність Xpert MTB/RIF щодо позалегеневого ТБ та резистентності до рифампіцину у дітей порівняно з МРС та СРС?</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4.2</w:t>
                        </w:r>
                        <w:r>
                          <w:rPr>
                            <w:rFonts w:ascii="Calibri" w:hAnsi="Calibri"/>
                            <w:color w:val="000000"/>
                          </w:rPr>
                          <w:tab/>
                          <w:t>Яка діагностична точність Xpert Ultra щодо позалегеневого ТБ та резистентності до рифампіцину у дітей порівняно з МРС та СРС?</w:t>
                        </w:r>
                      </w:p>
                      <w:p w:rsidR="00BE6F5B" w:rsidRPr="00F85B2E" w:rsidRDefault="00BE6F5B" w:rsidP="003E096B">
                        <w:pPr>
                          <w:spacing w:after="120"/>
                          <w:ind w:left="851" w:hanging="851"/>
                          <w:jc w:val="both"/>
                          <w:rPr>
                            <w:rFonts w:ascii="Calibri" w:hAnsi="Calibri" w:cs="Calibri"/>
                            <w:b/>
                            <w:bCs/>
                            <w:color w:val="000000"/>
                          </w:rPr>
                        </w:pPr>
                        <w:r>
                          <w:rPr>
                            <w:rFonts w:ascii="Calibri" w:hAnsi="Calibri"/>
                            <w:b/>
                            <w:color w:val="000000"/>
                          </w:rPr>
                          <w:t xml:space="preserve">PICO 5: </w:t>
                        </w:r>
                        <w:r>
                          <w:rPr>
                            <w:rFonts w:ascii="Calibri" w:hAnsi="Calibri"/>
                            <w:b/>
                            <w:color w:val="000000"/>
                          </w:rPr>
                          <w:tab/>
                          <w:t>Чи підвищують чутливість / специфічність повторні тести Xpert (Ultra), які проводяться на наступних зразках, в якості первинного тесту для діагностики легеневого ТБ та резистентності до рифампіцину, порівняно з єдиним початковим тестом cеред людей з ознаками та симптомами легеневого ТБ, які звертаються за допомогою до медичних закладів?</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5.1</w:t>
                        </w:r>
                        <w:r>
                          <w:rPr>
                            <w:rFonts w:ascii="Calibri" w:hAnsi="Calibri"/>
                            <w:color w:val="000000"/>
                          </w:rPr>
                          <w:tab/>
                          <w:t>Повторний тест Xpert Ultra для діагностики легеневого ТБ у дорослих людей з ознаками та симптомами легеневого ТБ, які мають початковий результат тесту Xpert Ultra, порівняно з МРС?</w:t>
                        </w:r>
                      </w:p>
                      <w:p w:rsidR="00BE6F5B" w:rsidRPr="00F85B2E" w:rsidRDefault="00BE6F5B" w:rsidP="003E096B">
                        <w:pPr>
                          <w:tabs>
                            <w:tab w:val="left" w:pos="426"/>
                          </w:tabs>
                          <w:spacing w:after="120"/>
                          <w:jc w:val="both"/>
                          <w:rPr>
                            <w:rFonts w:ascii="Calibri" w:hAnsi="Calibri" w:cs="Calibri"/>
                            <w:color w:val="000000"/>
                          </w:rPr>
                        </w:pPr>
                        <w:r>
                          <w:rPr>
                            <w:rFonts w:ascii="Calibri" w:hAnsi="Calibri"/>
                            <w:color w:val="000000"/>
                          </w:rPr>
                          <w:t>5.2</w:t>
                        </w:r>
                        <w:r>
                          <w:rPr>
                            <w:rFonts w:ascii="Calibri" w:hAnsi="Calibri"/>
                            <w:color w:val="000000"/>
                          </w:rPr>
                          <w:tab/>
                          <w:t>Більше одного Xpert MTB/RIF у порівнянні з одним Xpert MTB/RIF для діагностики легеневого ТБ у дітей з ознаками та симптомами легеневого ТБ порівняно з МРС?</w:t>
                        </w:r>
                      </w:p>
                      <w:p w:rsidR="00BE6F5B" w:rsidRPr="00F85B2E" w:rsidRDefault="00BE6F5B" w:rsidP="003E096B">
                        <w:pPr>
                          <w:tabs>
                            <w:tab w:val="left" w:pos="426"/>
                          </w:tabs>
                          <w:spacing w:after="120"/>
                          <w:jc w:val="both"/>
                          <w:rPr>
                            <w:rFonts w:asciiTheme="minorHAnsi" w:hAnsiTheme="minorHAnsi" w:cstheme="minorHAnsi"/>
                          </w:rPr>
                        </w:pPr>
                        <w:r>
                          <w:rPr>
                            <w:rFonts w:ascii="Calibri" w:hAnsi="Calibri"/>
                            <w:color w:val="000000"/>
                          </w:rPr>
                          <w:t>5.3</w:t>
                        </w:r>
                        <w:r>
                          <w:rPr>
                            <w:rFonts w:ascii="Calibri" w:hAnsi="Calibri"/>
                            <w:color w:val="000000"/>
                          </w:rPr>
                          <w:tab/>
                          <w:t>Більше одного тесту Xpert Ultra у порівнянні з одним Xpert Ultra для діагностики легеневого ТБ у дітей з ознаками та симптомами легеневого ТБ порівняно з МРС?</w:t>
                        </w:r>
                      </w:p>
                    </w:txbxContent>
                  </v:textbox>
                </v:shape>
                <w10:wrap anchorx="margin"/>
              </v:group>
            </w:pict>
          </mc:Fallback>
        </mc:AlternateContent>
      </w:r>
    </w:p>
    <w:p w:rsidR="00F85B2E" w:rsidRPr="00F85B2E" w:rsidRDefault="00F85B2E" w:rsidP="00F85B2E">
      <w:pPr>
        <w:spacing w:before="12000"/>
        <w:rPr>
          <w:rFonts w:ascii="Calibri" w:hAnsi="Calibri" w:cs="Calibri"/>
          <w:color w:val="000000"/>
          <w:sz w:val="16"/>
          <w:szCs w:val="16"/>
          <w:u w:val="single"/>
        </w:rPr>
      </w:pPr>
      <w:r>
        <w:rPr>
          <w:rFonts w:ascii="Calibri" w:hAnsi="Calibri"/>
          <w:color w:val="000000"/>
          <w:sz w:val="16"/>
          <w:u w:val="single"/>
        </w:rPr>
        <w:tab/>
      </w:r>
      <w:r>
        <w:rPr>
          <w:rFonts w:ascii="Calibri" w:hAnsi="Calibri"/>
          <w:color w:val="000000"/>
          <w:sz w:val="16"/>
          <w:u w:val="single"/>
        </w:rPr>
        <w:tab/>
      </w:r>
      <w:r>
        <w:rPr>
          <w:rFonts w:ascii="Calibri" w:hAnsi="Calibri"/>
          <w:color w:val="000000"/>
          <w:sz w:val="16"/>
          <w:u w:val="single"/>
        </w:rPr>
        <w:tab/>
      </w:r>
    </w:p>
    <w:p w:rsidR="00ED665B" w:rsidRPr="00907702" w:rsidRDefault="006C7D2F" w:rsidP="008E12CA">
      <w:pPr>
        <w:tabs>
          <w:tab w:val="left" w:pos="284"/>
        </w:tabs>
        <w:rPr>
          <w:rFonts w:ascii="Calibri" w:hAnsi="Calibri" w:cs="Calibri"/>
        </w:rPr>
      </w:pPr>
      <w:r>
        <w:rPr>
          <w:rFonts w:ascii="Calibri" w:hAnsi="Calibri"/>
          <w:color w:val="000000"/>
          <w:sz w:val="16"/>
          <w:vertAlign w:val="superscript"/>
        </w:rPr>
        <w:t>11</w:t>
      </w:r>
      <w:r>
        <w:rPr>
          <w:rFonts w:ascii="Calibri" w:hAnsi="Calibri"/>
          <w:color w:val="000000"/>
          <w:sz w:val="16"/>
        </w:rPr>
        <w:tab/>
        <w:t>Позитивний посів або клінічне рішення про початок лікування ТБ.</w:t>
      </w:r>
    </w:p>
    <w:p w:rsidR="00ED665B" w:rsidRPr="00907702" w:rsidRDefault="00ED665B" w:rsidP="00DC2656">
      <w:pPr>
        <w:spacing w:before="1234"/>
        <w:rPr>
          <w:rFonts w:ascii="Calibri" w:hAnsi="Calibri" w:cs="Calibri"/>
        </w:rPr>
        <w:sectPr w:rsidR="00ED665B" w:rsidRPr="00907702">
          <w:pgSz w:w="11904" w:h="16838"/>
          <w:pgMar w:top="1675" w:right="1781" w:bottom="1378" w:left="1430" w:header="720" w:footer="720" w:gutter="0"/>
          <w:cols w:space="60"/>
          <w:noEndnote/>
        </w:sectPr>
      </w:pPr>
    </w:p>
    <w:p w:rsidR="00ED665B" w:rsidRPr="00907702" w:rsidRDefault="003E096B" w:rsidP="003E096B">
      <w:pPr>
        <w:tabs>
          <w:tab w:val="left" w:pos="859"/>
        </w:tabs>
        <w:spacing w:before="106"/>
        <w:ind w:right="374"/>
        <w:jc w:val="both"/>
        <w:rPr>
          <w:rFonts w:ascii="Calibri" w:hAnsi="Calibri" w:cs="Calibri"/>
          <w:color w:val="000000"/>
          <w:sz w:val="22"/>
          <w:szCs w:val="22"/>
        </w:rPr>
      </w:pPr>
      <w:r>
        <w:rPr>
          <w:rFonts w:ascii="Calibri" w:hAnsi="Calibri"/>
          <w:noProof/>
          <w:lang w:val="en-US" w:bidi="ar-SA"/>
        </w:rPr>
        <w:lastRenderedPageBreak/>
        <mc:AlternateContent>
          <mc:Choice Requires="wpg">
            <w:drawing>
              <wp:anchor distT="0" distB="0" distL="114300" distR="114300" simplePos="0" relativeHeight="251679744" behindDoc="0" locked="0" layoutInCell="1" allowOverlap="1" wp14:anchorId="0A6C2734" wp14:editId="7228B9C6">
                <wp:simplePos x="0" y="0"/>
                <wp:positionH relativeFrom="margin">
                  <wp:posOffset>182186</wp:posOffset>
                </wp:positionH>
                <wp:positionV relativeFrom="paragraph">
                  <wp:posOffset>93890</wp:posOffset>
                </wp:positionV>
                <wp:extent cx="5620478" cy="2530549"/>
                <wp:effectExtent l="0" t="0" r="0" b="3175"/>
                <wp:wrapNone/>
                <wp:docPr id="531" name="Группа 531"/>
                <wp:cNvGraphicFramePr/>
                <a:graphic xmlns:a="http://schemas.openxmlformats.org/drawingml/2006/main">
                  <a:graphicData uri="http://schemas.microsoft.com/office/word/2010/wordprocessingGroup">
                    <wpg:wgp>
                      <wpg:cNvGrpSpPr/>
                      <wpg:grpSpPr>
                        <a:xfrm>
                          <a:off x="0" y="0"/>
                          <a:ext cx="5620478" cy="2530549"/>
                          <a:chOff x="158409" y="328"/>
                          <a:chExt cx="5621020" cy="2435101"/>
                        </a:xfrm>
                      </wpg:grpSpPr>
                      <wps:wsp>
                        <wps:cNvPr id="533" name="Прямоугольник с двумя скругленными соседними углами 533"/>
                        <wps:cNvSpPr/>
                        <wps:spPr>
                          <a:xfrm rot="5400000">
                            <a:off x="1751368" y="-1592631"/>
                            <a:ext cx="2435101"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Надпись 534"/>
                        <wps:cNvSpPr txBox="1"/>
                        <wps:spPr>
                          <a:xfrm>
                            <a:off x="385144" y="148987"/>
                            <a:ext cx="5082363" cy="2275618"/>
                          </a:xfrm>
                          <a:prstGeom prst="rect">
                            <a:avLst/>
                          </a:prstGeom>
                          <a:noFill/>
                          <a:ln w="6350">
                            <a:noFill/>
                          </a:ln>
                        </wps:spPr>
                        <wps:txbx>
                          <w:txbxContent>
                            <w:p w:rsidR="00BE6F5B" w:rsidRPr="00F85B2E" w:rsidRDefault="00BE6F5B" w:rsidP="003E096B">
                              <w:pPr>
                                <w:spacing w:after="120"/>
                                <w:ind w:left="851" w:hanging="851"/>
                                <w:jc w:val="both"/>
                                <w:rPr>
                                  <w:rFonts w:ascii="Calibri" w:hAnsi="Calibri" w:cs="Calibri"/>
                                  <w:b/>
                                  <w:bCs/>
                                  <w:color w:val="000000"/>
                                </w:rPr>
                              </w:pPr>
                              <w:r>
                                <w:rPr>
                                  <w:rFonts w:ascii="Calibri" w:hAnsi="Calibri"/>
                                  <w:b/>
                                  <w:color w:val="000000"/>
                                </w:rPr>
                                <w:t xml:space="preserve">PICO 6: </w:t>
                              </w:r>
                              <w:r>
                                <w:rPr>
                                  <w:rFonts w:ascii="Calibri" w:hAnsi="Calibri"/>
                                  <w:b/>
                                  <w:color w:val="000000"/>
                                </w:rPr>
                                <w:tab/>
                                <w:t>Серед дорослих людей, які мають ознаки та симптоми ТБ, або рентгенографію грудної клітки з патологіями легень, що свідчать про легеневий ТБ, або обох, чи слід застосовувати лише Xpert MTB/RIF або Xpert Ultra для визначення випадку активної форми туберкульозу (10)?</w:t>
                              </w:r>
                            </w:p>
                            <w:p w:rsidR="00BE6F5B" w:rsidRPr="003E096B" w:rsidRDefault="00BE6F5B" w:rsidP="003E096B">
                              <w:pPr>
                                <w:tabs>
                                  <w:tab w:val="left" w:pos="426"/>
                                </w:tabs>
                                <w:spacing w:after="120"/>
                                <w:jc w:val="both"/>
                                <w:rPr>
                                  <w:rFonts w:ascii="Calibri" w:hAnsi="Calibri" w:cs="Calibri"/>
                                  <w:color w:val="000000"/>
                                </w:rPr>
                              </w:pPr>
                              <w:r>
                                <w:rPr>
                                  <w:rFonts w:ascii="Calibri" w:hAnsi="Calibri"/>
                                  <w:color w:val="000000"/>
                                </w:rPr>
                                <w:t>6.1</w:t>
                              </w:r>
                              <w:r>
                                <w:rPr>
                                  <w:rFonts w:ascii="Calibri" w:hAnsi="Calibri"/>
                                  <w:color w:val="000000"/>
                                </w:rPr>
                                <w:tab/>
                                <w:t>Якими є результати Xpert MTB/RIF для діагностики легеневого ТБ серед загальної популяції дорослих, які мають ознаки або симптоми ТБ, або на рентгенографії органів грудної клітки яких спостерігається патологія легень, або обидва варіанти, порівняно з МРС?</w:t>
                              </w:r>
                            </w:p>
                            <w:p w:rsidR="00BE6F5B" w:rsidRPr="003E096B" w:rsidRDefault="00BE6F5B" w:rsidP="003E096B">
                              <w:pPr>
                                <w:tabs>
                                  <w:tab w:val="left" w:pos="426"/>
                                </w:tabs>
                                <w:spacing w:after="120"/>
                                <w:jc w:val="both"/>
                                <w:rPr>
                                  <w:rFonts w:ascii="Calibri" w:hAnsi="Calibri" w:cs="Calibri"/>
                                  <w:color w:val="000000"/>
                                </w:rPr>
                              </w:pPr>
                              <w:r>
                                <w:rPr>
                                  <w:rFonts w:ascii="Calibri" w:hAnsi="Calibri"/>
                                  <w:color w:val="000000"/>
                                </w:rPr>
                                <w:t>6.2</w:t>
                              </w:r>
                              <w:r>
                                <w:rPr>
                                  <w:rFonts w:ascii="Calibri" w:hAnsi="Calibri"/>
                                  <w:color w:val="000000"/>
                                </w:rPr>
                                <w:tab/>
                                <w:t>Xpert Ultra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p w:rsidR="00BE6F5B" w:rsidRPr="00F85B2E" w:rsidRDefault="00BE6F5B" w:rsidP="003E096B">
                              <w:pPr>
                                <w:tabs>
                                  <w:tab w:val="left" w:pos="426"/>
                                </w:tabs>
                                <w:spacing w:after="120"/>
                                <w:jc w:val="both"/>
                                <w:rPr>
                                  <w:rFonts w:asciiTheme="minorHAnsi" w:hAnsiTheme="minorHAnsi" w:cstheme="minorHAnsi"/>
                                </w:rPr>
                              </w:pPr>
                              <w:r>
                                <w:rPr>
                                  <w:rFonts w:ascii="Calibri" w:hAnsi="Calibri"/>
                                  <w:color w:val="000000"/>
                                </w:rPr>
                                <w:t>6.3</w:t>
                              </w:r>
                              <w:r>
                                <w:rPr>
                                  <w:rFonts w:ascii="Calibri" w:hAnsi="Calibri"/>
                                  <w:color w:val="000000"/>
                                </w:rPr>
                                <w:tab/>
                                <w:t>Два тести Xpert Ultra порівняно з одним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C2734" id="Группа 531" o:spid="_x0000_s1040" style="position:absolute;left:0;text-align:left;margin-left:14.35pt;margin-top:7.4pt;width:442.55pt;height:199.25pt;z-index:251679744;mso-position-horizontal-relative:margin;mso-width-relative:margin;mso-height-relative:margin" coordorigin="1584,3" coordsize="56210,2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">
                <v:shape id="Прямоугольник с двумя скругленными соседними углами 533" o:spid="_x0000_s1041" style="position:absolute;left:17513;top:-15926;width:24351;height:56210;rotation:90;visibility:visible;mso-wrap-style:square;v-text-anchor:middle" coordsize="2435101,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" path="m201212,l2233889,v111126,,201212,90086,201212,201212l2435101,5621020r,l,5621020r,l,201212c,90086,90086,,201212,xe" fillcolor="#c6e0ce" stroked="f" strokeweight="1pt">
                  <v:stroke joinstyle="miter"/>
                  <v:path arrowok="t" o:connecttype="custom" o:connectlocs="201212,0;2233889,0;2435101,201212;2435101,5621020;2435101,5621020;0,5621020;0,5621020;0,201212;201212,0" o:connectangles="0,0,0,0,0,0,0,0,0"/>
                </v:shape>
                <v:shape id="Надпись 534" o:spid="_x0000_s1042" type="#_x0000_t202" style="position:absolute;left:3851;top:1489;width:50824;height:2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" filled="f" stroked="f" strokeweight=".5pt">
                  <v:textbox inset="0,0,0,0">
                    <w:txbxContent>
                      <w:p w:rsidR="00BE6F5B" w:rsidRPr="00F85B2E" w:rsidRDefault="00BE6F5B" w:rsidP="003E096B">
                        <w:pPr>
                          <w:spacing w:after="120"/>
                          <w:ind w:left="851" w:hanging="851"/>
                          <w:jc w:val="both"/>
                          <w:rPr>
                            <w:rFonts w:ascii="Calibri" w:hAnsi="Calibri" w:cs="Calibri"/>
                            <w:b/>
                            <w:bCs/>
                            <w:color w:val="000000"/>
                          </w:rPr>
                        </w:pPr>
                        <w:r>
                          <w:rPr>
                            <w:rFonts w:ascii="Calibri" w:hAnsi="Calibri"/>
                            <w:b/>
                            <w:color w:val="000000"/>
                          </w:rPr>
                          <w:t xml:space="preserve">PICO 6: </w:t>
                        </w:r>
                        <w:r>
                          <w:rPr>
                            <w:rFonts w:ascii="Calibri" w:hAnsi="Calibri"/>
                            <w:b/>
                            <w:color w:val="000000"/>
                          </w:rPr>
                          <w:tab/>
                          <w:t>Серед дорослих людей, які мають ознаки та симптоми ТБ, або рентгенографію грудної клітки з патологіями легень, що свідчать про легеневий ТБ, або обох, чи слід застосовувати лише Xpert MTB/RIF або Xpert Ultra для визначення випадку активної форми туберкульозу (10)?</w:t>
                        </w:r>
                      </w:p>
                      <w:p w:rsidR="00BE6F5B" w:rsidRPr="003E096B" w:rsidRDefault="00BE6F5B" w:rsidP="003E096B">
                        <w:pPr>
                          <w:tabs>
                            <w:tab w:val="left" w:pos="426"/>
                          </w:tabs>
                          <w:spacing w:after="120"/>
                          <w:jc w:val="both"/>
                          <w:rPr>
                            <w:rFonts w:ascii="Calibri" w:hAnsi="Calibri" w:cs="Calibri"/>
                            <w:color w:val="000000"/>
                          </w:rPr>
                        </w:pPr>
                        <w:r>
                          <w:rPr>
                            <w:rFonts w:ascii="Calibri" w:hAnsi="Calibri"/>
                            <w:color w:val="000000"/>
                          </w:rPr>
                          <w:t>6.1</w:t>
                        </w:r>
                        <w:r>
                          <w:rPr>
                            <w:rFonts w:ascii="Calibri" w:hAnsi="Calibri"/>
                            <w:color w:val="000000"/>
                          </w:rPr>
                          <w:tab/>
                          <w:t>Якими є результати Xpert MTB/RIF для діагностики легеневого ТБ серед загальної популяції дорослих, які мають ознаки або симптоми ТБ, або на рентгенографії органів грудної клітки яких спостерігається патологія легень, або обидва варіанти, порівняно з МРС?</w:t>
                        </w:r>
                      </w:p>
                      <w:p w:rsidR="00BE6F5B" w:rsidRPr="003E096B" w:rsidRDefault="00BE6F5B" w:rsidP="003E096B">
                        <w:pPr>
                          <w:tabs>
                            <w:tab w:val="left" w:pos="426"/>
                          </w:tabs>
                          <w:spacing w:after="120"/>
                          <w:jc w:val="both"/>
                          <w:rPr>
                            <w:rFonts w:ascii="Calibri" w:hAnsi="Calibri" w:cs="Calibri"/>
                            <w:color w:val="000000"/>
                          </w:rPr>
                        </w:pPr>
                        <w:r>
                          <w:rPr>
                            <w:rFonts w:ascii="Calibri" w:hAnsi="Calibri"/>
                            <w:color w:val="000000"/>
                          </w:rPr>
                          <w:t>6.2</w:t>
                        </w:r>
                        <w:r>
                          <w:rPr>
                            <w:rFonts w:ascii="Calibri" w:hAnsi="Calibri"/>
                            <w:color w:val="000000"/>
                          </w:rPr>
                          <w:tab/>
                          <w:t>Xpert Ultra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p w:rsidR="00BE6F5B" w:rsidRPr="00F85B2E" w:rsidRDefault="00BE6F5B" w:rsidP="003E096B">
                        <w:pPr>
                          <w:tabs>
                            <w:tab w:val="left" w:pos="426"/>
                          </w:tabs>
                          <w:spacing w:after="120"/>
                          <w:jc w:val="both"/>
                          <w:rPr>
                            <w:rFonts w:asciiTheme="minorHAnsi" w:hAnsiTheme="minorHAnsi" w:cstheme="minorHAnsi"/>
                          </w:rPr>
                        </w:pPr>
                        <w:r>
                          <w:rPr>
                            <w:rFonts w:ascii="Calibri" w:hAnsi="Calibri"/>
                            <w:color w:val="000000"/>
                          </w:rPr>
                          <w:t>6.3</w:t>
                        </w:r>
                        <w:r>
                          <w:rPr>
                            <w:rFonts w:ascii="Calibri" w:hAnsi="Calibri"/>
                            <w:color w:val="000000"/>
                          </w:rPr>
                          <w:tab/>
                          <w:t>Два тести Xpert Ultra порівняно з одним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txbxContent>
                  </v:textbox>
                </v:shape>
                <w10:wrap anchorx="margin"/>
              </v:group>
            </w:pict>
          </mc:Fallback>
        </mc:AlternateContent>
      </w:r>
    </w:p>
    <w:p w:rsidR="00ED665B" w:rsidRPr="00907702" w:rsidRDefault="006C7D2F" w:rsidP="003E096B">
      <w:pPr>
        <w:spacing w:before="4200"/>
        <w:jc w:val="both"/>
        <w:rPr>
          <w:rFonts w:ascii="Calibri" w:hAnsi="Calibri" w:cs="Calibri"/>
        </w:rPr>
      </w:pPr>
      <w:r>
        <w:rPr>
          <w:rFonts w:ascii="Calibri" w:hAnsi="Calibri"/>
          <w:color w:val="000000"/>
          <w:sz w:val="22"/>
        </w:rPr>
        <w:t>Для узагальнення поточної літератури щодо точності діагностики Xpert MTB/RIF та Xpert Ultra для діагностики ТБ та резистентності до рифампіцину були проведені систематичні огляди. Це було зроблено в рамках процесу розробки ВООЗ оновлених вказівок щодо використання молекулярних аналізів, призначених в якості первинних тестів для діагностики легеневого та позалегеневого ТБ у дорослих та дітей. Дані про дітей, якщо можливо, повідомлялися окремо від даних про дорослих.</w:t>
      </w:r>
    </w:p>
    <w:p w:rsidR="00ED665B" w:rsidRPr="00907702" w:rsidRDefault="006C7D2F" w:rsidP="00DC2656">
      <w:pPr>
        <w:spacing w:before="168"/>
        <w:jc w:val="both"/>
        <w:rPr>
          <w:rFonts w:ascii="Calibri" w:hAnsi="Calibri" w:cs="Calibri"/>
        </w:rPr>
      </w:pPr>
      <w:r>
        <w:rPr>
          <w:rFonts w:ascii="Calibri" w:hAnsi="Calibri"/>
          <w:color w:val="000000"/>
          <w:sz w:val="22"/>
        </w:rPr>
        <w:t xml:space="preserve">Якість доказових даних оцінювалася послідовно за допомогою питань PICO і з використанням підходу оцінки рекомендацій «Градації з оцінки, розробки та ранжування рекомендацій» (GRADE), який дає загальну оцінку якості (або визначеності) доказів та основу для перетворення даних у рекомендації. Якість доказових даних оцінюється як висока, середня, низька або дуже низька. Ці чотири категорії «передбачають градієнт довіри до оцінок» </w:t>
      </w:r>
      <w:r>
        <w:rPr>
          <w:rFonts w:ascii="Calibri" w:hAnsi="Calibri"/>
          <w:i/>
          <w:color w:val="000000"/>
          <w:sz w:val="22"/>
        </w:rPr>
        <w:t>(10)</w:t>
      </w:r>
      <w:r>
        <w:rPr>
          <w:rFonts w:ascii="Calibri" w:hAnsi="Calibri"/>
          <w:color w:val="000000"/>
          <w:sz w:val="22"/>
        </w:rPr>
        <w:t>.</w:t>
      </w:r>
      <w:r>
        <w:rPr>
          <w:rFonts w:ascii="Calibri" w:hAnsi="Calibri"/>
          <w:i/>
          <w:color w:val="000000"/>
          <w:sz w:val="22"/>
        </w:rPr>
        <w:t xml:space="preserve"> </w:t>
      </w:r>
      <w:r>
        <w:rPr>
          <w:rFonts w:ascii="Calibri" w:hAnsi="Calibri"/>
          <w:color w:val="000000"/>
          <w:sz w:val="22"/>
        </w:rPr>
        <w:t>У підході GRADE, навіть якщо дослідження точності діагностики несуть функцію спостереження, вони починаються як доказові дані.</w:t>
      </w:r>
    </w:p>
    <w:p w:rsidR="00ED665B" w:rsidRPr="00907702" w:rsidRDefault="006C7D2F" w:rsidP="00DC2656">
      <w:pPr>
        <w:spacing w:before="168"/>
        <w:ind w:left="5" w:right="5"/>
        <w:jc w:val="both"/>
        <w:rPr>
          <w:rFonts w:ascii="Calibri" w:hAnsi="Calibri" w:cs="Calibri"/>
        </w:rPr>
      </w:pPr>
      <w:r>
        <w:rPr>
          <w:rFonts w:ascii="Calibri" w:hAnsi="Calibri"/>
          <w:color w:val="000000"/>
          <w:sz w:val="22"/>
        </w:rPr>
        <w:t>Щонайменше два автори оглядів незалежно один від одного провели якісну оцінку точності діагностичних досліджень-2 (QUADAS). Будь-які незгоди були вирішені шляхом обговорення або консультацій з третім автором рецензії.</w:t>
      </w:r>
    </w:p>
    <w:p w:rsidR="00ED665B" w:rsidRPr="00907702" w:rsidRDefault="006C7D2F" w:rsidP="00DC2656">
      <w:pPr>
        <w:spacing w:before="163"/>
        <w:ind w:left="5" w:right="5"/>
        <w:jc w:val="both"/>
        <w:rPr>
          <w:rFonts w:ascii="Calibri" w:hAnsi="Calibri" w:cs="Calibri"/>
        </w:rPr>
      </w:pPr>
      <w:r>
        <w:rPr>
          <w:rFonts w:ascii="Calibri" w:hAnsi="Calibri"/>
          <w:color w:val="000000"/>
          <w:sz w:val="22"/>
        </w:rPr>
        <w:t>Нарешті, де це застосовано, були проведені метааналізи для оцінки об’єднаної чутливості та специфічності окремо для Xpert MTB/RIF та Xpert Ultra та окремо для ТБ (легеневої чи позалегеневої форм) та резистентності до рифампіцину.</w:t>
      </w:r>
    </w:p>
    <w:p w:rsidR="00ED665B" w:rsidRPr="00907702" w:rsidRDefault="006C7D2F" w:rsidP="00DC2656">
      <w:pPr>
        <w:spacing w:before="168"/>
        <w:ind w:right="10"/>
        <w:jc w:val="both"/>
        <w:rPr>
          <w:rFonts w:ascii="Calibri" w:hAnsi="Calibri" w:cs="Calibri"/>
        </w:rPr>
      </w:pPr>
      <w:r>
        <w:rPr>
          <w:rFonts w:ascii="Calibri" w:hAnsi="Calibri"/>
          <w:color w:val="000000"/>
          <w:sz w:val="22"/>
        </w:rPr>
        <w:t xml:space="preserve">Синтез даних був структурований за заздалегідь заданим списком питань PICO. Деталі досліджень, включених до поточного аналізу, наведені у </w:t>
      </w:r>
      <w:r>
        <w:rPr>
          <w:rFonts w:ascii="Calibri" w:hAnsi="Calibri"/>
          <w:b/>
          <w:color w:val="000000"/>
          <w:sz w:val="22"/>
        </w:rPr>
        <w:t xml:space="preserve">Вебдодатку 1.1 </w:t>
      </w:r>
      <w:r>
        <w:rPr>
          <w:rFonts w:ascii="Calibri" w:hAnsi="Calibri"/>
          <w:color w:val="000000"/>
          <w:sz w:val="22"/>
        </w:rPr>
        <w:t xml:space="preserve">«Тести Xpert MTB/RIF і Xpert Ultra». Огляд результатів та даних щодо оцінки якості доказових даних доступний у </w:t>
      </w:r>
      <w:r>
        <w:rPr>
          <w:rFonts w:ascii="Calibri" w:hAnsi="Calibri"/>
          <w:b/>
          <w:color w:val="000000"/>
          <w:sz w:val="22"/>
        </w:rPr>
        <w:t xml:space="preserve">Вебдодатку 2.1 </w:t>
      </w:r>
      <w:r>
        <w:rPr>
          <w:rFonts w:ascii="Calibri" w:hAnsi="Calibri"/>
          <w:color w:val="000000"/>
          <w:sz w:val="22"/>
        </w:rPr>
        <w:t>«Профілі GRADE»: Тести Xpert MTB/RIF і Xpert Ultra”.</w:t>
      </w:r>
    </w:p>
    <w:p w:rsidR="00ED665B" w:rsidRPr="00907702" w:rsidRDefault="00ED665B" w:rsidP="00DC2656">
      <w:pPr>
        <w:spacing w:before="168"/>
        <w:ind w:right="10"/>
        <w:jc w:val="both"/>
        <w:rPr>
          <w:rFonts w:ascii="Calibri" w:hAnsi="Calibri" w:cs="Calibri"/>
        </w:rPr>
        <w:sectPr w:rsidR="00ED665B" w:rsidRPr="00907702">
          <w:pgSz w:w="11904" w:h="16838"/>
          <w:pgMar w:top="1694" w:right="1416" w:bottom="2203" w:left="1421" w:header="720" w:footer="720" w:gutter="0"/>
          <w:cols w:space="60"/>
          <w:noEndnote/>
        </w:sectPr>
      </w:pPr>
    </w:p>
    <w:p w:rsidR="00ED665B" w:rsidRPr="003E096B" w:rsidRDefault="006C7D2F" w:rsidP="00DC2656">
      <w:pPr>
        <w:ind w:left="859" w:hanging="859"/>
        <w:rPr>
          <w:rFonts w:ascii="Calibri" w:hAnsi="Calibri" w:cs="Calibri"/>
          <w:b/>
          <w:bCs/>
        </w:rPr>
      </w:pPr>
      <w:r>
        <w:rPr>
          <w:rFonts w:ascii="Calibri" w:hAnsi="Calibri"/>
          <w:b/>
          <w:color w:val="000000"/>
          <w:sz w:val="24"/>
        </w:rPr>
        <w:lastRenderedPageBreak/>
        <w:t xml:space="preserve">PICO 1: </w:t>
      </w:r>
      <w:r>
        <w:rPr>
          <w:rFonts w:ascii="Calibri" w:hAnsi="Calibri"/>
          <w:b/>
          <w:color w:val="000000"/>
          <w:sz w:val="24"/>
        </w:rPr>
        <w:tab/>
        <w:t>Чи слід застосовувати Xpert MTB/RIF / Xpert Ultra серед дорослих з ознаками та симптомами легеневого ТБ у лікувальних закладах в якості первинного тесту для діагностики легеневого ТБ та резистентності до рифампіцину?</w:t>
      </w:r>
    </w:p>
    <w:p w:rsidR="00ED665B" w:rsidRPr="003E096B" w:rsidRDefault="006C7D2F" w:rsidP="00DC2656">
      <w:pPr>
        <w:tabs>
          <w:tab w:val="left" w:pos="418"/>
        </w:tabs>
        <w:spacing w:before="283"/>
        <w:rPr>
          <w:rFonts w:ascii="Calibri" w:hAnsi="Calibri" w:cs="Calibri"/>
          <w:b/>
          <w:bCs/>
          <w:i/>
          <w:iCs/>
        </w:rPr>
      </w:pPr>
      <w:r>
        <w:rPr>
          <w:rFonts w:ascii="Calibri" w:hAnsi="Calibri"/>
          <w:b/>
          <w:i/>
          <w:color w:val="000000"/>
          <w:sz w:val="24"/>
        </w:rPr>
        <w:t>1.1.</w:t>
      </w:r>
      <w:r>
        <w:rPr>
          <w:rFonts w:ascii="Calibri" w:hAnsi="Calibri"/>
          <w:b/>
          <w:i/>
          <w:color w:val="000000"/>
          <w:sz w:val="24"/>
        </w:rPr>
        <w:tab/>
        <w:t>Яким є вплив Xpert MTB/RIF на важливі для пацієнта результати (виліковність, смертність, час діагностики та час початку лікування)?</w:t>
      </w:r>
    </w:p>
    <w:p w:rsidR="00ED665B" w:rsidRPr="00907702" w:rsidRDefault="006C7D2F" w:rsidP="00DC2656">
      <w:pPr>
        <w:spacing w:before="178"/>
        <w:ind w:right="5"/>
        <w:jc w:val="both"/>
        <w:rPr>
          <w:rFonts w:ascii="Calibri" w:hAnsi="Calibri" w:cs="Calibri"/>
        </w:rPr>
      </w:pPr>
      <w:r>
        <w:rPr>
          <w:rFonts w:ascii="Calibri" w:hAnsi="Calibri"/>
          <w:color w:val="000000"/>
          <w:sz w:val="22"/>
        </w:rPr>
        <w:t xml:space="preserve">Метою огляду було оцінити вплив на важливі для пацієнта результати діагностичних стратегій за допомогою Xpert MTB/RIF порівняно зі стратегіями за допомогою мікроскопії мазка. Були розглянуті наступні результати: </w:t>
      </w:r>
      <w:r>
        <w:rPr>
          <w:rFonts w:ascii="Calibri" w:hAnsi="Calibri"/>
          <w:b/>
          <w:color w:val="000000"/>
          <w:sz w:val="22"/>
        </w:rPr>
        <w:t>загальна смертність, невдале попереднє лікування, лікування, час до діагностування та час до початку лікування.</w:t>
      </w:r>
    </w:p>
    <w:p w:rsidR="00ED665B" w:rsidRPr="00907702" w:rsidRDefault="006C7D2F" w:rsidP="00DC2656">
      <w:pPr>
        <w:spacing w:before="173"/>
        <w:ind w:right="5"/>
        <w:jc w:val="both"/>
        <w:rPr>
          <w:rFonts w:ascii="Calibri" w:hAnsi="Calibri" w:cs="Calibri"/>
        </w:rPr>
      </w:pPr>
      <w:r>
        <w:rPr>
          <w:rFonts w:ascii="Calibri" w:hAnsi="Calibri"/>
          <w:color w:val="000000"/>
          <w:sz w:val="22"/>
        </w:rPr>
        <w:t xml:space="preserve">Для встановлення впливу Xpert MTB/RIF на важливі для пацієнта результати щодо лікування ТБ було включено сім досліджень (16 421 учасник): два індивідуальні рандомізовані дослідження (Mupfumi 2014; Theron 2014), чотири кластерні рандомізовані дослідження (Churchyard 2015; Cox 2014; Ngwira LG 2017; Durovni 2014) та метааналіз індивідуальних даних пацієнтів (МА ІДП) (Di Tanna 2019) (детальну інформацію про ці та інші дослідження див. у </w:t>
      </w:r>
      <w:r>
        <w:rPr>
          <w:rFonts w:ascii="Calibri" w:hAnsi="Calibri"/>
          <w:b/>
          <w:color w:val="000000"/>
          <w:sz w:val="22"/>
        </w:rPr>
        <w:t>Вебдодатку 1.1</w:t>
      </w:r>
      <w:r>
        <w:rPr>
          <w:rFonts w:ascii="Calibri" w:hAnsi="Calibri"/>
          <w:color w:val="000000"/>
          <w:sz w:val="22"/>
        </w:rPr>
        <w:t xml:space="preserve"> “Тести Xpert MTB/RIF і Xpert Ultra”). Усі дослідження проводилися у країнах з високим тягарем ТБ та з високим тягарем ТБ/ВІЛ. Було проведено два дослідження у Південно-Африканській Республіці (Churchyard 2015; Cox 2014), один у Зімбабве (Mupfumi 2014), один у Малаві (Ngwira LG 2017), один у Бразилії (Durovni 2014) та два багатонаціональні дослідження у центрах Південної Африки, Об’єднаної республіки Танзанії, Замбії та Зімбабве (Theron 2014, Di Tanna 2019). Усі дослідження проводилися в амбулаторних умовах та включали учасників віком від 18 років.</w:t>
      </w:r>
    </w:p>
    <w:p w:rsidR="00ED665B" w:rsidRPr="00907702" w:rsidRDefault="006C7D2F" w:rsidP="00DC2656">
      <w:pPr>
        <w:spacing w:before="168"/>
        <w:ind w:right="10"/>
        <w:jc w:val="both"/>
        <w:rPr>
          <w:rFonts w:ascii="Calibri" w:hAnsi="Calibri" w:cs="Calibri"/>
        </w:rPr>
      </w:pPr>
      <w:r>
        <w:rPr>
          <w:rFonts w:ascii="Calibri" w:hAnsi="Calibri"/>
          <w:b/>
          <w:color w:val="000000"/>
          <w:sz w:val="22"/>
        </w:rPr>
        <w:t>Вебдодаток 4.1:</w:t>
      </w:r>
      <w:r>
        <w:rPr>
          <w:rFonts w:ascii="Calibri" w:hAnsi="Calibri"/>
          <w:color w:val="000000"/>
          <w:sz w:val="22"/>
        </w:rPr>
        <w:t xml:space="preserve"> Вплив діагностичного тесту Xpert MTB/RIF на важливі для пацієнта наслідки лікування ТБ: систематичний огляд.</w:t>
      </w:r>
    </w:p>
    <w:p w:rsidR="00ED665B" w:rsidRPr="0083735C" w:rsidRDefault="006C7D2F" w:rsidP="00DC2656">
      <w:pPr>
        <w:tabs>
          <w:tab w:val="left" w:pos="418"/>
        </w:tabs>
        <w:spacing w:before="274"/>
        <w:ind w:right="499"/>
        <w:rPr>
          <w:rFonts w:ascii="Calibri" w:hAnsi="Calibri" w:cs="Calibri"/>
          <w:b/>
          <w:bCs/>
          <w:i/>
          <w:iCs/>
          <w:sz w:val="22"/>
        </w:rPr>
      </w:pPr>
      <w:r w:rsidRPr="0083735C">
        <w:rPr>
          <w:rFonts w:ascii="Calibri" w:hAnsi="Calibri"/>
          <w:b/>
          <w:i/>
          <w:color w:val="000000"/>
          <w:sz w:val="24"/>
        </w:rPr>
        <w:t>1.2.</w:t>
      </w:r>
      <w:r w:rsidRPr="0083735C">
        <w:rPr>
          <w:rFonts w:ascii="Calibri" w:hAnsi="Calibri"/>
          <w:b/>
          <w:i/>
          <w:color w:val="000000"/>
          <w:sz w:val="24"/>
        </w:rPr>
        <w:tab/>
        <w:t>Яка діагностична точність Xpert MTB/RIF щодо виявлення легеневого ТБ та резистентності до рифампіцину у порівнянні з МРС?</w:t>
      </w:r>
    </w:p>
    <w:p w:rsidR="00ED665B" w:rsidRPr="00907702" w:rsidRDefault="006C7D2F" w:rsidP="00DC2656">
      <w:pPr>
        <w:spacing w:before="178"/>
        <w:jc w:val="both"/>
        <w:rPr>
          <w:rFonts w:ascii="Calibri" w:hAnsi="Calibri" w:cs="Calibri"/>
        </w:rPr>
      </w:pPr>
      <w:r>
        <w:rPr>
          <w:rFonts w:ascii="Calibri" w:hAnsi="Calibri"/>
          <w:color w:val="000000"/>
          <w:sz w:val="22"/>
        </w:rPr>
        <w:t>Метою огляду було оцінити діагностичну точність Xpert MTB/RIF щодо легеневого ТБ та резистентності до рифампіцину у дорослих. Були включені рандомізовані дослідження, поперечні дослідження та когортні дослідження з використанням зразків, взятих із дихальних шляхів, які оцінювали Xpert MTB/RIF самостійно або разом з Xpert Ultra у порівнянні з референс стандартами посіву на виявлення ТБ та ТМЧ на основі посіву або MTBDR</w:t>
      </w:r>
      <w:r w:rsidR="00BE6F5B" w:rsidRPr="00BE6F5B">
        <w:rPr>
          <w:rFonts w:ascii="Calibri" w:hAnsi="Calibri"/>
          <w:i/>
          <w:color w:val="000000"/>
          <w:sz w:val="22"/>
        </w:rPr>
        <w:t>plus</w:t>
      </w:r>
      <w:r>
        <w:rPr>
          <w:rFonts w:ascii="Calibri" w:hAnsi="Calibri"/>
          <w:color w:val="000000"/>
          <w:sz w:val="22"/>
        </w:rPr>
        <w:t xml:space="preserve"> на резистентність до рифампіцину. До уваги бралися тільки дослідження, в яких брали участь дорослі (віком &gt; 15 років). Для оцінки виявлення ТБ були включені дослідження, які оцінювали індексні тести у людей з ознаками та симптомами легеневого ТБ, за винятком досліджень ЛЖВ, де дослідження могли бути включеними незалежно від ознак та симптомів легеневого ТБ (наприклад, дослідження, в ході яких проводилися обстеження на ТБ у ЛЖВ як частина посиленого виявлення випадків або до профілактичної протитуберкульозної терапії).</w:t>
      </w:r>
    </w:p>
    <w:p w:rsidR="00ED665B" w:rsidRPr="00907702" w:rsidRDefault="006C7D2F" w:rsidP="00DC2656">
      <w:pPr>
        <w:spacing w:before="173"/>
        <w:ind w:right="5"/>
        <w:jc w:val="both"/>
        <w:rPr>
          <w:rFonts w:ascii="Calibri" w:hAnsi="Calibri" w:cs="Calibri"/>
        </w:rPr>
      </w:pPr>
      <w:r>
        <w:rPr>
          <w:rFonts w:ascii="Calibri" w:hAnsi="Calibri"/>
          <w:color w:val="000000"/>
          <w:sz w:val="22"/>
        </w:rPr>
        <w:t>Для виявлення легеневого ТБ було враховано загалом 94 дослідження. З них 85 досліджень (40 652 учасники) оцінювали Xpert MTB/RIF, а дев’ять досліджень (3881 учасник) оцінювали як Xpert Ultra, так і Xpert MTB/RIF. З 94 досліджень 50 (53%) проводилися у країнах з високим тягарем ТБ, а 54 (57%) – у країнах з високим тягарем ТБ/ВІЛ. Більшість досліджень мали низький ризик стандартної похибки. Крім того, більшість досліджень невисоку актуальність, оскільки учасники цих досліджень оцінювались в установах закладів первинної медико-санітарної допомоги, місцевих лікарнях або в обох установах.</w:t>
      </w:r>
    </w:p>
    <w:p w:rsidR="00ED665B" w:rsidRPr="00907702" w:rsidRDefault="00ED665B" w:rsidP="00DC2656">
      <w:pPr>
        <w:spacing w:before="173"/>
        <w:ind w:right="5"/>
        <w:jc w:val="both"/>
        <w:rPr>
          <w:rFonts w:ascii="Calibri" w:hAnsi="Calibri" w:cs="Calibri"/>
        </w:rPr>
        <w:sectPr w:rsidR="00ED665B" w:rsidRPr="00907702">
          <w:pgSz w:w="11904" w:h="16838"/>
          <w:pgMar w:top="1378" w:right="1411" w:bottom="1776" w:left="1416" w:header="720" w:footer="720" w:gutter="0"/>
          <w:cols w:space="60"/>
          <w:noEndnote/>
        </w:sectPr>
      </w:pPr>
    </w:p>
    <w:p w:rsidR="00ED665B" w:rsidRPr="00907702" w:rsidRDefault="006C7D2F" w:rsidP="00DC2656">
      <w:pPr>
        <w:jc w:val="both"/>
        <w:rPr>
          <w:rFonts w:ascii="Calibri" w:hAnsi="Calibri" w:cs="Calibri"/>
        </w:rPr>
      </w:pPr>
      <w:r>
        <w:rPr>
          <w:rFonts w:ascii="Calibri" w:hAnsi="Calibri"/>
          <w:color w:val="000000"/>
          <w:sz w:val="22"/>
        </w:rPr>
        <w:lastRenderedPageBreak/>
        <w:t>Для виявлення резистентності до рифампіцину 57 досліджень (8287 учасників) оцінювали Xpert MTB/RIF. 27 з 57 досліджень проводилися у країнах з високим тягарем ТБ із множинною лікарською стійкістю (MЛС-TБ). Більшість досліджень вважалися такими, що мали низький ризик стандартної похибки.</w:t>
      </w:r>
    </w:p>
    <w:p w:rsidR="00ED665B" w:rsidRPr="00907702" w:rsidRDefault="006C7D2F" w:rsidP="00DC2656">
      <w:pPr>
        <w:spacing w:before="163"/>
        <w:ind w:right="5"/>
        <w:jc w:val="both"/>
        <w:rPr>
          <w:rFonts w:ascii="Calibri" w:hAnsi="Calibri" w:cs="Calibri"/>
        </w:rPr>
      </w:pPr>
      <w:r>
        <w:rPr>
          <w:rFonts w:ascii="Calibri" w:hAnsi="Calibri"/>
          <w:b/>
          <w:color w:val="000000"/>
          <w:sz w:val="22"/>
        </w:rPr>
        <w:t>Вебдодаток 4.2:</w:t>
      </w:r>
      <w:r>
        <w:rPr>
          <w:rFonts w:ascii="Calibri" w:hAnsi="Calibri"/>
          <w:color w:val="000000"/>
          <w:sz w:val="22"/>
        </w:rPr>
        <w:t xml:space="preserve"> Xpert MTB/RIF та Xpert Ultra для виявлення активної форми туберкульозу у дорослих з ознаками та симптомами легеневого ТБ: оновлений систематичний огляд.</w:t>
      </w:r>
    </w:p>
    <w:p w:rsidR="00ED665B" w:rsidRPr="006A232C" w:rsidRDefault="006C7D2F" w:rsidP="003E096B">
      <w:pPr>
        <w:spacing w:before="274"/>
        <w:rPr>
          <w:rFonts w:ascii="Calibri" w:hAnsi="Calibri" w:cs="Calibri"/>
          <w:b/>
          <w:bCs/>
          <w:i/>
          <w:iCs/>
          <w:sz w:val="22"/>
        </w:rPr>
      </w:pPr>
      <w:r w:rsidRPr="006A232C">
        <w:rPr>
          <w:rFonts w:ascii="Calibri" w:hAnsi="Calibri"/>
          <w:b/>
          <w:i/>
          <w:color w:val="000000"/>
          <w:sz w:val="24"/>
        </w:rPr>
        <w:t>1.3. Яка діагностична точність Xpert Ultra щодо виявлення легеневого ТБ та резистентності до рифампіцину у порівнянні з МРС?</w:t>
      </w:r>
    </w:p>
    <w:p w:rsidR="00ED665B" w:rsidRPr="00907702" w:rsidRDefault="006C7D2F" w:rsidP="00DC2656">
      <w:pPr>
        <w:spacing w:before="178"/>
        <w:jc w:val="both"/>
        <w:rPr>
          <w:rFonts w:ascii="Calibri" w:hAnsi="Calibri" w:cs="Calibri"/>
        </w:rPr>
      </w:pPr>
      <w:r>
        <w:rPr>
          <w:rFonts w:ascii="Calibri" w:hAnsi="Calibri"/>
          <w:color w:val="000000"/>
          <w:sz w:val="22"/>
        </w:rPr>
        <w:t>Для виявлення легеневого ТБ загалом дев’ять досліджень (3881 учасник) оцінювали як Xpert Ultra, так і Xpert MTB/RIF. Для Xpert Ultra також застосовували складений референс стандарт, який включав клінічні компоненти, визначені авторами первинного дослідження. Для виявлення резистентності до рифампіцину оцінювали Xpert MTB/RIF у восьми дослідженнях (1039 учасників). Загальна кількість досліджень Xpert Ultra включає одне дослідження, яке надало дані для двох груп; тому ми класифікували їх як два різних дослідження – Mishra 2019a та Mishra 2019b. Більшість досліджень вважалися такими, що мали високу якість доказових даних.</w:t>
      </w:r>
    </w:p>
    <w:p w:rsidR="00ED665B" w:rsidRPr="00907702" w:rsidRDefault="006C7D2F" w:rsidP="00DC2656">
      <w:pPr>
        <w:spacing w:before="163"/>
        <w:ind w:right="5"/>
        <w:jc w:val="both"/>
        <w:rPr>
          <w:rFonts w:ascii="Calibri" w:hAnsi="Calibri" w:cs="Calibri"/>
        </w:rPr>
      </w:pPr>
      <w:r>
        <w:rPr>
          <w:rFonts w:ascii="Calibri" w:hAnsi="Calibri"/>
          <w:b/>
          <w:color w:val="000000"/>
          <w:sz w:val="22"/>
        </w:rPr>
        <w:t>Вебдодаток 4.2:</w:t>
      </w:r>
      <w:r>
        <w:rPr>
          <w:rFonts w:ascii="Calibri" w:hAnsi="Calibri"/>
          <w:color w:val="000000"/>
          <w:sz w:val="22"/>
        </w:rPr>
        <w:t xml:space="preserve"> Xpert MTB/RIF та Xpert Ultra для виявлення активної форми туберкульозу у дорослих з ознаками та симптомами легеневого ТБ: оновлений систематичний огляд.</w:t>
      </w:r>
    </w:p>
    <w:p w:rsidR="00ED665B" w:rsidRPr="003E096B" w:rsidRDefault="006C7D2F" w:rsidP="00DC2656">
      <w:pPr>
        <w:spacing w:before="274"/>
        <w:ind w:left="859" w:right="38" w:hanging="859"/>
        <w:jc w:val="both"/>
        <w:rPr>
          <w:rFonts w:ascii="Calibri" w:hAnsi="Calibri" w:cs="Calibri"/>
          <w:b/>
          <w:bCs/>
        </w:rPr>
      </w:pPr>
      <w:r>
        <w:rPr>
          <w:rFonts w:ascii="Calibri" w:hAnsi="Calibri"/>
          <w:b/>
          <w:color w:val="000000"/>
          <w:sz w:val="24"/>
        </w:rPr>
        <w:t xml:space="preserve">PICO 2: </w:t>
      </w:r>
      <w:r>
        <w:rPr>
          <w:rFonts w:ascii="Calibri" w:hAnsi="Calibri"/>
          <w:b/>
          <w:color w:val="000000"/>
          <w:sz w:val="24"/>
        </w:rPr>
        <w:tab/>
        <w:t>Чи слід застосовувати Xpert MTB/RIF/Xpert Ultra серед дітей з ознаками та симптомами легеневого ТБ у лікувальних закладах в якості первинного тесту для діагностики легеневого ТБ та резистентності до рифампіцину?</w:t>
      </w:r>
    </w:p>
    <w:p w:rsidR="00ED665B" w:rsidRPr="003E096B" w:rsidRDefault="006C7D2F" w:rsidP="003E096B">
      <w:pPr>
        <w:spacing w:before="283"/>
        <w:rPr>
          <w:rFonts w:ascii="Calibri" w:hAnsi="Calibri" w:cs="Calibri"/>
          <w:b/>
          <w:bCs/>
          <w:i/>
          <w:iCs/>
        </w:rPr>
      </w:pPr>
      <w:r>
        <w:rPr>
          <w:rFonts w:ascii="Calibri" w:hAnsi="Calibri"/>
          <w:b/>
          <w:i/>
          <w:color w:val="000000"/>
          <w:sz w:val="24"/>
        </w:rPr>
        <w:t>2.1. Яка діагностична точність Xpert MTB/RIF щодо виявлення легеневого ТБ та резистентності до рифампіцину у дітей порівняно з МРС та СРС?</w:t>
      </w:r>
    </w:p>
    <w:p w:rsidR="00ED665B" w:rsidRPr="00907702" w:rsidRDefault="006C7D2F" w:rsidP="00DC2656">
      <w:pPr>
        <w:spacing w:before="178"/>
        <w:jc w:val="both"/>
        <w:rPr>
          <w:rFonts w:ascii="Calibri" w:hAnsi="Calibri" w:cs="Calibri"/>
        </w:rPr>
      </w:pPr>
      <w:r>
        <w:rPr>
          <w:rFonts w:ascii="Calibri" w:hAnsi="Calibri"/>
          <w:color w:val="000000"/>
          <w:sz w:val="22"/>
        </w:rPr>
        <w:t>Початковий пошук виявив 835 окремі записи з одним додатковим посиланням, визначеним через інші джерела, що загалом склало 836 записів, з яких 707 було виключено. Спочатку було знайдено решту 129 статей. Після огляду всього тексту в кількісний метааналіз було включено 50 досліджень; з них 40 (80%) припадало на країни з високим тягарем ТБ та 10 – на країни з високим тягарем ТБ/ВІЛ. Для виявлення легеневого ТБ було включено 43 дослідження, які оцінювали діагностичну точність Xpert MTB/RIF у дітей, і три, які оцінювали як Xpert Ultra, так і Xpert MTB/RIF. Сорок два дослідження оцінювали випадки легеневого ТБ з використанням референс стандарту посіву, а одне дослідження оцінювало легеневий ТБ лише за допомогою мікроскопії мазка.</w:t>
      </w:r>
    </w:p>
    <w:p w:rsidR="00ED665B" w:rsidRPr="00907702" w:rsidRDefault="006C7D2F" w:rsidP="00DC2656">
      <w:pPr>
        <w:spacing w:before="168"/>
        <w:jc w:val="both"/>
        <w:rPr>
          <w:rFonts w:ascii="Calibri" w:hAnsi="Calibri" w:cs="Calibri"/>
        </w:rPr>
      </w:pPr>
      <w:r>
        <w:rPr>
          <w:rFonts w:ascii="Calibri" w:hAnsi="Calibri"/>
          <w:color w:val="000000"/>
          <w:sz w:val="22"/>
        </w:rPr>
        <w:t xml:space="preserve">З точки зору методологічної якості, у галузі відбору пацієнтів більшість досліджень (83%), що оцінювали легеневий ТБ, вважали такими, що мають низький ризик стандартної похибки. В області індексного тестування всі дослідження вважалися такими, що мають низький ризик стандартної похибки. В області потокового і часового тестування більшість досліджень (88%) вважалися такими, що мають низький ризик стандартної похибки. Що стосується області референс стандарту стосовно МРС, у 47% досліджень було визнано невизначений ризик стандартної похибки, оскільки для виключення ТБ використовувався лише один посів. Що стосується складеного референс стандарту, то в усіх дослідженнях було визнано незрозумілий ризик стандартної похибки через недосконалу точність складеного референс стандарту та різні визначення цього стандарту, що використовуються авторами первинного дослідження. Що стосується застосовності, то в області вибору пацієнтів 50% досліджень було оцінено як такі, що мають високий або нечіткий ризик стандартної похибки, оскільки учасників оцінювали виключно </w:t>
      </w:r>
    </w:p>
    <w:p w:rsidR="00ED665B" w:rsidRPr="00907702" w:rsidRDefault="00ED665B" w:rsidP="00DC2656">
      <w:pPr>
        <w:spacing w:before="168"/>
        <w:jc w:val="both"/>
        <w:rPr>
          <w:rFonts w:ascii="Calibri" w:hAnsi="Calibri" w:cs="Calibri"/>
        </w:rPr>
        <w:sectPr w:rsidR="00ED665B" w:rsidRPr="00907702">
          <w:pgSz w:w="11904" w:h="16838"/>
          <w:pgMar w:top="1339" w:right="1416" w:bottom="1541" w:left="1416" w:header="720" w:footer="720" w:gutter="0"/>
          <w:cols w:space="60"/>
          <w:noEndnote/>
        </w:sectPr>
      </w:pPr>
    </w:p>
    <w:p w:rsidR="00ED665B" w:rsidRPr="00907702" w:rsidRDefault="006A232C" w:rsidP="00DC2656">
      <w:pPr>
        <w:ind w:right="5"/>
        <w:jc w:val="both"/>
        <w:rPr>
          <w:rFonts w:ascii="Calibri" w:hAnsi="Calibri" w:cs="Calibri"/>
        </w:rPr>
      </w:pPr>
      <w:r>
        <w:rPr>
          <w:rFonts w:ascii="Calibri" w:hAnsi="Calibri"/>
          <w:color w:val="000000"/>
          <w:sz w:val="22"/>
        </w:rPr>
        <w:lastRenderedPageBreak/>
        <w:t xml:space="preserve">як пацієнтів стаціонарних закладів у центрах третинної </w:t>
      </w:r>
      <w:r w:rsidR="006C7D2F">
        <w:rPr>
          <w:rFonts w:ascii="Calibri" w:hAnsi="Calibri"/>
          <w:color w:val="000000"/>
          <w:sz w:val="22"/>
        </w:rPr>
        <w:t>допомоги, або клінічні умови були неясними. Щодо застосовності індексного тесту, більшість досліджень (72%) були оцінені як такі, що мають невелике значення через стандартизоване застосування індексних тестів. В одинадцяти дослідженнях, в яких оцінювався кал як зразок для Xpert MTB/RIF або Xpert Ultra, було визнано, що існує незрозумілий ризик стандартної похибки через відсутність стандартизованого протоколу підготовки калу. Застосування референс стандарту було розглянуто як таке, що має незначне відношення до більшості досліджень (93%).</w:t>
      </w:r>
    </w:p>
    <w:p w:rsidR="00ED665B" w:rsidRPr="00907702" w:rsidRDefault="006C7D2F" w:rsidP="00DC2656">
      <w:pPr>
        <w:spacing w:before="168"/>
        <w:ind w:right="5"/>
        <w:jc w:val="both"/>
        <w:rPr>
          <w:rFonts w:ascii="Calibri" w:hAnsi="Calibri" w:cs="Calibri"/>
        </w:rPr>
      </w:pPr>
      <w:r>
        <w:rPr>
          <w:rFonts w:ascii="Calibri" w:hAnsi="Calibri"/>
          <w:color w:val="000000"/>
          <w:sz w:val="22"/>
        </w:rPr>
        <w:t>Для отримання даних щодо виявлення резистентності до рифампіцину було включено шість досліджень. Усі шість досліджень (223 учасники) оцінювали лише Xpert MTB/RIF та проводились у країнах з високим тягарем ТБ та у країнах з високим тягарем ТБ із множинною лікарською стійкістю (MЛС-TБ). Серед досліджень 50% мали низький ризик стандартної похибки щодо вибору пацієнта, тоді як усі дослідження мали низький ризик стандартної похибки щодо референс стандарту. Ризик стандартної похибки вважався низьким для референс стандарту, якщо використовувався автоматизований процес або було зрозуміло, що результати референс стандарту інтерпретуються без знання результатів індексних тестів. У всіх шести дослідженнях виникали проблеми щодо підбору пацієнтів через зарахування виключно до стаціонарних або третинних центрів.</w:t>
      </w:r>
    </w:p>
    <w:p w:rsidR="00ED665B" w:rsidRPr="00907702" w:rsidRDefault="006C7D2F" w:rsidP="00DC2656">
      <w:pPr>
        <w:spacing w:before="168"/>
        <w:jc w:val="both"/>
        <w:rPr>
          <w:rFonts w:ascii="Calibri" w:hAnsi="Calibri" w:cs="Calibri"/>
        </w:rPr>
      </w:pPr>
      <w:r>
        <w:rPr>
          <w:rFonts w:ascii="Calibri" w:hAnsi="Calibri"/>
          <w:color w:val="000000"/>
          <w:sz w:val="22"/>
        </w:rPr>
        <w:t>Для метааналізу в цілому 23 дослідження (6612 учасників) оцінювали зразки мокротиння; 14 досліджень (3468 учасників) оцінювали зразки, взяті зі шлунку; у чотирьох дослідженнях (1125 учасників) оцінювалися назофарингеальні зразки; та 11 досліджень (1592 учасники) оцінювали зразки калу – в усіх цих дослідженнях оцінювалися лише результати Xpert MTB/RIF. Три дослідження (753 учасники) оцінювали як Xpert MTB/RIF, так і Xpert Ultra у зразках замороженого мокротиння. В одному дослідженні (195 учасників) було оцінено як Xpert MTB/RIF, так і Xpert Ultra у назофарингеальних зразках.</w:t>
      </w:r>
    </w:p>
    <w:p w:rsidR="00ED665B" w:rsidRPr="008E12CA" w:rsidRDefault="006C7D2F" w:rsidP="003E096B">
      <w:pPr>
        <w:spacing w:before="274"/>
        <w:ind w:right="5"/>
        <w:rPr>
          <w:rFonts w:ascii="Calibri" w:hAnsi="Calibri" w:cs="Calibri"/>
          <w:b/>
          <w:bCs/>
          <w:i/>
          <w:sz w:val="22"/>
        </w:rPr>
      </w:pPr>
      <w:r w:rsidRPr="008E12CA">
        <w:rPr>
          <w:rFonts w:ascii="Calibri" w:hAnsi="Calibri"/>
          <w:b/>
          <w:i/>
          <w:color w:val="000000"/>
          <w:sz w:val="24"/>
        </w:rPr>
        <w:t>2.2. Яка діагностична точність Xpert Ultra щодо виявлення легеневого ТБ та резистентності до рифампіцину у дітей порівняно з МРС та СРС?</w:t>
      </w:r>
    </w:p>
    <w:p w:rsidR="00ED665B" w:rsidRPr="00907702" w:rsidRDefault="006C7D2F" w:rsidP="00DC2656">
      <w:pPr>
        <w:spacing w:before="173"/>
        <w:ind w:right="5"/>
        <w:jc w:val="both"/>
        <w:rPr>
          <w:rFonts w:ascii="Calibri" w:hAnsi="Calibri" w:cs="Calibri"/>
        </w:rPr>
      </w:pPr>
      <w:r>
        <w:rPr>
          <w:rFonts w:ascii="Calibri" w:hAnsi="Calibri"/>
          <w:color w:val="000000"/>
          <w:sz w:val="22"/>
        </w:rPr>
        <w:t>У жодному дослідженні не оцінювалося лише Xpert Ultra. Три дослідження (753 учасники) оцінювали як Xpert MTB/RIF, так і Xpert Ultra у зразках замороженого мокротиння. В одному дослідженні (195 учасників) було оцінено як Xpert MTB/RIF, так і Xpert Ultra у назофарингеальних зразках.</w:t>
      </w:r>
    </w:p>
    <w:p w:rsidR="00ED665B" w:rsidRPr="00907702" w:rsidRDefault="006C7D2F" w:rsidP="00DC2656">
      <w:pPr>
        <w:spacing w:before="168"/>
        <w:ind w:right="5"/>
        <w:jc w:val="both"/>
        <w:rPr>
          <w:rFonts w:ascii="Calibri" w:hAnsi="Calibri" w:cs="Calibri"/>
        </w:rPr>
      </w:pPr>
      <w:r>
        <w:rPr>
          <w:rFonts w:ascii="Calibri" w:hAnsi="Calibri"/>
          <w:b/>
          <w:color w:val="000000"/>
          <w:sz w:val="22"/>
        </w:rPr>
        <w:t>Вебдодаток 4.4:</w:t>
      </w:r>
      <w:r>
        <w:rPr>
          <w:rFonts w:ascii="Calibri" w:hAnsi="Calibri"/>
          <w:color w:val="000000"/>
          <w:sz w:val="22"/>
        </w:rPr>
        <w:t xml:space="preserve"> Xpert MTB/RIF та Xpert Ultra для виявлення активної форми туберкульозу у дітей: оновлений систематичний огляд.</w:t>
      </w:r>
    </w:p>
    <w:p w:rsidR="00ED665B" w:rsidRPr="003E096B" w:rsidRDefault="006C7D2F" w:rsidP="00DC2656">
      <w:pPr>
        <w:spacing w:before="274"/>
        <w:ind w:left="859" w:hanging="859"/>
        <w:rPr>
          <w:rFonts w:ascii="Calibri" w:hAnsi="Calibri" w:cs="Calibri"/>
          <w:b/>
          <w:bCs/>
        </w:rPr>
      </w:pPr>
      <w:r>
        <w:rPr>
          <w:rFonts w:ascii="Calibri" w:hAnsi="Calibri"/>
          <w:b/>
          <w:color w:val="000000"/>
          <w:sz w:val="24"/>
        </w:rPr>
        <w:t xml:space="preserve">PICO 3: </w:t>
      </w:r>
      <w:r>
        <w:rPr>
          <w:rFonts w:ascii="Calibri" w:hAnsi="Calibri"/>
          <w:b/>
          <w:color w:val="000000"/>
          <w:sz w:val="24"/>
        </w:rPr>
        <w:tab/>
        <w:t>Чи слід застосовувати Xpert MTB/RIF/Xpert Ultra серед дорослих з ознаками та симптомами легеневого ТБ у лікувальних закладах в якості первинного тесту для діагностики легеневого ТБ та резистентності до рифампіцину?</w:t>
      </w:r>
    </w:p>
    <w:p w:rsidR="00ED665B" w:rsidRPr="003E096B" w:rsidRDefault="006C7D2F" w:rsidP="00DC2656">
      <w:pPr>
        <w:spacing w:before="288"/>
        <w:rPr>
          <w:rFonts w:ascii="Calibri" w:hAnsi="Calibri" w:cs="Calibri"/>
          <w:b/>
          <w:bCs/>
          <w:i/>
          <w:iCs/>
        </w:rPr>
      </w:pPr>
      <w:r>
        <w:rPr>
          <w:rFonts w:ascii="Calibri" w:hAnsi="Calibri"/>
          <w:b/>
          <w:i/>
          <w:color w:val="000000"/>
          <w:sz w:val="24"/>
        </w:rPr>
        <w:t>3</w:t>
      </w:r>
      <w:r w:rsidR="008E12CA">
        <w:rPr>
          <w:rFonts w:ascii="Calibri" w:hAnsi="Calibri"/>
          <w:b/>
          <w:i/>
          <w:color w:val="000000"/>
          <w:sz w:val="24"/>
        </w:rPr>
        <w:t>.</w:t>
      </w:r>
      <w:r>
        <w:rPr>
          <w:rFonts w:ascii="Calibri" w:hAnsi="Calibri"/>
          <w:b/>
          <w:i/>
          <w:color w:val="000000"/>
          <w:sz w:val="24"/>
        </w:rPr>
        <w:t>1. Яка діагностична точність Xpert MTB/RIF щодо позалегеневого ТБ та резистентності до рифампіцину у дорослих порівняно з МРС та СРС?</w:t>
      </w:r>
    </w:p>
    <w:p w:rsidR="00ED665B" w:rsidRPr="00907702" w:rsidRDefault="006C7D2F" w:rsidP="00DC2656">
      <w:pPr>
        <w:spacing w:before="178"/>
        <w:ind w:right="5"/>
        <w:jc w:val="both"/>
        <w:rPr>
          <w:rFonts w:ascii="Calibri" w:hAnsi="Calibri" w:cs="Calibri"/>
        </w:rPr>
      </w:pPr>
      <w:r>
        <w:rPr>
          <w:rFonts w:ascii="Calibri" w:hAnsi="Calibri"/>
          <w:color w:val="000000"/>
          <w:sz w:val="22"/>
        </w:rPr>
        <w:t>Існують труднощі з отриманням позалегеневих зразків як у дітей, так і у дорослих, а також технічні обмеження звичайних бактеріологічних методів для полегшення діагностики. Таким чином, різні нелегеневі зразки та складені референс стандарти часто використовуються при оцінці працездатності нових діагностичних технологій при позалегеневому ТБ.</w:t>
      </w:r>
    </w:p>
    <w:p w:rsidR="00ED665B" w:rsidRPr="00907702" w:rsidRDefault="00ED665B" w:rsidP="00DC2656">
      <w:pPr>
        <w:spacing w:before="178"/>
        <w:ind w:right="5"/>
        <w:jc w:val="both"/>
        <w:rPr>
          <w:rFonts w:ascii="Calibri" w:hAnsi="Calibri" w:cs="Calibri"/>
        </w:rPr>
        <w:sectPr w:rsidR="00ED665B" w:rsidRPr="00907702">
          <w:pgSz w:w="11904" w:h="16838"/>
          <w:pgMar w:top="1339" w:right="1411" w:bottom="1891" w:left="1416" w:header="720" w:footer="720" w:gutter="0"/>
          <w:cols w:space="60"/>
          <w:noEndnote/>
        </w:sectPr>
      </w:pPr>
    </w:p>
    <w:p w:rsidR="00ED665B" w:rsidRPr="00907702" w:rsidRDefault="006C7D2F" w:rsidP="00DC2656">
      <w:pPr>
        <w:ind w:right="5"/>
        <w:jc w:val="both"/>
        <w:rPr>
          <w:rFonts w:ascii="Calibri" w:hAnsi="Calibri" w:cs="Calibri"/>
        </w:rPr>
      </w:pPr>
      <w:r>
        <w:rPr>
          <w:rFonts w:ascii="Calibri" w:hAnsi="Calibri"/>
          <w:color w:val="000000"/>
          <w:sz w:val="22"/>
        </w:rPr>
        <w:lastRenderedPageBreak/>
        <w:t>Для виявлення позалегеневого ТБ було включено 65 досліджень. Всього 63 дослідження (13 144 учасники) оцінювали Xpert MTB/RIF, у тому числі п’ять, які оцінювали як Xpert MTB/RIF, так і Xpert Ultra. Включені дослідження оцінювали Xpert MTB/RIF на зразках спинномозкової рідини (СМР), що включають аспірат лімфатичних вузлів, біопсію лімфатичних вузлів, плевральну рідину, сечу, синовіальну рідину, перитонеальну рідину, перикардіальну рідину та кров.</w:t>
      </w:r>
    </w:p>
    <w:p w:rsidR="00ED665B" w:rsidRPr="00907702" w:rsidRDefault="006C7D2F" w:rsidP="00DC2656">
      <w:pPr>
        <w:spacing w:before="168"/>
        <w:ind w:right="5"/>
        <w:jc w:val="both"/>
        <w:rPr>
          <w:rFonts w:ascii="Calibri" w:hAnsi="Calibri" w:cs="Calibri"/>
        </w:rPr>
      </w:pPr>
      <w:r>
        <w:rPr>
          <w:rFonts w:ascii="Calibri" w:hAnsi="Calibri"/>
          <w:color w:val="000000"/>
          <w:sz w:val="22"/>
        </w:rPr>
        <w:t>Із загального обсягу, що дорівнює 65 дослідженням, 39 (60%) проводилися у країнах з високим тягарем ТБ, а 41 (63%) – у країнах з високим тягарем ТБ/ВІЛ. Стосовно добору пацієнтів, індексного тестування, потокового тестування та часового тестування оцінювали ризик стандартної похибки як низький; і високий або незрозумілий стосовно референс стандарту, оскільки в ході багатьох досліджень стерильні зразки перед щепленням культуральної інокуляції знезаражуються. Що стосується застосовності, то для більшості досліджень в області вибору пацієнтів було виражено високе або нечітке занепокоєння, оскільки учасників оцінювали виключно як пацієнтів стаціонарних закладів у центрах третинної допомоги, або клінічні умови були неясними.</w:t>
      </w:r>
    </w:p>
    <w:p w:rsidR="00ED665B" w:rsidRPr="00907702" w:rsidRDefault="006C7D2F" w:rsidP="00DC2656">
      <w:pPr>
        <w:spacing w:before="168"/>
        <w:ind w:right="10"/>
        <w:jc w:val="both"/>
        <w:rPr>
          <w:rFonts w:ascii="Calibri" w:hAnsi="Calibri" w:cs="Calibri"/>
        </w:rPr>
      </w:pPr>
      <w:r>
        <w:rPr>
          <w:rFonts w:ascii="Calibri" w:hAnsi="Calibri"/>
          <w:b/>
          <w:color w:val="000000"/>
          <w:sz w:val="22"/>
        </w:rPr>
        <w:t>Додаток 4.3:</w:t>
      </w:r>
      <w:r>
        <w:rPr>
          <w:rFonts w:ascii="Calibri" w:hAnsi="Calibri"/>
          <w:color w:val="000000"/>
          <w:sz w:val="22"/>
        </w:rPr>
        <w:t xml:space="preserve"> Xpert MTB/RIF та Xpert Ultra для виявлення активної форми туберкульозу у дорослих людей з ознаками та симптомами позалегеневого ТБ: оновлений систематичний огляд.</w:t>
      </w:r>
    </w:p>
    <w:p w:rsidR="00ED665B" w:rsidRPr="008E12CA" w:rsidRDefault="006C7D2F" w:rsidP="00DC2656">
      <w:pPr>
        <w:spacing w:before="278"/>
        <w:rPr>
          <w:rFonts w:ascii="Calibri" w:hAnsi="Calibri" w:cs="Calibri"/>
          <w:b/>
          <w:bCs/>
          <w:i/>
          <w:iCs/>
          <w:sz w:val="22"/>
        </w:rPr>
      </w:pPr>
      <w:r w:rsidRPr="008E12CA">
        <w:rPr>
          <w:rFonts w:ascii="Calibri" w:hAnsi="Calibri"/>
          <w:b/>
          <w:i/>
          <w:color w:val="000000"/>
          <w:sz w:val="24"/>
        </w:rPr>
        <w:t>3</w:t>
      </w:r>
      <w:r w:rsidR="008E12CA" w:rsidRPr="008E12CA">
        <w:rPr>
          <w:rFonts w:ascii="Calibri" w:hAnsi="Calibri"/>
          <w:b/>
          <w:i/>
          <w:color w:val="000000"/>
          <w:sz w:val="24"/>
        </w:rPr>
        <w:t>.</w:t>
      </w:r>
      <w:r w:rsidRPr="008E12CA">
        <w:rPr>
          <w:rFonts w:ascii="Calibri" w:hAnsi="Calibri"/>
          <w:b/>
          <w:i/>
          <w:color w:val="000000"/>
          <w:sz w:val="24"/>
        </w:rPr>
        <w:t>2. Яка діагностична точність Xpert Ultra щодо виявлення позалегеневого ТБ та резистентності до рифампіцину у дорослих у порівнянні з МРС?</w:t>
      </w:r>
    </w:p>
    <w:p w:rsidR="00ED665B" w:rsidRPr="00907702" w:rsidRDefault="006C7D2F" w:rsidP="00DC2656">
      <w:pPr>
        <w:spacing w:before="178"/>
        <w:jc w:val="both"/>
        <w:rPr>
          <w:rFonts w:ascii="Calibri" w:hAnsi="Calibri" w:cs="Calibri"/>
        </w:rPr>
      </w:pPr>
      <w:r>
        <w:rPr>
          <w:rFonts w:ascii="Calibri" w:hAnsi="Calibri"/>
          <w:color w:val="000000"/>
          <w:sz w:val="22"/>
        </w:rPr>
        <w:t>Шість досліджень (507 учасників) оцінювали Xpert Ultra для виявлення позалегеневого ТБ. Включені дослідження оцінювали тест на зразках СМР, що включає біопсію лімфатичних вузлів, плевральну рідину, сечу та синовіальну рідину. Висловлювались серйозні занепокоєння щодо того, що дані є непрямими; ці проблеми стосувалися застосовності (тобто докази були зібрані у третинних реферальних медичних центрах) та неточності доказів, пов’язаних здебільшого з низькою кількістю учасників, які брали участь у дослідженнях. Достовірність даних, як правило, оцінювалася як низька і дуже низька.</w:t>
      </w:r>
    </w:p>
    <w:p w:rsidR="00ED665B" w:rsidRPr="00907702" w:rsidRDefault="006C7D2F" w:rsidP="00DC2656">
      <w:pPr>
        <w:spacing w:before="168"/>
        <w:ind w:right="10"/>
        <w:jc w:val="both"/>
        <w:rPr>
          <w:rFonts w:ascii="Calibri" w:hAnsi="Calibri" w:cs="Calibri"/>
        </w:rPr>
      </w:pPr>
      <w:r>
        <w:rPr>
          <w:rFonts w:ascii="Calibri" w:hAnsi="Calibri"/>
          <w:b/>
          <w:color w:val="000000"/>
          <w:sz w:val="22"/>
        </w:rPr>
        <w:t>Вебдодаток 4.3:</w:t>
      </w:r>
      <w:r>
        <w:rPr>
          <w:rFonts w:ascii="Calibri" w:hAnsi="Calibri"/>
          <w:color w:val="000000"/>
          <w:sz w:val="22"/>
        </w:rPr>
        <w:t xml:space="preserve"> Xpert MTB/RIF та Xpert Ultra для виявлення активної форми туберкульозу у дорослих людей з ознаками та симптомами позалегеневого ТБ: оновлений систематичний огляд.</w:t>
      </w:r>
    </w:p>
    <w:p w:rsidR="00ED665B" w:rsidRPr="003E096B" w:rsidRDefault="006C7D2F" w:rsidP="00DC2656">
      <w:pPr>
        <w:spacing w:before="274"/>
        <w:ind w:left="859" w:hanging="859"/>
        <w:rPr>
          <w:rFonts w:ascii="Calibri" w:hAnsi="Calibri" w:cs="Calibri"/>
          <w:b/>
          <w:bCs/>
        </w:rPr>
      </w:pPr>
      <w:r>
        <w:rPr>
          <w:rFonts w:ascii="Calibri" w:hAnsi="Calibri"/>
          <w:b/>
          <w:color w:val="000000"/>
          <w:sz w:val="24"/>
        </w:rPr>
        <w:t xml:space="preserve">PICO 4: </w:t>
      </w:r>
      <w:r>
        <w:rPr>
          <w:rFonts w:ascii="Calibri" w:hAnsi="Calibri"/>
          <w:b/>
          <w:color w:val="000000"/>
          <w:sz w:val="24"/>
        </w:rPr>
        <w:tab/>
        <w:t>Чи слід застосовувати Xpert MTB/RIF/Xpert Ultra серед дітей з ознаками та симптомами позалегеневого ТБ та резистентності до рифампіцину у лікувальних закладах в якості первинного тесту для діагностики позалегеневого ТБ та резистентності до рифампіцину?</w:t>
      </w:r>
    </w:p>
    <w:p w:rsidR="00ED665B" w:rsidRPr="003E096B" w:rsidRDefault="006C7D2F" w:rsidP="00DC2656">
      <w:pPr>
        <w:numPr>
          <w:ilvl w:val="0"/>
          <w:numId w:val="8"/>
        </w:numPr>
        <w:tabs>
          <w:tab w:val="left" w:pos="437"/>
        </w:tabs>
        <w:spacing w:before="288"/>
        <w:rPr>
          <w:rFonts w:ascii="Calibri" w:hAnsi="Calibri" w:cs="Calibri"/>
          <w:b/>
          <w:bCs/>
          <w:i/>
          <w:iCs/>
          <w:color w:val="000000"/>
          <w:sz w:val="24"/>
          <w:szCs w:val="24"/>
        </w:rPr>
      </w:pPr>
      <w:r>
        <w:rPr>
          <w:rFonts w:ascii="Calibri" w:hAnsi="Calibri"/>
          <w:b/>
          <w:i/>
          <w:color w:val="000000"/>
          <w:sz w:val="24"/>
        </w:rPr>
        <w:t>Яка діагностична точність Xpert MTB/RIF щодо позалегеневого ТБ та резистентності до рифампіцину у дітей порівняно з МРС та СРС?</w:t>
      </w:r>
    </w:p>
    <w:p w:rsidR="00ED665B" w:rsidRPr="003E096B" w:rsidRDefault="006C7D2F" w:rsidP="00DC2656">
      <w:pPr>
        <w:numPr>
          <w:ilvl w:val="0"/>
          <w:numId w:val="8"/>
        </w:numPr>
        <w:tabs>
          <w:tab w:val="left" w:pos="437"/>
        </w:tabs>
        <w:spacing w:before="283"/>
        <w:rPr>
          <w:rFonts w:ascii="Calibri" w:hAnsi="Calibri" w:cs="Calibri"/>
          <w:b/>
          <w:bCs/>
          <w:i/>
          <w:iCs/>
          <w:color w:val="000000"/>
          <w:sz w:val="24"/>
          <w:szCs w:val="24"/>
        </w:rPr>
      </w:pPr>
      <w:r>
        <w:rPr>
          <w:rFonts w:ascii="Calibri" w:hAnsi="Calibri"/>
          <w:b/>
          <w:i/>
          <w:color w:val="000000"/>
          <w:sz w:val="24"/>
        </w:rPr>
        <w:t>Яка діагностична точність Xpert Ultra щодо позалегеневого ТБ та резистентності до рифампіцину у дітей порівняно з МРС та СРС?</w:t>
      </w:r>
    </w:p>
    <w:p w:rsidR="00ED665B" w:rsidRPr="00907702" w:rsidRDefault="006C7D2F" w:rsidP="00DC2656">
      <w:pPr>
        <w:spacing w:before="178"/>
        <w:ind w:right="5"/>
        <w:jc w:val="both"/>
        <w:rPr>
          <w:rFonts w:ascii="Calibri" w:hAnsi="Calibri" w:cs="Calibri"/>
        </w:rPr>
      </w:pPr>
      <w:r>
        <w:rPr>
          <w:rFonts w:ascii="Calibri" w:hAnsi="Calibri"/>
          <w:color w:val="000000"/>
          <w:sz w:val="22"/>
        </w:rPr>
        <w:t>Для оцінки виявлення позалегеневого ТБ були включені дослідження, які оцінювали діагностичну точність Xpert MTB/RIF у дітей з ознаками або симптомами ТБ лімфатичних вузлів чи туберкульозного менінгіту.</w:t>
      </w:r>
    </w:p>
    <w:p w:rsidR="00ED665B" w:rsidRPr="00907702" w:rsidRDefault="006C7D2F" w:rsidP="006A232C">
      <w:pPr>
        <w:spacing w:before="163"/>
        <w:ind w:right="14"/>
        <w:jc w:val="distribute"/>
        <w:rPr>
          <w:rFonts w:ascii="Calibri" w:hAnsi="Calibri" w:cs="Calibri"/>
        </w:rPr>
      </w:pPr>
      <w:r>
        <w:rPr>
          <w:rFonts w:ascii="Calibri" w:hAnsi="Calibri"/>
          <w:color w:val="000000"/>
          <w:sz w:val="22"/>
        </w:rPr>
        <w:t xml:space="preserve">Для діагностики ТБ лімфатичних вузлів шість досліджень (210 учасників) оцінювали Xpert MTB/RIF на показник МРС мазка або посіву на зразках лімфи з лімфатичного вузла. Два </w:t>
      </w:r>
    </w:p>
    <w:p w:rsidR="00ED665B" w:rsidRPr="00907702" w:rsidRDefault="00ED665B" w:rsidP="00DC2656">
      <w:pPr>
        <w:spacing w:before="163"/>
        <w:ind w:right="14"/>
        <w:jc w:val="both"/>
        <w:rPr>
          <w:rFonts w:ascii="Calibri" w:hAnsi="Calibri" w:cs="Calibri"/>
        </w:rPr>
        <w:sectPr w:rsidR="00ED665B" w:rsidRPr="00907702">
          <w:pgSz w:w="11904" w:h="16838"/>
          <w:pgMar w:top="1339" w:right="1411" w:bottom="1502" w:left="1416" w:header="720" w:footer="720" w:gutter="0"/>
          <w:cols w:space="60"/>
          <w:noEndnote/>
        </w:sectPr>
      </w:pPr>
    </w:p>
    <w:p w:rsidR="00ED665B" w:rsidRPr="00907702" w:rsidRDefault="006A232C" w:rsidP="00DC2656">
      <w:pPr>
        <w:jc w:val="both"/>
        <w:rPr>
          <w:rFonts w:ascii="Calibri" w:hAnsi="Calibri" w:cs="Calibri"/>
        </w:rPr>
      </w:pPr>
      <w:r>
        <w:rPr>
          <w:rFonts w:ascii="Calibri" w:hAnsi="Calibri"/>
          <w:color w:val="000000"/>
          <w:sz w:val="22"/>
        </w:rPr>
        <w:lastRenderedPageBreak/>
        <w:t xml:space="preserve">дослідження (105 учасників) оцінювали </w:t>
      </w:r>
      <w:r w:rsidR="006C7D2F">
        <w:rPr>
          <w:rFonts w:ascii="Calibri" w:hAnsi="Calibri"/>
          <w:color w:val="000000"/>
          <w:sz w:val="22"/>
        </w:rPr>
        <w:t>Xpert MTB/RIF на основі складеного референс стандарту на ТБ лімфатичних вузлів. Що стосується туберкульозного менінгіту, шість досліджень (241 учасник) оцінювали Xpert MTB/RIF у посіві СМР. Крім того, два дослідження (155 учасників) оцінювали Xpert MTB/RIF на основі складеного референс стандарту, який включав клінічний діагноз туберкульозного менінгіту. Достовірність даних було визнано дуже низькою щодо чутливості та низькою щодо специфічності виявлення як туберкульозного менінгіту, так і ТБ лімфатичних вузлів.</w:t>
      </w:r>
    </w:p>
    <w:p w:rsidR="00ED665B" w:rsidRPr="00907702" w:rsidRDefault="006C7D2F" w:rsidP="00DC2656">
      <w:pPr>
        <w:spacing w:before="168"/>
        <w:ind w:right="5"/>
        <w:jc w:val="both"/>
        <w:rPr>
          <w:rFonts w:ascii="Calibri" w:hAnsi="Calibri" w:cs="Calibri"/>
        </w:rPr>
      </w:pPr>
      <w:r>
        <w:rPr>
          <w:rFonts w:ascii="Calibri" w:hAnsi="Calibri"/>
          <w:color w:val="000000"/>
          <w:sz w:val="22"/>
        </w:rPr>
        <w:t>Жодних досліджень, які б оцінювали точність Xpert Ultra для виявлення туберкульозного менінгіту або ТБ лімфатичних вузлів, не виявлено.</w:t>
      </w:r>
    </w:p>
    <w:p w:rsidR="00ED665B" w:rsidRPr="00907702" w:rsidRDefault="006C7D2F" w:rsidP="00DC2656">
      <w:pPr>
        <w:spacing w:before="163"/>
        <w:ind w:right="5"/>
        <w:jc w:val="both"/>
        <w:rPr>
          <w:rFonts w:ascii="Calibri" w:hAnsi="Calibri" w:cs="Calibri"/>
        </w:rPr>
      </w:pPr>
      <w:r>
        <w:rPr>
          <w:rFonts w:ascii="Calibri" w:hAnsi="Calibri"/>
          <w:b/>
          <w:color w:val="000000"/>
          <w:sz w:val="22"/>
        </w:rPr>
        <w:t>Вебдодаток 4.4:</w:t>
      </w:r>
      <w:r>
        <w:rPr>
          <w:rFonts w:ascii="Calibri" w:hAnsi="Calibri"/>
          <w:color w:val="000000"/>
          <w:sz w:val="22"/>
        </w:rPr>
        <w:t xml:space="preserve"> Xpert MTB/RIF та Xpert Ultra для виявлення активної форми туберкульозу у дітей: оновлений систематичний огляд.</w:t>
      </w:r>
    </w:p>
    <w:p w:rsidR="00ED665B" w:rsidRPr="003E096B" w:rsidRDefault="006C7D2F" w:rsidP="00DC2656">
      <w:pPr>
        <w:spacing w:before="274"/>
        <w:ind w:left="859" w:hanging="859"/>
        <w:rPr>
          <w:rFonts w:ascii="Calibri" w:hAnsi="Calibri" w:cs="Calibri"/>
          <w:b/>
          <w:bCs/>
        </w:rPr>
      </w:pPr>
      <w:r>
        <w:rPr>
          <w:rFonts w:ascii="Calibri" w:hAnsi="Calibri"/>
          <w:b/>
          <w:color w:val="000000"/>
          <w:sz w:val="24"/>
        </w:rPr>
        <w:t xml:space="preserve">PICO 5: </w:t>
      </w:r>
      <w:r>
        <w:rPr>
          <w:rFonts w:ascii="Calibri" w:hAnsi="Calibri"/>
          <w:b/>
          <w:color w:val="000000"/>
          <w:sz w:val="24"/>
        </w:rPr>
        <w:tab/>
        <w:t>Чи підвищують чутливість / специфічність повторні тести Xpert (Ultra), які проводяться на наступних зразках, в якості первинного тесту для діагностики легеневого ТБ та резистентності до рифампіцину, порівняно з єдиним початковим тестом cеред людей з ознаками та симптомами легеневого ТБ, які звертаються за допомогою до медичних закладів?</w:t>
      </w:r>
    </w:p>
    <w:p w:rsidR="00ED665B" w:rsidRPr="003E096B" w:rsidRDefault="006C7D2F" w:rsidP="00DC2656">
      <w:pPr>
        <w:tabs>
          <w:tab w:val="left" w:pos="432"/>
        </w:tabs>
        <w:spacing w:before="283"/>
        <w:rPr>
          <w:rFonts w:ascii="Calibri" w:hAnsi="Calibri" w:cs="Calibri"/>
          <w:b/>
          <w:bCs/>
          <w:i/>
          <w:iCs/>
        </w:rPr>
      </w:pPr>
      <w:r>
        <w:rPr>
          <w:rFonts w:ascii="Calibri" w:hAnsi="Calibri"/>
          <w:b/>
          <w:i/>
          <w:color w:val="000000"/>
          <w:sz w:val="24"/>
        </w:rPr>
        <w:t>5</w:t>
      </w:r>
      <w:r w:rsidR="008E12CA">
        <w:rPr>
          <w:rFonts w:ascii="Calibri" w:hAnsi="Calibri"/>
          <w:b/>
          <w:i/>
          <w:color w:val="000000"/>
          <w:sz w:val="24"/>
        </w:rPr>
        <w:t>.</w:t>
      </w:r>
      <w:r>
        <w:rPr>
          <w:rFonts w:ascii="Calibri" w:hAnsi="Calibri"/>
          <w:b/>
          <w:i/>
          <w:color w:val="000000"/>
          <w:sz w:val="24"/>
        </w:rPr>
        <w:t>1.</w:t>
      </w:r>
      <w:r>
        <w:rPr>
          <w:rFonts w:ascii="Calibri" w:hAnsi="Calibri"/>
          <w:b/>
          <w:i/>
          <w:color w:val="000000"/>
          <w:sz w:val="24"/>
        </w:rPr>
        <w:tab/>
        <w:t>Повторний тест Xpert Ultra для діагностики легеневого ТБ у дорослих людей з ознаками та симптомами легеневого ТБ, які мають початковий результат тесту Xpert Ultra, порівняно з МРС?</w:t>
      </w:r>
    </w:p>
    <w:p w:rsidR="00ED665B" w:rsidRPr="00907702" w:rsidRDefault="006C7D2F" w:rsidP="00DC2656">
      <w:pPr>
        <w:spacing w:before="178"/>
        <w:ind w:right="5"/>
        <w:jc w:val="both"/>
        <w:rPr>
          <w:rFonts w:ascii="Calibri" w:hAnsi="Calibri" w:cs="Calibri"/>
        </w:rPr>
      </w:pPr>
      <w:r>
        <w:rPr>
          <w:rFonts w:ascii="Calibri" w:hAnsi="Calibri"/>
          <w:color w:val="000000"/>
          <w:sz w:val="22"/>
        </w:rPr>
        <w:t xml:space="preserve">Для дорослих із початковими результатами Xpert Ultra було виявлено три дослідження: Mishra 2019a (4 учасники), Piersimoni 2019 (4 учасники) та Dorman 2018 (42 учасники) (детальну інформацію про включені дослідження див. у </w:t>
      </w:r>
      <w:r>
        <w:rPr>
          <w:rFonts w:ascii="Calibri" w:hAnsi="Calibri"/>
          <w:b/>
          <w:color w:val="000000"/>
          <w:sz w:val="22"/>
        </w:rPr>
        <w:t>Вебдодатку 1.1</w:t>
      </w:r>
      <w:r>
        <w:rPr>
          <w:rFonts w:ascii="Calibri" w:hAnsi="Calibri"/>
          <w:color w:val="000000"/>
          <w:sz w:val="22"/>
        </w:rPr>
        <w:t xml:space="preserve"> “Xpert MTB/RIF і Xpert Ultra”). Piersimoni 2019 повторно перевірив той самий початковий зразок, тоді як Dorman 2018 повторно зібраний зразок мокротиння. Mishra 2019a повторно перевіряв лише тих учасників, які мали невідповідні результати (тобто за допомогою тесту Ultra виявлено позитивні/негативні результати слідів у посіві), і повторно перевірив нові зразки після первинного тестування середньої величини, що дорівнює 444 дням (діапазон 245–526 днів). Через обмежені дані метааналіз не проводився. Дані були зменшені на один рівень невідповідності та два рівні точності. Висловлювались серйозні занепокоєння щодо непослідовності, і дуже серйозні занепокоєння щодо неточності. Певна кількість даних була визнана дуже низькою для визначення як чутливості, так і специфічності.</w:t>
      </w:r>
    </w:p>
    <w:p w:rsidR="00ED665B" w:rsidRPr="00907702" w:rsidRDefault="006C7D2F" w:rsidP="00DC2656">
      <w:pPr>
        <w:spacing w:before="163"/>
        <w:ind w:right="5"/>
        <w:jc w:val="both"/>
        <w:rPr>
          <w:rFonts w:ascii="Calibri" w:hAnsi="Calibri" w:cs="Calibri"/>
        </w:rPr>
      </w:pPr>
      <w:r>
        <w:rPr>
          <w:rFonts w:ascii="Calibri" w:hAnsi="Calibri"/>
          <w:b/>
          <w:color w:val="000000"/>
          <w:sz w:val="22"/>
        </w:rPr>
        <w:t>Вебдодаток 4.2:</w:t>
      </w:r>
      <w:r>
        <w:rPr>
          <w:rFonts w:ascii="Calibri" w:hAnsi="Calibri"/>
          <w:color w:val="000000"/>
          <w:sz w:val="22"/>
        </w:rPr>
        <w:t xml:space="preserve"> Xpert MTB/RIF та Xpert Ultra для виявлення активної форми туберкульозу у дорослих з ознаками та симптомами легеневого ТБ: оновлений систематичний огляд.</w:t>
      </w:r>
    </w:p>
    <w:p w:rsidR="00ED665B" w:rsidRPr="003E096B" w:rsidRDefault="006C7D2F" w:rsidP="00DC2656">
      <w:pPr>
        <w:tabs>
          <w:tab w:val="left" w:pos="432"/>
        </w:tabs>
        <w:spacing w:before="274"/>
        <w:rPr>
          <w:rFonts w:ascii="Calibri" w:hAnsi="Calibri" w:cs="Calibri"/>
          <w:b/>
          <w:bCs/>
          <w:i/>
          <w:iCs/>
        </w:rPr>
      </w:pPr>
      <w:r>
        <w:rPr>
          <w:rFonts w:ascii="Calibri" w:hAnsi="Calibri"/>
          <w:b/>
          <w:i/>
          <w:color w:val="000000"/>
          <w:sz w:val="24"/>
        </w:rPr>
        <w:t>5</w:t>
      </w:r>
      <w:r w:rsidR="008E12CA">
        <w:rPr>
          <w:rFonts w:ascii="Calibri" w:hAnsi="Calibri"/>
          <w:b/>
          <w:i/>
          <w:color w:val="000000"/>
          <w:sz w:val="24"/>
        </w:rPr>
        <w:t>.</w:t>
      </w:r>
      <w:r>
        <w:rPr>
          <w:rFonts w:ascii="Calibri" w:hAnsi="Calibri"/>
          <w:b/>
          <w:i/>
          <w:color w:val="000000"/>
          <w:sz w:val="24"/>
        </w:rPr>
        <w:t>2.</w:t>
      </w:r>
      <w:r>
        <w:rPr>
          <w:rFonts w:ascii="Calibri" w:hAnsi="Calibri"/>
          <w:b/>
          <w:i/>
          <w:color w:val="000000"/>
          <w:sz w:val="24"/>
        </w:rPr>
        <w:tab/>
        <w:t>Більше одного Xpert MTB/RIF проти одного Xpert MTB/RIF для діагностики легеневого ТБ у дітей з ознаками та симптомами легеневого ТБ порівняно з МРС?</w:t>
      </w:r>
    </w:p>
    <w:p w:rsidR="00ED665B" w:rsidRPr="00907702" w:rsidRDefault="006C7D2F" w:rsidP="00DC2656">
      <w:pPr>
        <w:spacing w:before="178"/>
        <w:jc w:val="both"/>
        <w:rPr>
          <w:rFonts w:ascii="Calibri" w:hAnsi="Calibri" w:cs="Calibri"/>
        </w:rPr>
      </w:pPr>
      <w:r>
        <w:rPr>
          <w:rFonts w:ascii="Calibri" w:hAnsi="Calibri"/>
          <w:color w:val="000000"/>
          <w:sz w:val="22"/>
        </w:rPr>
        <w:t>Що стосується дітей, було включено п’ять досліджень (2119 учасників), які оцінювали діагностичну точність декількох тестів Xpert MTB/RIF порівняно з одним тестом. Висловлювались серйозні занепокоєння щодо непрямості, оскільки пацієнтів проходили стаціонарне лікування у третинних медичних закладах, що може призвести до прийому дітей з більш розвиненою хворобою. Також були висловлені серйозні занепокоєння щодо неточності, пов’язаної з низькою кількістю дітей з легеневим ТБ, що сприяли цьому аналізу на спостережувану чутливість. В цілому визначеність доказів була визнана дуже низькою для чутливості та помірною для специфічності.</w:t>
      </w:r>
    </w:p>
    <w:p w:rsidR="00ED665B" w:rsidRPr="00907702" w:rsidRDefault="00ED665B" w:rsidP="00DC2656">
      <w:pPr>
        <w:spacing w:before="178"/>
        <w:jc w:val="both"/>
        <w:rPr>
          <w:rFonts w:ascii="Calibri" w:hAnsi="Calibri" w:cs="Calibri"/>
        </w:rPr>
        <w:sectPr w:rsidR="00ED665B" w:rsidRPr="00907702">
          <w:pgSz w:w="11904" w:h="16838"/>
          <w:pgMar w:top="1339" w:right="1411" w:bottom="1670" w:left="1416" w:header="720" w:footer="720" w:gutter="0"/>
          <w:cols w:space="60"/>
          <w:noEndnote/>
        </w:sectPr>
      </w:pPr>
    </w:p>
    <w:p w:rsidR="00ED665B" w:rsidRPr="00907702" w:rsidRDefault="006C7D2F" w:rsidP="00DC2656">
      <w:pPr>
        <w:jc w:val="both"/>
        <w:rPr>
          <w:rFonts w:ascii="Calibri" w:hAnsi="Calibri" w:cs="Calibri"/>
        </w:rPr>
      </w:pPr>
      <w:r>
        <w:rPr>
          <w:rFonts w:ascii="Calibri" w:hAnsi="Calibri"/>
          <w:b/>
          <w:color w:val="000000"/>
          <w:sz w:val="22"/>
        </w:rPr>
        <w:lastRenderedPageBreak/>
        <w:t>Вебдодаток 4.4:</w:t>
      </w:r>
      <w:r>
        <w:rPr>
          <w:rFonts w:ascii="Calibri" w:hAnsi="Calibri"/>
          <w:color w:val="000000"/>
          <w:sz w:val="22"/>
        </w:rPr>
        <w:t xml:space="preserve"> Xpert MTB/RIF та Xpert Ultra для виявлення активної форми туберкульозу у дітей: оновлений систематичний огляд.</w:t>
      </w:r>
    </w:p>
    <w:p w:rsidR="00ED665B" w:rsidRPr="008E12CA" w:rsidRDefault="006C7D2F" w:rsidP="00DC2656">
      <w:pPr>
        <w:spacing w:before="274"/>
        <w:rPr>
          <w:rFonts w:ascii="Calibri" w:hAnsi="Calibri" w:cs="Calibri"/>
          <w:b/>
          <w:bCs/>
          <w:i/>
          <w:iCs/>
          <w:sz w:val="22"/>
        </w:rPr>
      </w:pPr>
      <w:r w:rsidRPr="008E12CA">
        <w:rPr>
          <w:rFonts w:ascii="Calibri" w:hAnsi="Calibri"/>
          <w:b/>
          <w:i/>
          <w:color w:val="000000"/>
          <w:sz w:val="24"/>
        </w:rPr>
        <w:t>5</w:t>
      </w:r>
      <w:r w:rsidR="008E12CA" w:rsidRPr="008E12CA">
        <w:rPr>
          <w:rFonts w:ascii="Calibri" w:hAnsi="Calibri"/>
          <w:b/>
          <w:i/>
          <w:color w:val="000000"/>
          <w:sz w:val="24"/>
        </w:rPr>
        <w:t>.</w:t>
      </w:r>
      <w:r w:rsidRPr="008E12CA">
        <w:rPr>
          <w:rFonts w:ascii="Calibri" w:hAnsi="Calibri"/>
          <w:b/>
          <w:i/>
          <w:color w:val="000000"/>
          <w:sz w:val="24"/>
        </w:rPr>
        <w:t>3. Більше одного тесту Xpert Ultra порівняно з одним Xpert Ultra для діагностики легеневого ТБ у дітей з ознаками та симптомами легеневого ТБ порівняно з МРС?</w:t>
      </w:r>
    </w:p>
    <w:p w:rsidR="00ED665B" w:rsidRPr="00907702" w:rsidRDefault="006C7D2F" w:rsidP="00DC2656">
      <w:pPr>
        <w:spacing w:before="178"/>
        <w:jc w:val="both"/>
        <w:rPr>
          <w:rFonts w:ascii="Calibri" w:hAnsi="Calibri" w:cs="Calibri"/>
        </w:rPr>
      </w:pPr>
      <w:r>
        <w:rPr>
          <w:rFonts w:ascii="Calibri" w:hAnsi="Calibri"/>
          <w:color w:val="000000"/>
          <w:sz w:val="22"/>
        </w:rPr>
        <w:t>Що стосується дітей, було включено одне дослідження (163 учасники), яке оцінювало діагностичну точність декількох тестів Xpert Ultra у мокротинні порівняно з одним тестом. Достовірність даних було визнано дуже низькою щодо чутливості та низькою щодо специфічності через серйозні побоювання щодо непрямості та неточності. Крім того, було включено одне дослідження (130 учасників), яке оцінювало діагностичну точність декількох тестів Xpert Ultra в аспіратах носоглотки порівняно з одним тестом. В цілому якість доказових даних було визнано дуже низькою щодо чутливості та специфічності через серйозні побоювання щодо непрямості та неточності.</w:t>
      </w:r>
    </w:p>
    <w:p w:rsidR="00ED665B" w:rsidRPr="00907702" w:rsidRDefault="006C7D2F" w:rsidP="00DC2656">
      <w:pPr>
        <w:spacing w:before="163"/>
        <w:jc w:val="both"/>
        <w:rPr>
          <w:rFonts w:ascii="Calibri" w:hAnsi="Calibri" w:cs="Calibri"/>
        </w:rPr>
      </w:pPr>
      <w:r>
        <w:rPr>
          <w:rFonts w:ascii="Calibri" w:hAnsi="Calibri"/>
          <w:b/>
          <w:color w:val="000000"/>
          <w:sz w:val="22"/>
        </w:rPr>
        <w:t>Вебдодаток 4.4:</w:t>
      </w:r>
      <w:r>
        <w:rPr>
          <w:rFonts w:ascii="Calibri" w:hAnsi="Calibri"/>
          <w:color w:val="000000"/>
          <w:sz w:val="22"/>
        </w:rPr>
        <w:t xml:space="preserve"> Xpert MTB/RIF та Xpert Ultra для виявлення активної форми туберкульозу у дітей: оновлений систематичний огляд.</w:t>
      </w:r>
    </w:p>
    <w:p w:rsidR="00ED665B" w:rsidRPr="00D4245B" w:rsidRDefault="006C7D2F" w:rsidP="00DC2656">
      <w:pPr>
        <w:spacing w:before="274"/>
        <w:ind w:left="859" w:hanging="859"/>
        <w:rPr>
          <w:rFonts w:ascii="Calibri" w:hAnsi="Calibri" w:cs="Calibri"/>
          <w:b/>
          <w:bCs/>
          <w:sz w:val="24"/>
          <w:szCs w:val="24"/>
        </w:rPr>
      </w:pPr>
      <w:r w:rsidRPr="008E12CA">
        <w:rPr>
          <w:rFonts w:ascii="Calibri" w:hAnsi="Calibri"/>
          <w:b/>
          <w:color w:val="000000"/>
          <w:sz w:val="24"/>
        </w:rPr>
        <w:t xml:space="preserve">PICO 6: </w:t>
      </w:r>
      <w:r w:rsidRPr="008E12CA">
        <w:rPr>
          <w:rFonts w:ascii="Calibri" w:hAnsi="Calibri"/>
          <w:b/>
          <w:color w:val="000000"/>
          <w:sz w:val="24"/>
        </w:rPr>
        <w:tab/>
        <w:t xml:space="preserve">Серед дорослих людей, які мають ознаки та симптоми ТБ, або рентгенографію грудної клітки з патологіями легень, що свідчать про легеневий ТБ, або обох, чи слід застосовувати лише Xpert MTB/RIF або Xpert Ultra для визначення випадку активної </w:t>
      </w:r>
      <w:r w:rsidRPr="00D4245B">
        <w:rPr>
          <w:rFonts w:ascii="Calibri" w:hAnsi="Calibri"/>
          <w:b/>
          <w:color w:val="000000"/>
          <w:sz w:val="24"/>
          <w:szCs w:val="24"/>
        </w:rPr>
        <w:t xml:space="preserve">форми туберкульозу </w:t>
      </w:r>
      <w:r w:rsidRPr="00D4245B">
        <w:rPr>
          <w:rFonts w:ascii="Calibri" w:hAnsi="Calibri"/>
          <w:b/>
          <w:i/>
          <w:color w:val="000000"/>
          <w:sz w:val="24"/>
          <w:szCs w:val="24"/>
        </w:rPr>
        <w:t>(10)</w:t>
      </w:r>
      <w:r w:rsidRPr="00D4245B">
        <w:rPr>
          <w:rFonts w:ascii="Calibri" w:hAnsi="Calibri"/>
          <w:b/>
          <w:color w:val="000000"/>
          <w:sz w:val="24"/>
          <w:szCs w:val="24"/>
        </w:rPr>
        <w:t>?</w:t>
      </w:r>
    </w:p>
    <w:p w:rsidR="00ED665B" w:rsidRPr="00907702" w:rsidRDefault="006C7D2F" w:rsidP="00DC2656">
      <w:pPr>
        <w:spacing w:before="178"/>
        <w:jc w:val="both"/>
        <w:rPr>
          <w:rFonts w:ascii="Calibri" w:hAnsi="Calibri" w:cs="Calibri"/>
        </w:rPr>
      </w:pPr>
      <w:r>
        <w:rPr>
          <w:rFonts w:ascii="Calibri" w:hAnsi="Calibri"/>
          <w:color w:val="000000"/>
          <w:sz w:val="22"/>
        </w:rPr>
        <w:t>Метою огляду було оцінити діагностичну точність Xpert MTB/RIF або Xpert Ultra щодо легеневого ТБ у дорослих (≥15 років) серед загальної популяції дорослих. Були включені дані чотирьох національно репрезентативних та двох субнаціональних аналізів масштабів поширеності активної форми туберкульозу, представлених у поперечному розрізі. У цих обстеженнях використовувалися зразки мокротиння, за допомогою яких оцінювали Xpert MTB/RIF або Xpert Ultra на основі референс стандарту посіву для виявлення ТБ. Для оцінки виявлення ТБ в обстеженнях оцінювалися результати індексних тестів у дорослих (віком ≥15 років) з патологіями рентгенографії органів грудної клітки або симптомами, що свідчать про легеневий ТБ (або обох). Для виявлення легеневого ТБ було враховано загалом дані шістьох обстежень.</w:t>
      </w:r>
    </w:p>
    <w:p w:rsidR="00ED665B" w:rsidRPr="008E12CA" w:rsidRDefault="006C7D2F" w:rsidP="00DC2656">
      <w:pPr>
        <w:spacing w:before="274"/>
        <w:rPr>
          <w:rFonts w:ascii="Calibri" w:hAnsi="Calibri" w:cs="Calibri"/>
          <w:b/>
          <w:bCs/>
          <w:i/>
          <w:iCs/>
          <w:sz w:val="22"/>
        </w:rPr>
      </w:pPr>
      <w:r w:rsidRPr="008E12CA">
        <w:rPr>
          <w:rFonts w:ascii="Calibri" w:hAnsi="Calibri"/>
          <w:b/>
          <w:i/>
          <w:color w:val="000000"/>
          <w:sz w:val="24"/>
        </w:rPr>
        <w:t>6.1. Якими є результати Xpert MTB/RIF для діагностики легеневого ТБ серед загальної популяції дорослих, які мають ознаки або симптоми ТБ, або на рентгенографії органів грудної клітки яких спостерігається патологія легень, або обидва варіанти, порівняно з МРС?</w:t>
      </w:r>
    </w:p>
    <w:p w:rsidR="00ED665B" w:rsidRPr="00907702" w:rsidRDefault="006C7D2F" w:rsidP="00DC2656">
      <w:pPr>
        <w:spacing w:before="182"/>
        <w:jc w:val="both"/>
        <w:rPr>
          <w:rFonts w:ascii="Calibri" w:hAnsi="Calibri" w:cs="Calibri"/>
        </w:rPr>
      </w:pPr>
      <w:r>
        <w:rPr>
          <w:rFonts w:ascii="Calibri" w:hAnsi="Calibri"/>
          <w:color w:val="000000"/>
          <w:sz w:val="22"/>
        </w:rPr>
        <w:t>В аналізі повідомлялося про результати чотирьох обстежень 49 556 учасників. Оцінка якості даних виявила серйозні недоліки в якості даних.</w:t>
      </w:r>
    </w:p>
    <w:p w:rsidR="00ED665B" w:rsidRPr="00907702" w:rsidRDefault="006C7D2F" w:rsidP="00DC2656">
      <w:pPr>
        <w:spacing w:before="168"/>
        <w:jc w:val="both"/>
        <w:rPr>
          <w:rFonts w:ascii="Calibri" w:hAnsi="Calibri" w:cs="Calibri"/>
        </w:rPr>
      </w:pPr>
      <w:r>
        <w:rPr>
          <w:rFonts w:ascii="Calibri" w:hAnsi="Calibri"/>
          <w:color w:val="000000"/>
          <w:sz w:val="22"/>
        </w:rPr>
        <w:t>Опосередкованість: популяція в цих обстеженнях на поширеність ТБ відрізнялася від загальної популяції щодо попереднього тестування (наприклад, скрин симптомів обмежувався кашлем впродовж 14 днів і більше) та наявністю результатів як скрин симптомів, так і рентгенографії органів грудної клітки у більшості учасників, включених у дослідження. Дані були знижені на один рівень для опосередкованості.</w:t>
      </w:r>
    </w:p>
    <w:p w:rsidR="00ED665B" w:rsidRPr="00907702" w:rsidRDefault="006C7D2F" w:rsidP="00DC2656">
      <w:pPr>
        <w:spacing w:before="168"/>
        <w:jc w:val="both"/>
        <w:rPr>
          <w:rFonts w:ascii="Calibri" w:hAnsi="Calibri" w:cs="Calibri"/>
        </w:rPr>
      </w:pPr>
      <w:r>
        <w:rPr>
          <w:rFonts w:ascii="Calibri" w:hAnsi="Calibri"/>
          <w:color w:val="000000"/>
          <w:sz w:val="22"/>
        </w:rPr>
        <w:t>Невідповідність: оцінка чутливості для Бангладеш становила 84%, що було вище, ніж оцінки чутливості для інших трьох країн (діапазон 68–69%). Нижчий рівень поширеності ВІЛ у Бангладеш міг лише частково пояснити невідповідність. Дані були знижені на один рівень для невідповідності. В цілому визначеність даних була визнана низькою для чутливості та помірною для специфічності.</w:t>
      </w:r>
    </w:p>
    <w:p w:rsidR="00ED665B" w:rsidRPr="00907702" w:rsidRDefault="00ED665B" w:rsidP="00DC2656">
      <w:pPr>
        <w:spacing w:before="168"/>
        <w:jc w:val="both"/>
        <w:rPr>
          <w:rFonts w:ascii="Calibri" w:hAnsi="Calibri" w:cs="Calibri"/>
        </w:rPr>
        <w:sectPr w:rsidR="00ED665B" w:rsidRPr="00907702">
          <w:pgSz w:w="11904" w:h="16838"/>
          <w:pgMar w:top="1334" w:right="1416" w:bottom="1435" w:left="1416" w:header="720" w:footer="720" w:gutter="0"/>
          <w:cols w:space="60"/>
          <w:noEndnote/>
        </w:sectPr>
      </w:pPr>
    </w:p>
    <w:p w:rsidR="00ED665B" w:rsidRPr="003E096B" w:rsidRDefault="006C7D2F" w:rsidP="00DC2656">
      <w:pPr>
        <w:tabs>
          <w:tab w:val="left" w:pos="470"/>
        </w:tabs>
        <w:rPr>
          <w:rFonts w:ascii="Calibri" w:hAnsi="Calibri" w:cs="Calibri"/>
          <w:b/>
          <w:bCs/>
          <w:i/>
          <w:iCs/>
        </w:rPr>
      </w:pPr>
      <w:r>
        <w:rPr>
          <w:rFonts w:ascii="Calibri" w:hAnsi="Calibri"/>
          <w:b/>
          <w:i/>
          <w:color w:val="000000"/>
          <w:sz w:val="24"/>
        </w:rPr>
        <w:lastRenderedPageBreak/>
        <w:t>6</w:t>
      </w:r>
      <w:r w:rsidR="008E12CA">
        <w:rPr>
          <w:rFonts w:ascii="Calibri" w:hAnsi="Calibri"/>
          <w:b/>
          <w:i/>
          <w:color w:val="000000"/>
          <w:sz w:val="24"/>
        </w:rPr>
        <w:t>.</w:t>
      </w:r>
      <w:r>
        <w:rPr>
          <w:rFonts w:ascii="Calibri" w:hAnsi="Calibri"/>
          <w:b/>
          <w:i/>
          <w:color w:val="000000"/>
          <w:sz w:val="24"/>
        </w:rPr>
        <w:t>2.</w:t>
      </w:r>
      <w:r>
        <w:rPr>
          <w:rFonts w:ascii="Calibri" w:hAnsi="Calibri"/>
          <w:b/>
          <w:i/>
          <w:color w:val="000000"/>
          <w:sz w:val="24"/>
        </w:rPr>
        <w:tab/>
        <w:t>Xpert Ultra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p w:rsidR="00ED665B" w:rsidRPr="00907702" w:rsidRDefault="006C7D2F" w:rsidP="00DC2656">
      <w:pPr>
        <w:spacing w:before="173"/>
        <w:ind w:right="5"/>
        <w:jc w:val="both"/>
        <w:rPr>
          <w:rFonts w:ascii="Calibri" w:hAnsi="Calibri" w:cs="Calibri"/>
        </w:rPr>
      </w:pPr>
      <w:r>
        <w:rPr>
          <w:rFonts w:ascii="Calibri" w:hAnsi="Calibri"/>
          <w:color w:val="000000"/>
          <w:sz w:val="22"/>
        </w:rPr>
        <w:t>В аналізі повідомлялося про результати чотирьох обстежень 11 488 учасників. Серед країн, що входять до обстеження, – М’янма, Південно-Африканська Республіка (проект TREATS) та Замбія (проект TREATS). Середній рівень поширеності захворюваності на ТБ у цих країнах становив 2,8% (діапазон 1,6–6,7%).</w:t>
      </w:r>
    </w:p>
    <w:p w:rsidR="00ED665B" w:rsidRPr="00907702" w:rsidRDefault="006C7D2F" w:rsidP="00DC2656">
      <w:pPr>
        <w:spacing w:before="168"/>
        <w:jc w:val="both"/>
        <w:rPr>
          <w:rFonts w:ascii="Calibri" w:hAnsi="Calibri" w:cs="Calibri"/>
        </w:rPr>
      </w:pPr>
      <w:r>
        <w:rPr>
          <w:rFonts w:ascii="Calibri" w:hAnsi="Calibri"/>
          <w:color w:val="000000"/>
          <w:sz w:val="22"/>
        </w:rPr>
        <w:t>Опосередкованість: популяція в цих обстеженнях на поширеність ТБ відрізнялася від загальної популяції щодо попереднього тестування (наприклад, скрин симптомів обмежувався кашлем впродовж 14 днів і більше) та наявністю результатів як скрин симптомів, так і рентгенографії органів грудної клітки у більшості учасників, включених у дослідження. Дані були знижені на один рівень для опосередкованості.</w:t>
      </w:r>
    </w:p>
    <w:p w:rsidR="00ED665B" w:rsidRPr="00907702" w:rsidRDefault="006C7D2F" w:rsidP="00DC2656">
      <w:pPr>
        <w:spacing w:before="168"/>
        <w:jc w:val="both"/>
        <w:rPr>
          <w:rFonts w:ascii="Calibri" w:hAnsi="Calibri" w:cs="Calibri"/>
        </w:rPr>
      </w:pPr>
      <w:r>
        <w:rPr>
          <w:rFonts w:ascii="Calibri" w:hAnsi="Calibri"/>
          <w:color w:val="000000"/>
          <w:sz w:val="22"/>
        </w:rPr>
        <w:t>Неточність: порівняно мало учасників, які брали участь у цьому аналізі, і широкий 95% довірчий інтервал (ДI). 95% ДІ стосовно істинно позитивних та хибнонегативних результатів можуть призвести до різних рішень, залежно від того, які межі передбачаються. Дані були знижені на один рівень для неточності. В цілому визначеність даних була визнана низькою для чутливості та помірною для специфічності.</w:t>
      </w:r>
    </w:p>
    <w:p w:rsidR="00ED665B" w:rsidRPr="003E096B" w:rsidRDefault="006C7D2F" w:rsidP="00DC2656">
      <w:pPr>
        <w:tabs>
          <w:tab w:val="left" w:pos="470"/>
        </w:tabs>
        <w:spacing w:before="274"/>
        <w:rPr>
          <w:rFonts w:ascii="Calibri" w:hAnsi="Calibri" w:cs="Calibri"/>
          <w:b/>
          <w:bCs/>
          <w:i/>
          <w:iCs/>
        </w:rPr>
      </w:pPr>
      <w:r>
        <w:rPr>
          <w:rFonts w:ascii="Calibri" w:hAnsi="Calibri"/>
          <w:b/>
          <w:i/>
          <w:color w:val="000000"/>
          <w:sz w:val="24"/>
        </w:rPr>
        <w:t>6</w:t>
      </w:r>
      <w:r w:rsidR="008E12CA">
        <w:rPr>
          <w:rFonts w:ascii="Calibri" w:hAnsi="Calibri"/>
          <w:b/>
          <w:i/>
          <w:color w:val="000000"/>
          <w:sz w:val="24"/>
        </w:rPr>
        <w:t>.</w:t>
      </w:r>
      <w:r>
        <w:rPr>
          <w:rFonts w:ascii="Calibri" w:hAnsi="Calibri"/>
          <w:b/>
          <w:i/>
          <w:color w:val="000000"/>
          <w:sz w:val="24"/>
        </w:rPr>
        <w:t>3.</w:t>
      </w:r>
      <w:r>
        <w:rPr>
          <w:rFonts w:ascii="Calibri" w:hAnsi="Calibri"/>
          <w:b/>
          <w:i/>
          <w:color w:val="000000"/>
          <w:sz w:val="24"/>
        </w:rPr>
        <w:tab/>
        <w:t>2 тести Xpert Ultra порівняно з одним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p w:rsidR="00ED665B" w:rsidRPr="00907702" w:rsidRDefault="006C7D2F" w:rsidP="00DC2656">
      <w:pPr>
        <w:spacing w:before="178"/>
        <w:jc w:val="both"/>
        <w:rPr>
          <w:rFonts w:ascii="Calibri" w:hAnsi="Calibri" w:cs="Calibri"/>
        </w:rPr>
      </w:pPr>
      <w:r>
        <w:rPr>
          <w:rFonts w:ascii="Calibri" w:hAnsi="Calibri"/>
          <w:color w:val="000000"/>
          <w:sz w:val="22"/>
        </w:rPr>
        <w:t>В аналізі повідомлялося про результати трьох обстежень 5080 учасників. Висловлювались серйозні занепокоєння щодо того, що дані є непрямими Це пояснюється тим, що більшість даних походили з М’янми, і результати можуть не застосовуватися до інших параметрів. Крім того, були висловлені дуже серйозні занепокоєння щодо неточності, оскільки аналіз базувався на даних лише для невеликої кількості осіб. 95% ДІ для двох аналізів Xpert Ultra та одного аналізу Xpert Ultra були широкими. В цілому визначеність доказів була визнана дуже низькою для чутливості та помірною для специфічності.</w:t>
      </w:r>
    </w:p>
    <w:p w:rsidR="00ED665B" w:rsidRPr="00907702" w:rsidRDefault="00ED665B" w:rsidP="00DC2656">
      <w:pPr>
        <w:spacing w:before="178"/>
        <w:jc w:val="both"/>
        <w:rPr>
          <w:rFonts w:ascii="Calibri" w:hAnsi="Calibri" w:cs="Calibri"/>
        </w:rPr>
        <w:sectPr w:rsidR="00ED665B" w:rsidRPr="00907702" w:rsidSect="008E12CA">
          <w:pgSz w:w="11904" w:h="16838"/>
          <w:pgMar w:top="1378" w:right="1416" w:bottom="4111" w:left="1416" w:header="720" w:footer="720" w:gutter="0"/>
          <w:cols w:space="60"/>
          <w:noEndnote/>
        </w:sectPr>
      </w:pPr>
    </w:p>
    <w:p w:rsidR="00ED665B" w:rsidRPr="003E096B" w:rsidRDefault="006C7D2F" w:rsidP="00DC2656">
      <w:pPr>
        <w:ind w:left="5"/>
        <w:rPr>
          <w:rFonts w:ascii="Calibri" w:hAnsi="Calibri" w:cs="Calibri"/>
          <w:b/>
          <w:bCs/>
          <w:color w:val="009649"/>
        </w:rPr>
      </w:pPr>
      <w:r>
        <w:rPr>
          <w:rFonts w:ascii="Calibri" w:hAnsi="Calibri"/>
          <w:b/>
          <w:color w:val="009649"/>
          <w:sz w:val="28"/>
        </w:rPr>
        <w:lastRenderedPageBreak/>
        <w:t>Ефективність молекулярних аналізів</w:t>
      </w:r>
    </w:p>
    <w:p w:rsidR="00ED665B" w:rsidRPr="003E096B" w:rsidRDefault="006C7D2F" w:rsidP="00DC2656">
      <w:pPr>
        <w:spacing w:before="274"/>
        <w:ind w:left="5"/>
        <w:rPr>
          <w:rFonts w:ascii="Calibri" w:hAnsi="Calibri" w:cs="Calibri"/>
          <w:b/>
          <w:bCs/>
        </w:rPr>
      </w:pPr>
      <w:r>
        <w:rPr>
          <w:rFonts w:ascii="Calibri" w:hAnsi="Calibri"/>
          <w:b/>
          <w:color w:val="636466"/>
          <w:sz w:val="24"/>
        </w:rPr>
        <w:t>Таблиця 2.1.1. PICO 1.1: Який вплив Xpert MTB/RIF на важливі для пацієнта результати (наприклад, виліковність, смертність, час діагностики та час початку лікування)?</w:t>
      </w:r>
    </w:p>
    <w:p w:rsidR="00ED665B" w:rsidRPr="00907702" w:rsidRDefault="00ED665B" w:rsidP="00DC2656">
      <w:pPr>
        <w:spacing w:after="192"/>
        <w:rPr>
          <w:rFonts w:ascii="Calibri" w:hAnsi="Calibri" w:cs="Calibri"/>
          <w:sz w:val="2"/>
          <w:szCs w:val="2"/>
        </w:rPr>
      </w:pPr>
    </w:p>
    <w:tbl>
      <w:tblPr>
        <w:tblW w:w="14001" w:type="dxa"/>
        <w:tblInd w:w="40" w:type="dxa"/>
        <w:tblLayout w:type="fixed"/>
        <w:tblCellMar>
          <w:left w:w="40" w:type="dxa"/>
          <w:right w:w="40" w:type="dxa"/>
        </w:tblCellMar>
        <w:tblLook w:val="0000" w:firstRow="0" w:lastRow="0" w:firstColumn="0" w:lastColumn="0" w:noHBand="0" w:noVBand="0"/>
      </w:tblPr>
      <w:tblGrid>
        <w:gridCol w:w="3067"/>
        <w:gridCol w:w="1771"/>
        <w:gridCol w:w="1776"/>
        <w:gridCol w:w="1771"/>
        <w:gridCol w:w="1771"/>
        <w:gridCol w:w="1776"/>
        <w:gridCol w:w="2069"/>
      </w:tblGrid>
      <w:tr w:rsidR="008E12CA" w:rsidRPr="00907702" w:rsidTr="006A232C">
        <w:trPr>
          <w:trHeight w:hRule="exact" w:val="672"/>
        </w:trPr>
        <w:tc>
          <w:tcPr>
            <w:tcW w:w="3067" w:type="dxa"/>
            <w:vMerge w:val="restart"/>
            <w:tcBorders>
              <w:top w:val="single" w:sz="8" w:space="0" w:color="009649"/>
              <w:left w:val="nil"/>
              <w:right w:val="single" w:sz="8" w:space="0" w:color="009649"/>
            </w:tcBorders>
            <w:shd w:val="clear" w:color="auto" w:fill="27A86A"/>
            <w:vAlign w:val="center"/>
          </w:tcPr>
          <w:p w:rsidR="008E12CA" w:rsidRPr="00DC4299" w:rsidRDefault="008E12CA" w:rsidP="003E096B">
            <w:pPr>
              <w:rPr>
                <w:rFonts w:ascii="Calibri" w:hAnsi="Calibri" w:cs="Calibri"/>
                <w:b/>
                <w:bCs/>
              </w:rPr>
            </w:pPr>
            <w:r>
              <w:rPr>
                <w:rFonts w:ascii="Calibri" w:hAnsi="Calibri"/>
                <w:b/>
                <w:color w:val="000000"/>
              </w:rPr>
              <w:t>Результат, важливий для пацієнта</w:t>
            </w:r>
          </w:p>
        </w:tc>
        <w:tc>
          <w:tcPr>
            <w:tcW w:w="1771" w:type="dxa"/>
            <w:vMerge w:val="restart"/>
            <w:tcBorders>
              <w:top w:val="single" w:sz="8" w:space="0" w:color="009649"/>
              <w:left w:val="single" w:sz="8" w:space="0" w:color="009649"/>
              <w:right w:val="single" w:sz="8" w:space="0" w:color="009649"/>
            </w:tcBorders>
            <w:shd w:val="clear" w:color="auto" w:fill="27A86A"/>
            <w:vAlign w:val="center"/>
          </w:tcPr>
          <w:p w:rsidR="008E12CA" w:rsidRPr="00DC4299" w:rsidRDefault="008E12CA" w:rsidP="003E096B">
            <w:pPr>
              <w:jc w:val="center"/>
              <w:rPr>
                <w:rFonts w:ascii="Calibri" w:hAnsi="Calibri" w:cs="Calibri"/>
                <w:b/>
                <w:bCs/>
              </w:rPr>
            </w:pPr>
            <w:r>
              <w:rPr>
                <w:rFonts w:ascii="Calibri" w:hAnsi="Calibri"/>
                <w:b/>
                <w:color w:val="000000"/>
              </w:rPr>
              <w:t>Дослідження/структура</w:t>
            </w:r>
          </w:p>
        </w:tc>
        <w:tc>
          <w:tcPr>
            <w:tcW w:w="1776" w:type="dxa"/>
            <w:vMerge w:val="restart"/>
            <w:tcBorders>
              <w:top w:val="single" w:sz="8" w:space="0" w:color="009649"/>
              <w:left w:val="single" w:sz="8" w:space="0" w:color="009649"/>
              <w:right w:val="single" w:sz="8" w:space="0" w:color="009649"/>
            </w:tcBorders>
            <w:shd w:val="clear" w:color="auto" w:fill="27A86A"/>
            <w:vAlign w:val="center"/>
          </w:tcPr>
          <w:p w:rsidR="008E12CA" w:rsidRPr="00DC4299" w:rsidRDefault="008E12CA" w:rsidP="003E096B">
            <w:pPr>
              <w:ind w:left="206" w:right="202"/>
              <w:jc w:val="center"/>
              <w:rPr>
                <w:rFonts w:ascii="Calibri" w:hAnsi="Calibri" w:cs="Calibri"/>
                <w:b/>
                <w:bCs/>
              </w:rPr>
            </w:pPr>
            <w:r>
              <w:rPr>
                <w:rFonts w:ascii="Calibri" w:hAnsi="Calibri"/>
                <w:b/>
                <w:color w:val="000000"/>
              </w:rPr>
              <w:t>Достовірність даних</w:t>
            </w:r>
          </w:p>
        </w:tc>
        <w:tc>
          <w:tcPr>
            <w:tcW w:w="3542"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rsidR="008E12CA" w:rsidRPr="00DC4299" w:rsidRDefault="008E12CA" w:rsidP="003E096B">
            <w:pPr>
              <w:ind w:left="451" w:right="437"/>
              <w:jc w:val="center"/>
              <w:rPr>
                <w:rFonts w:ascii="Calibri" w:hAnsi="Calibri" w:cs="Calibri"/>
                <w:b/>
                <w:bCs/>
              </w:rPr>
            </w:pPr>
            <w:r>
              <w:rPr>
                <w:rFonts w:ascii="Calibri" w:hAnsi="Calibri"/>
                <w:b/>
                <w:color w:val="000000"/>
              </w:rPr>
              <w:t>Пацієнти з результатом дослідження / всі пацієнти</w:t>
            </w:r>
          </w:p>
        </w:tc>
        <w:tc>
          <w:tcPr>
            <w:tcW w:w="3845" w:type="dxa"/>
            <w:gridSpan w:val="2"/>
            <w:tcBorders>
              <w:top w:val="single" w:sz="8" w:space="0" w:color="009649"/>
              <w:left w:val="single" w:sz="8" w:space="0" w:color="009649"/>
              <w:bottom w:val="single" w:sz="8" w:space="0" w:color="009649"/>
              <w:right w:val="single" w:sz="6" w:space="0" w:color="auto"/>
            </w:tcBorders>
            <w:shd w:val="clear" w:color="auto" w:fill="27A86A"/>
            <w:vAlign w:val="center"/>
          </w:tcPr>
          <w:p w:rsidR="008E12CA" w:rsidRPr="00DC4299" w:rsidRDefault="008E12CA" w:rsidP="003E096B">
            <w:pPr>
              <w:jc w:val="center"/>
              <w:rPr>
                <w:rFonts w:ascii="Calibri" w:hAnsi="Calibri" w:cs="Calibri"/>
                <w:b/>
                <w:bCs/>
              </w:rPr>
            </w:pPr>
            <w:r>
              <w:rPr>
                <w:rFonts w:ascii="Calibri" w:hAnsi="Calibri"/>
                <w:b/>
                <w:color w:val="000000"/>
              </w:rPr>
              <w:t>Ефект</w:t>
            </w:r>
          </w:p>
        </w:tc>
      </w:tr>
      <w:tr w:rsidR="008E12CA" w:rsidRPr="00907702" w:rsidTr="006A232C">
        <w:trPr>
          <w:trHeight w:hRule="exact" w:val="648"/>
        </w:trPr>
        <w:tc>
          <w:tcPr>
            <w:tcW w:w="3067" w:type="dxa"/>
            <w:vMerge/>
            <w:tcBorders>
              <w:left w:val="nil"/>
              <w:bottom w:val="single" w:sz="8" w:space="0" w:color="009649"/>
              <w:right w:val="single" w:sz="8" w:space="0" w:color="009649"/>
            </w:tcBorders>
            <w:shd w:val="clear" w:color="auto" w:fill="FFFFFF"/>
            <w:vAlign w:val="center"/>
          </w:tcPr>
          <w:p w:rsidR="008E12CA" w:rsidRPr="00DC4299" w:rsidRDefault="008E12CA" w:rsidP="003E096B">
            <w:pPr>
              <w:rPr>
                <w:rFonts w:ascii="Calibri" w:hAnsi="Calibri" w:cs="Calibri"/>
                <w:b/>
                <w:bCs/>
              </w:rPr>
            </w:pPr>
          </w:p>
        </w:tc>
        <w:tc>
          <w:tcPr>
            <w:tcW w:w="1771" w:type="dxa"/>
            <w:vMerge/>
            <w:tcBorders>
              <w:left w:val="single" w:sz="8" w:space="0" w:color="009649"/>
              <w:bottom w:val="single" w:sz="8" w:space="0" w:color="009649"/>
              <w:right w:val="single" w:sz="8" w:space="0" w:color="009649"/>
            </w:tcBorders>
            <w:shd w:val="clear" w:color="auto" w:fill="FFFFFF"/>
            <w:vAlign w:val="center"/>
          </w:tcPr>
          <w:p w:rsidR="008E12CA" w:rsidRPr="00DC4299" w:rsidRDefault="008E12CA" w:rsidP="003E096B">
            <w:pPr>
              <w:jc w:val="center"/>
              <w:rPr>
                <w:rFonts w:ascii="Calibri" w:hAnsi="Calibri" w:cs="Calibri"/>
                <w:b/>
                <w:bCs/>
              </w:rPr>
            </w:pPr>
          </w:p>
        </w:tc>
        <w:tc>
          <w:tcPr>
            <w:tcW w:w="1776" w:type="dxa"/>
            <w:vMerge/>
            <w:tcBorders>
              <w:left w:val="single" w:sz="8" w:space="0" w:color="009649"/>
              <w:bottom w:val="single" w:sz="8" w:space="0" w:color="009649"/>
              <w:right w:val="single" w:sz="8" w:space="0" w:color="009649"/>
            </w:tcBorders>
            <w:shd w:val="clear" w:color="auto" w:fill="FFFFFF"/>
            <w:vAlign w:val="center"/>
          </w:tcPr>
          <w:p w:rsidR="008E12CA" w:rsidRPr="00DC4299" w:rsidRDefault="008E12CA" w:rsidP="003E096B">
            <w:pPr>
              <w:jc w:val="center"/>
              <w:rPr>
                <w:rFonts w:ascii="Calibri" w:hAnsi="Calibri" w:cs="Calibri"/>
                <w:b/>
                <w:bCs/>
              </w:rPr>
            </w:pPr>
          </w:p>
        </w:tc>
        <w:tc>
          <w:tcPr>
            <w:tcW w:w="1771"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8E12CA" w:rsidRPr="00DC4299" w:rsidRDefault="008E12CA" w:rsidP="003E096B">
            <w:pPr>
              <w:jc w:val="center"/>
              <w:rPr>
                <w:rFonts w:ascii="Calibri" w:hAnsi="Calibri" w:cs="Calibri"/>
                <w:b/>
                <w:bCs/>
              </w:rPr>
            </w:pPr>
            <w:r>
              <w:rPr>
                <w:rFonts w:ascii="Calibri" w:hAnsi="Calibri"/>
                <w:b/>
                <w:color w:val="000000"/>
              </w:rPr>
              <w:t>Xpert MTB/RIF</w:t>
            </w:r>
          </w:p>
        </w:tc>
        <w:tc>
          <w:tcPr>
            <w:tcW w:w="1771"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8E12CA" w:rsidRPr="00DC4299" w:rsidRDefault="008E12CA" w:rsidP="003E096B">
            <w:pPr>
              <w:ind w:left="235" w:right="226"/>
              <w:jc w:val="center"/>
              <w:rPr>
                <w:rFonts w:ascii="Calibri" w:hAnsi="Calibri" w:cs="Calibri"/>
                <w:b/>
                <w:bCs/>
              </w:rPr>
            </w:pPr>
            <w:r>
              <w:rPr>
                <w:rFonts w:ascii="Calibri" w:hAnsi="Calibri"/>
                <w:b/>
                <w:color w:val="000000"/>
              </w:rPr>
              <w:t>Мікроскопія мазка</w:t>
            </w:r>
          </w:p>
        </w:tc>
        <w:tc>
          <w:tcPr>
            <w:tcW w:w="1776"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8E12CA" w:rsidRPr="00DC4299" w:rsidRDefault="008E12CA" w:rsidP="003E096B">
            <w:pPr>
              <w:jc w:val="center"/>
              <w:rPr>
                <w:rFonts w:ascii="Calibri" w:hAnsi="Calibri" w:cs="Calibri"/>
                <w:b/>
                <w:bCs/>
              </w:rPr>
            </w:pPr>
            <w:r>
              <w:rPr>
                <w:rFonts w:ascii="Calibri" w:hAnsi="Calibri"/>
                <w:b/>
                <w:color w:val="000000"/>
              </w:rPr>
              <w:t>Відносний</w:t>
            </w:r>
          </w:p>
        </w:tc>
        <w:tc>
          <w:tcPr>
            <w:tcW w:w="2069" w:type="dxa"/>
            <w:tcBorders>
              <w:top w:val="single" w:sz="8" w:space="0" w:color="009649"/>
              <w:left w:val="single" w:sz="8" w:space="0" w:color="009649"/>
              <w:bottom w:val="single" w:sz="8" w:space="0" w:color="009649"/>
              <w:right w:val="nil"/>
            </w:tcBorders>
            <w:shd w:val="clear" w:color="auto" w:fill="7ABE94"/>
            <w:vAlign w:val="center"/>
          </w:tcPr>
          <w:p w:rsidR="008E12CA" w:rsidRPr="00DC4299" w:rsidRDefault="008E12CA" w:rsidP="003E096B">
            <w:pPr>
              <w:jc w:val="center"/>
              <w:rPr>
                <w:rFonts w:ascii="Calibri" w:hAnsi="Calibri" w:cs="Calibri"/>
                <w:b/>
                <w:bCs/>
              </w:rPr>
            </w:pPr>
            <w:r>
              <w:rPr>
                <w:rFonts w:ascii="Calibri" w:hAnsi="Calibri"/>
                <w:b/>
                <w:color w:val="000000"/>
              </w:rPr>
              <w:t>Абсолютний</w:t>
            </w:r>
          </w:p>
        </w:tc>
      </w:tr>
      <w:tr w:rsidR="00ED665B" w:rsidRPr="00907702" w:rsidTr="008E12CA">
        <w:trPr>
          <w:trHeight w:val="624"/>
        </w:trPr>
        <w:tc>
          <w:tcPr>
            <w:tcW w:w="3067" w:type="dxa"/>
            <w:tcBorders>
              <w:top w:val="single" w:sz="8" w:space="0" w:color="009649"/>
              <w:left w:val="nil"/>
              <w:bottom w:val="single" w:sz="8" w:space="0" w:color="009649"/>
            </w:tcBorders>
            <w:shd w:val="clear" w:color="auto" w:fill="FFFFFF"/>
            <w:vAlign w:val="center"/>
          </w:tcPr>
          <w:p w:rsidR="00ED665B" w:rsidRPr="00907702" w:rsidRDefault="006C7D2F" w:rsidP="003E096B">
            <w:pPr>
              <w:rPr>
                <w:rFonts w:ascii="Calibri" w:hAnsi="Calibri" w:cs="Calibri"/>
              </w:rPr>
            </w:pPr>
            <w:r>
              <w:rPr>
                <w:rFonts w:ascii="Calibri" w:hAnsi="Calibri"/>
                <w:color w:val="000000"/>
              </w:rPr>
              <w:t>Смертність</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5/РД</w:t>
            </w:r>
          </w:p>
        </w:tc>
        <w:tc>
          <w:tcPr>
            <w:tcW w:w="1776"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Помірна</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248/5265 (4,7%)</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292/5144 (5,7%)</w:t>
            </w:r>
          </w:p>
        </w:tc>
        <w:tc>
          <w:tcPr>
            <w:tcW w:w="1776"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ВіР 0,88</w:t>
            </w:r>
          </w:p>
        </w:tc>
        <w:tc>
          <w:tcPr>
            <w:tcW w:w="2069" w:type="dxa"/>
            <w:tcBorders>
              <w:top w:val="single" w:sz="8" w:space="0" w:color="009649"/>
              <w:bottom w:val="single" w:sz="8" w:space="0" w:color="009649"/>
              <w:right w:val="nil"/>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на 7 менше на 1000</w:t>
            </w:r>
          </w:p>
        </w:tc>
      </w:tr>
      <w:tr w:rsidR="00ED665B" w:rsidRPr="00907702" w:rsidTr="008E12CA">
        <w:trPr>
          <w:trHeight w:val="624"/>
        </w:trPr>
        <w:tc>
          <w:tcPr>
            <w:tcW w:w="3067" w:type="dxa"/>
            <w:tcBorders>
              <w:top w:val="single" w:sz="8" w:space="0" w:color="009649"/>
              <w:left w:val="nil"/>
              <w:bottom w:val="single" w:sz="8" w:space="0" w:color="009649"/>
            </w:tcBorders>
            <w:shd w:val="clear" w:color="auto" w:fill="FFFFFF"/>
            <w:vAlign w:val="center"/>
          </w:tcPr>
          <w:p w:rsidR="00ED665B" w:rsidRPr="00907702" w:rsidRDefault="006C7D2F" w:rsidP="003E096B">
            <w:pPr>
              <w:rPr>
                <w:rFonts w:ascii="Calibri" w:hAnsi="Calibri" w:cs="Calibri"/>
              </w:rPr>
            </w:pPr>
            <w:r>
              <w:rPr>
                <w:rFonts w:ascii="Calibri" w:hAnsi="Calibri"/>
                <w:color w:val="000000"/>
              </w:rPr>
              <w:t>Виліковність</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2/РД</w:t>
            </w:r>
          </w:p>
        </w:tc>
        <w:tc>
          <w:tcPr>
            <w:tcW w:w="1776"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Висока</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ind w:left="278" w:right="264"/>
              <w:jc w:val="center"/>
              <w:rPr>
                <w:rFonts w:ascii="Calibri" w:hAnsi="Calibri" w:cs="Calibri"/>
              </w:rPr>
            </w:pPr>
            <w:r>
              <w:rPr>
                <w:rFonts w:ascii="Calibri" w:hAnsi="Calibri"/>
                <w:color w:val="000000"/>
              </w:rPr>
              <w:t>1786/2500 (71,4%)</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ind w:left="278" w:right="264"/>
              <w:jc w:val="center"/>
              <w:rPr>
                <w:rFonts w:ascii="Calibri" w:hAnsi="Calibri" w:cs="Calibri"/>
              </w:rPr>
            </w:pPr>
            <w:r>
              <w:rPr>
                <w:rFonts w:ascii="Calibri" w:hAnsi="Calibri"/>
                <w:color w:val="000000"/>
              </w:rPr>
              <w:t>1443/2080 (69,4%)</w:t>
            </w:r>
          </w:p>
        </w:tc>
        <w:tc>
          <w:tcPr>
            <w:tcW w:w="1776"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КР 1,09</w:t>
            </w:r>
          </w:p>
        </w:tc>
        <w:tc>
          <w:tcPr>
            <w:tcW w:w="2069" w:type="dxa"/>
            <w:tcBorders>
              <w:top w:val="single" w:sz="8" w:space="0" w:color="009649"/>
              <w:bottom w:val="single" w:sz="8" w:space="0" w:color="009649"/>
              <w:right w:val="nil"/>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на 18 більше на 1000</w:t>
            </w:r>
          </w:p>
        </w:tc>
      </w:tr>
      <w:tr w:rsidR="00ED665B" w:rsidRPr="00907702" w:rsidTr="008E12CA">
        <w:trPr>
          <w:trHeight w:val="624"/>
        </w:trPr>
        <w:tc>
          <w:tcPr>
            <w:tcW w:w="3067" w:type="dxa"/>
            <w:tcBorders>
              <w:top w:val="single" w:sz="8" w:space="0" w:color="009649"/>
              <w:left w:val="nil"/>
              <w:bottom w:val="single" w:sz="8" w:space="0" w:color="009649"/>
            </w:tcBorders>
            <w:shd w:val="clear" w:color="auto" w:fill="FFFFFF"/>
            <w:vAlign w:val="center"/>
          </w:tcPr>
          <w:p w:rsidR="00ED665B" w:rsidRPr="00907702" w:rsidRDefault="006C7D2F" w:rsidP="003E096B">
            <w:pPr>
              <w:ind w:right="802"/>
              <w:rPr>
                <w:rFonts w:ascii="Calibri" w:hAnsi="Calibri" w:cs="Calibri"/>
              </w:rPr>
            </w:pPr>
            <w:r>
              <w:rPr>
                <w:rFonts w:ascii="Calibri" w:hAnsi="Calibri"/>
                <w:color w:val="000000"/>
              </w:rPr>
              <w:t>Невдале попереднє лікування</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3/РД</w:t>
            </w:r>
          </w:p>
        </w:tc>
        <w:tc>
          <w:tcPr>
            <w:tcW w:w="1776"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Помірна</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81/642 (12,6%)</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95/523 (18,2%)</w:t>
            </w:r>
          </w:p>
        </w:tc>
        <w:tc>
          <w:tcPr>
            <w:tcW w:w="1776"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ВіР 0,59</w:t>
            </w:r>
          </w:p>
        </w:tc>
        <w:tc>
          <w:tcPr>
            <w:tcW w:w="2069" w:type="dxa"/>
            <w:tcBorders>
              <w:top w:val="single" w:sz="8" w:space="0" w:color="009649"/>
              <w:bottom w:val="single" w:sz="8" w:space="0" w:color="009649"/>
              <w:right w:val="nil"/>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на 74 менше на 1000</w:t>
            </w:r>
          </w:p>
        </w:tc>
      </w:tr>
      <w:tr w:rsidR="00ED665B" w:rsidRPr="00907702" w:rsidTr="008E12CA">
        <w:trPr>
          <w:trHeight w:val="624"/>
        </w:trPr>
        <w:tc>
          <w:tcPr>
            <w:tcW w:w="3067" w:type="dxa"/>
            <w:tcBorders>
              <w:top w:val="single" w:sz="8" w:space="0" w:color="009649"/>
              <w:left w:val="nil"/>
              <w:bottom w:val="single" w:sz="8" w:space="0" w:color="009649"/>
            </w:tcBorders>
            <w:shd w:val="clear" w:color="auto" w:fill="FFFFFF"/>
            <w:vAlign w:val="center"/>
          </w:tcPr>
          <w:p w:rsidR="00ED665B" w:rsidRPr="00907702" w:rsidRDefault="006C7D2F" w:rsidP="003E096B">
            <w:pPr>
              <w:rPr>
                <w:rFonts w:ascii="Calibri" w:hAnsi="Calibri" w:cs="Calibri"/>
              </w:rPr>
            </w:pPr>
            <w:r>
              <w:rPr>
                <w:rFonts w:ascii="Calibri" w:hAnsi="Calibri"/>
                <w:color w:val="000000"/>
              </w:rPr>
              <w:t>Час до діагностики</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2/РД</w:t>
            </w:r>
          </w:p>
        </w:tc>
        <w:tc>
          <w:tcPr>
            <w:tcW w:w="1776"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Висока</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956</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968 (10%)</w:t>
            </w:r>
          </w:p>
        </w:tc>
        <w:tc>
          <w:tcPr>
            <w:tcW w:w="1776"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ВР 1,05</w:t>
            </w:r>
          </w:p>
        </w:tc>
        <w:tc>
          <w:tcPr>
            <w:tcW w:w="2069" w:type="dxa"/>
            <w:tcBorders>
              <w:top w:val="single" w:sz="8" w:space="0" w:color="009649"/>
              <w:bottom w:val="single" w:sz="8" w:space="0" w:color="009649"/>
              <w:right w:val="nil"/>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на 5 більше на 1000</w:t>
            </w:r>
          </w:p>
        </w:tc>
      </w:tr>
      <w:tr w:rsidR="00ED665B" w:rsidRPr="00907702" w:rsidTr="008E12CA">
        <w:trPr>
          <w:trHeight w:val="624"/>
        </w:trPr>
        <w:tc>
          <w:tcPr>
            <w:tcW w:w="3067" w:type="dxa"/>
            <w:tcBorders>
              <w:top w:val="single" w:sz="8" w:space="0" w:color="009649"/>
              <w:left w:val="nil"/>
              <w:bottom w:val="single" w:sz="8" w:space="0" w:color="009649"/>
            </w:tcBorders>
            <w:shd w:val="clear" w:color="auto" w:fill="FFFFFF"/>
            <w:vAlign w:val="center"/>
          </w:tcPr>
          <w:p w:rsidR="00ED665B" w:rsidRPr="00907702" w:rsidRDefault="006C7D2F" w:rsidP="003E096B">
            <w:pPr>
              <w:rPr>
                <w:rFonts w:ascii="Calibri" w:hAnsi="Calibri" w:cs="Calibri"/>
              </w:rPr>
            </w:pPr>
            <w:r>
              <w:rPr>
                <w:rFonts w:ascii="Calibri" w:hAnsi="Calibri"/>
                <w:color w:val="000000"/>
              </w:rPr>
              <w:t>Лікування</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4/РД</w:t>
            </w:r>
          </w:p>
        </w:tc>
        <w:tc>
          <w:tcPr>
            <w:tcW w:w="1776"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Помірна</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4055</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4153 (10%)</w:t>
            </w:r>
          </w:p>
        </w:tc>
        <w:tc>
          <w:tcPr>
            <w:tcW w:w="1776"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ВР 1,00</w:t>
            </w:r>
          </w:p>
        </w:tc>
        <w:tc>
          <w:tcPr>
            <w:tcW w:w="2069" w:type="dxa"/>
            <w:tcBorders>
              <w:top w:val="single" w:sz="8" w:space="0" w:color="009649"/>
              <w:bottom w:val="single" w:sz="8" w:space="0" w:color="009649"/>
              <w:right w:val="nil"/>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на 0 менше на 1000</w:t>
            </w:r>
          </w:p>
        </w:tc>
      </w:tr>
      <w:tr w:rsidR="00ED665B" w:rsidRPr="00907702" w:rsidTr="008E12CA">
        <w:trPr>
          <w:trHeight w:val="624"/>
        </w:trPr>
        <w:tc>
          <w:tcPr>
            <w:tcW w:w="3067" w:type="dxa"/>
            <w:tcBorders>
              <w:top w:val="single" w:sz="8" w:space="0" w:color="009649"/>
              <w:left w:val="nil"/>
              <w:bottom w:val="single" w:sz="8" w:space="0" w:color="009649"/>
            </w:tcBorders>
            <w:shd w:val="clear" w:color="auto" w:fill="FFFFFF"/>
            <w:vAlign w:val="center"/>
          </w:tcPr>
          <w:p w:rsidR="00ED665B" w:rsidRPr="00907702" w:rsidRDefault="006C7D2F" w:rsidP="003E096B">
            <w:pPr>
              <w:rPr>
                <w:rFonts w:ascii="Calibri" w:hAnsi="Calibri" w:cs="Calibri"/>
              </w:rPr>
            </w:pPr>
            <w:r>
              <w:rPr>
                <w:rFonts w:ascii="Calibri" w:hAnsi="Calibri"/>
                <w:color w:val="000000"/>
              </w:rPr>
              <w:t>Смертність серед ВІЛ-інфікованих осіб</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2/РД</w:t>
            </w:r>
          </w:p>
        </w:tc>
        <w:tc>
          <w:tcPr>
            <w:tcW w:w="1776"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Помірна</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66/1211 (5,5%)</w:t>
            </w:r>
          </w:p>
        </w:tc>
        <w:tc>
          <w:tcPr>
            <w:tcW w:w="1771"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75/1055 (7,1%)</w:t>
            </w:r>
          </w:p>
        </w:tc>
        <w:tc>
          <w:tcPr>
            <w:tcW w:w="1776" w:type="dxa"/>
            <w:tcBorders>
              <w:top w:val="single" w:sz="8" w:space="0" w:color="009649"/>
              <w:bottom w:val="single" w:sz="8" w:space="0" w:color="009649"/>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ВіР 0,76</w:t>
            </w:r>
          </w:p>
        </w:tc>
        <w:tc>
          <w:tcPr>
            <w:tcW w:w="2069" w:type="dxa"/>
            <w:tcBorders>
              <w:top w:val="single" w:sz="8" w:space="0" w:color="009649"/>
              <w:bottom w:val="single" w:sz="8" w:space="0" w:color="009649"/>
              <w:right w:val="nil"/>
            </w:tcBorders>
            <w:shd w:val="clear" w:color="auto" w:fill="FFFFFF"/>
            <w:vAlign w:val="center"/>
          </w:tcPr>
          <w:p w:rsidR="00ED665B" w:rsidRPr="00907702" w:rsidRDefault="006C7D2F" w:rsidP="003E096B">
            <w:pPr>
              <w:jc w:val="center"/>
              <w:rPr>
                <w:rFonts w:ascii="Calibri" w:hAnsi="Calibri" w:cs="Calibri"/>
              </w:rPr>
            </w:pPr>
            <w:r>
              <w:rPr>
                <w:rFonts w:ascii="Calibri" w:hAnsi="Calibri"/>
                <w:color w:val="000000"/>
              </w:rPr>
              <w:t>на 17 менше на 1000</w:t>
            </w:r>
          </w:p>
        </w:tc>
      </w:tr>
      <w:tr w:rsidR="00ED665B" w:rsidRPr="00907702" w:rsidTr="008E12CA">
        <w:trPr>
          <w:trHeight w:hRule="exact" w:val="269"/>
        </w:trPr>
        <w:tc>
          <w:tcPr>
            <w:tcW w:w="14001" w:type="dxa"/>
            <w:gridSpan w:val="7"/>
            <w:tcBorders>
              <w:top w:val="single" w:sz="8" w:space="0" w:color="009649"/>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6"/>
              </w:rPr>
              <w:t>ВІЛ: вірус імунодефіциту людини; ВР: відношення ризиків; КР: коефіцієнт ризиків; PICO: кількість населення, заходи, порівняння, результат; ВіР: відносний ризик; РД: рандомізоване дослідження.</w:t>
            </w:r>
          </w:p>
        </w:tc>
      </w:tr>
    </w:tbl>
    <w:p w:rsidR="00ED665B" w:rsidRPr="00907702" w:rsidRDefault="00ED665B" w:rsidP="00DC2656">
      <w:pPr>
        <w:rPr>
          <w:rFonts w:ascii="Calibri" w:hAnsi="Calibri" w:cs="Calibri"/>
        </w:rPr>
        <w:sectPr w:rsidR="00ED665B" w:rsidRPr="00907702" w:rsidSect="00DC4299">
          <w:headerReference w:type="even" r:id="rId37"/>
          <w:footerReference w:type="even" r:id="rId38"/>
          <w:pgSz w:w="16838" w:h="11904" w:orient="landscape"/>
          <w:pgMar w:top="1378" w:right="1426" w:bottom="2552" w:left="141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376"/>
        <w:gridCol w:w="1694"/>
        <w:gridCol w:w="1690"/>
        <w:gridCol w:w="1502"/>
        <w:gridCol w:w="2256"/>
        <w:gridCol w:w="2362"/>
        <w:gridCol w:w="2155"/>
      </w:tblGrid>
      <w:tr w:rsidR="00ED665B" w:rsidRPr="00DC4299" w:rsidTr="00DC4299">
        <w:trPr>
          <w:trHeight w:hRule="exact" w:val="758"/>
        </w:trPr>
        <w:tc>
          <w:tcPr>
            <w:tcW w:w="14035" w:type="dxa"/>
            <w:gridSpan w:val="7"/>
            <w:tcBorders>
              <w:top w:val="nil"/>
              <w:left w:val="nil"/>
              <w:bottom w:val="single" w:sz="8" w:space="0" w:color="009649"/>
              <w:right w:val="nil"/>
            </w:tcBorders>
            <w:shd w:val="clear" w:color="auto" w:fill="FFFFFF"/>
          </w:tcPr>
          <w:p w:rsidR="00ED665B" w:rsidRPr="00DC4299" w:rsidRDefault="006C7D2F" w:rsidP="00DC2656">
            <w:pPr>
              <w:ind w:right="547"/>
              <w:rPr>
                <w:rFonts w:ascii="Calibri" w:hAnsi="Calibri" w:cs="Calibri"/>
                <w:b/>
                <w:bCs/>
              </w:rPr>
            </w:pPr>
            <w:r>
              <w:rPr>
                <w:rFonts w:ascii="Calibri" w:hAnsi="Calibri"/>
                <w:b/>
                <w:color w:val="636466"/>
                <w:sz w:val="24"/>
              </w:rPr>
              <w:lastRenderedPageBreak/>
              <w:t>Таблиця 2.1.2. PICO 1.2: Яка діагностична точність Xpert MTB/RIF щодо виявлення легеневого ТБ у дорослих у порівнянні з МРС?</w:t>
            </w:r>
          </w:p>
        </w:tc>
      </w:tr>
      <w:tr w:rsidR="00ED665B" w:rsidRPr="00DC4299" w:rsidTr="00DC4299">
        <w:trPr>
          <w:trHeight w:hRule="exact" w:val="662"/>
        </w:trPr>
        <w:tc>
          <w:tcPr>
            <w:tcW w:w="2376" w:type="dxa"/>
            <w:tcBorders>
              <w:top w:val="single" w:sz="8" w:space="0" w:color="009649"/>
              <w:bottom w:val="single" w:sz="8" w:space="0" w:color="009649"/>
              <w:right w:val="single" w:sz="8" w:space="0" w:color="009649"/>
            </w:tcBorders>
            <w:shd w:val="clear" w:color="auto" w:fill="27A86A"/>
            <w:vAlign w:val="center"/>
          </w:tcPr>
          <w:p w:rsidR="00ED665B" w:rsidRPr="00DC4299" w:rsidRDefault="006C7D2F" w:rsidP="00DC4299">
            <w:pPr>
              <w:ind w:left="72"/>
              <w:rPr>
                <w:rFonts w:ascii="Calibri" w:hAnsi="Calibri" w:cs="Calibri"/>
                <w:b/>
                <w:bCs/>
              </w:rPr>
            </w:pPr>
            <w:r>
              <w:rPr>
                <w:rFonts w:ascii="Calibri" w:hAnsi="Calibri"/>
                <w:b/>
                <w:color w:val="000000"/>
              </w:rPr>
              <w:t>Популяція пацієнтів</w:t>
            </w:r>
          </w:p>
        </w:tc>
        <w:tc>
          <w:tcPr>
            <w:tcW w:w="169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Точність тесту</w:t>
            </w:r>
          </w:p>
        </w:tc>
        <w:tc>
          <w:tcPr>
            <w:tcW w:w="169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ind w:left="91" w:right="91"/>
              <w:jc w:val="center"/>
              <w:rPr>
                <w:rFonts w:ascii="Calibri" w:hAnsi="Calibri" w:cs="Calibri"/>
                <w:b/>
                <w:bCs/>
              </w:rPr>
            </w:pPr>
            <w:r>
              <w:rPr>
                <w:rFonts w:ascii="Calibri" w:hAnsi="Calibri"/>
                <w:b/>
                <w:color w:val="000000"/>
              </w:rPr>
              <w:t>Дослідження (учасники)</w:t>
            </w:r>
          </w:p>
        </w:tc>
        <w:tc>
          <w:tcPr>
            <w:tcW w:w="150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ind w:left="72" w:right="62"/>
              <w:jc w:val="center"/>
              <w:rPr>
                <w:rFonts w:ascii="Calibri" w:hAnsi="Calibri" w:cs="Calibri"/>
                <w:b/>
                <w:bCs/>
              </w:rPr>
            </w:pPr>
            <w:r>
              <w:rPr>
                <w:rFonts w:ascii="Calibri" w:hAnsi="Calibri"/>
                <w:b/>
                <w:color w:val="000000"/>
              </w:rPr>
              <w:t>Достовірність даних</w:t>
            </w:r>
          </w:p>
        </w:tc>
        <w:tc>
          <w:tcPr>
            <w:tcW w:w="225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Поширеність 2,5%</w:t>
            </w:r>
          </w:p>
        </w:tc>
        <w:tc>
          <w:tcPr>
            <w:tcW w:w="236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Поширеність 10%</w:t>
            </w:r>
          </w:p>
        </w:tc>
        <w:tc>
          <w:tcPr>
            <w:tcW w:w="2155" w:type="dxa"/>
            <w:tcBorders>
              <w:top w:val="single" w:sz="8" w:space="0" w:color="009649"/>
              <w:left w:val="single" w:sz="8" w:space="0" w:color="009649"/>
              <w:bottom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Поширеність 30%</w:t>
            </w:r>
          </w:p>
        </w:tc>
      </w:tr>
      <w:tr w:rsidR="00ED665B" w:rsidRPr="00907702" w:rsidTr="00DC4299">
        <w:trPr>
          <w:trHeight w:hRule="exact" w:val="442"/>
        </w:trPr>
        <w:tc>
          <w:tcPr>
            <w:tcW w:w="2376"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53"/>
              <w:rPr>
                <w:rFonts w:ascii="Calibri" w:hAnsi="Calibri" w:cs="Calibri"/>
                <w:b/>
              </w:rPr>
            </w:pPr>
            <w:r w:rsidRPr="00406A04">
              <w:rPr>
                <w:rFonts w:ascii="Calibri" w:hAnsi="Calibri"/>
                <w:b/>
                <w:color w:val="000000"/>
              </w:rPr>
              <w:t>ЛTБ, МРС у дорослих</w:t>
            </w:r>
          </w:p>
        </w:tc>
        <w:tc>
          <w:tcPr>
            <w:tcW w:w="169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Se: 0,85</w:t>
            </w:r>
          </w:p>
        </w:tc>
        <w:tc>
          <w:tcPr>
            <w:tcW w:w="1690"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70 (10 409)</w:t>
            </w:r>
          </w:p>
        </w:tc>
        <w:tc>
          <w:tcPr>
            <w:tcW w:w="150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2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21/ХН: 4</w:t>
            </w:r>
          </w:p>
        </w:tc>
        <w:tc>
          <w:tcPr>
            <w:tcW w:w="236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85/ХН: 15</w:t>
            </w:r>
          </w:p>
        </w:tc>
        <w:tc>
          <w:tcPr>
            <w:tcW w:w="2155"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255/ХН: 45</w:t>
            </w:r>
          </w:p>
        </w:tc>
      </w:tr>
      <w:tr w:rsidR="00ED665B" w:rsidRPr="00907702" w:rsidTr="00DC4299">
        <w:trPr>
          <w:trHeight w:hRule="exact" w:val="437"/>
        </w:trPr>
        <w:tc>
          <w:tcPr>
            <w:tcW w:w="2376" w:type="dxa"/>
            <w:vMerge/>
            <w:tcBorders>
              <w:top w:val="single" w:sz="8" w:space="0" w:color="009649"/>
              <w:bottom w:val="single" w:sz="8" w:space="0" w:color="009649"/>
            </w:tcBorders>
            <w:shd w:val="clear" w:color="auto" w:fill="FFFFFF"/>
            <w:vAlign w:val="center"/>
          </w:tcPr>
          <w:p w:rsidR="00ED665B" w:rsidRPr="00406A04" w:rsidRDefault="00ED665B" w:rsidP="00DC4299">
            <w:pPr>
              <w:ind w:left="53"/>
              <w:rPr>
                <w:rFonts w:ascii="Calibri" w:hAnsi="Calibri" w:cs="Calibri"/>
                <w:b/>
              </w:rPr>
            </w:pPr>
          </w:p>
          <w:p w:rsidR="00ED665B" w:rsidRPr="00406A04" w:rsidRDefault="00ED665B" w:rsidP="00DC4299">
            <w:pPr>
              <w:ind w:left="53"/>
              <w:rPr>
                <w:rFonts w:ascii="Calibri" w:hAnsi="Calibri" w:cs="Calibri"/>
                <w:b/>
              </w:rPr>
            </w:pPr>
          </w:p>
        </w:tc>
        <w:tc>
          <w:tcPr>
            <w:tcW w:w="169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Sp: 0,98</w:t>
            </w:r>
          </w:p>
        </w:tc>
        <w:tc>
          <w:tcPr>
            <w:tcW w:w="1690"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70 (26 828)</w:t>
            </w:r>
          </w:p>
        </w:tc>
        <w:tc>
          <w:tcPr>
            <w:tcW w:w="150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2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965 / ХП: 10</w:t>
            </w:r>
          </w:p>
        </w:tc>
        <w:tc>
          <w:tcPr>
            <w:tcW w:w="236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891 / ХП: 9</w:t>
            </w:r>
          </w:p>
        </w:tc>
        <w:tc>
          <w:tcPr>
            <w:tcW w:w="2155"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693 / ХП: 7</w:t>
            </w:r>
          </w:p>
        </w:tc>
      </w:tr>
      <w:tr w:rsidR="00ED665B" w:rsidRPr="00907702" w:rsidTr="00DC4299">
        <w:trPr>
          <w:trHeight w:hRule="exact" w:val="437"/>
        </w:trPr>
        <w:tc>
          <w:tcPr>
            <w:tcW w:w="2376"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53"/>
              <w:rPr>
                <w:rFonts w:ascii="Calibri" w:hAnsi="Calibri" w:cs="Calibri"/>
                <w:b/>
              </w:rPr>
            </w:pPr>
            <w:r w:rsidRPr="00406A04">
              <w:rPr>
                <w:rFonts w:ascii="Calibri" w:hAnsi="Calibri"/>
                <w:b/>
                <w:color w:val="000000"/>
              </w:rPr>
              <w:t>ЛTБ, SS–, МРС у дорослих</w:t>
            </w:r>
          </w:p>
        </w:tc>
        <w:tc>
          <w:tcPr>
            <w:tcW w:w="169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Se: 0,67</w:t>
            </w:r>
          </w:p>
        </w:tc>
        <w:tc>
          <w:tcPr>
            <w:tcW w:w="1690"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45 (2315)</w:t>
            </w:r>
          </w:p>
        </w:tc>
        <w:tc>
          <w:tcPr>
            <w:tcW w:w="150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2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17/ХН: 8</w:t>
            </w:r>
          </w:p>
        </w:tc>
        <w:tc>
          <w:tcPr>
            <w:tcW w:w="236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67/ХН: 33</w:t>
            </w:r>
          </w:p>
        </w:tc>
        <w:tc>
          <w:tcPr>
            <w:tcW w:w="2155"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201/ХН: 99</w:t>
            </w:r>
          </w:p>
        </w:tc>
      </w:tr>
      <w:tr w:rsidR="00ED665B" w:rsidRPr="00907702" w:rsidTr="00DC4299">
        <w:trPr>
          <w:trHeight w:hRule="exact" w:val="437"/>
        </w:trPr>
        <w:tc>
          <w:tcPr>
            <w:tcW w:w="2376" w:type="dxa"/>
            <w:vMerge/>
            <w:tcBorders>
              <w:top w:val="single" w:sz="8" w:space="0" w:color="009649"/>
              <w:bottom w:val="single" w:sz="8" w:space="0" w:color="009649"/>
            </w:tcBorders>
            <w:shd w:val="clear" w:color="auto" w:fill="FFFFFF"/>
            <w:vAlign w:val="center"/>
          </w:tcPr>
          <w:p w:rsidR="00ED665B" w:rsidRPr="00406A04" w:rsidRDefault="00ED665B" w:rsidP="00DC4299">
            <w:pPr>
              <w:ind w:left="53"/>
              <w:rPr>
                <w:rFonts w:ascii="Calibri" w:hAnsi="Calibri" w:cs="Calibri"/>
                <w:b/>
              </w:rPr>
            </w:pPr>
          </w:p>
          <w:p w:rsidR="00ED665B" w:rsidRPr="00406A04" w:rsidRDefault="00ED665B" w:rsidP="00DC4299">
            <w:pPr>
              <w:ind w:left="53"/>
              <w:rPr>
                <w:rFonts w:ascii="Calibri" w:hAnsi="Calibri" w:cs="Calibri"/>
                <w:b/>
              </w:rPr>
            </w:pPr>
          </w:p>
        </w:tc>
        <w:tc>
          <w:tcPr>
            <w:tcW w:w="169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Sp: 0,98</w:t>
            </w:r>
          </w:p>
        </w:tc>
        <w:tc>
          <w:tcPr>
            <w:tcW w:w="1690"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45 (16 647)</w:t>
            </w:r>
          </w:p>
        </w:tc>
        <w:tc>
          <w:tcPr>
            <w:tcW w:w="150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2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956 / ХП: 19</w:t>
            </w:r>
          </w:p>
        </w:tc>
        <w:tc>
          <w:tcPr>
            <w:tcW w:w="236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882 / ХП: 18</w:t>
            </w:r>
          </w:p>
        </w:tc>
        <w:tc>
          <w:tcPr>
            <w:tcW w:w="2155"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686 / ХП: 14</w:t>
            </w:r>
          </w:p>
        </w:tc>
      </w:tr>
      <w:tr w:rsidR="00ED665B" w:rsidRPr="00907702" w:rsidTr="00DC4299">
        <w:trPr>
          <w:trHeight w:hRule="exact" w:val="437"/>
        </w:trPr>
        <w:tc>
          <w:tcPr>
            <w:tcW w:w="2376"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53" w:right="427"/>
              <w:rPr>
                <w:rFonts w:ascii="Calibri" w:hAnsi="Calibri" w:cs="Calibri"/>
                <w:b/>
              </w:rPr>
            </w:pPr>
            <w:r w:rsidRPr="00406A04">
              <w:rPr>
                <w:rFonts w:ascii="Calibri" w:hAnsi="Calibri"/>
                <w:b/>
                <w:color w:val="000000"/>
              </w:rPr>
              <w:t>ЛTБ, ВІЛ+, МРС у дорослих</w:t>
            </w:r>
          </w:p>
        </w:tc>
        <w:tc>
          <w:tcPr>
            <w:tcW w:w="169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Se: 0,81</w:t>
            </w:r>
          </w:p>
        </w:tc>
        <w:tc>
          <w:tcPr>
            <w:tcW w:w="1690"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14 (1159)</w:t>
            </w:r>
          </w:p>
        </w:tc>
        <w:tc>
          <w:tcPr>
            <w:tcW w:w="150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2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20/ХН: 5</w:t>
            </w:r>
          </w:p>
        </w:tc>
        <w:tc>
          <w:tcPr>
            <w:tcW w:w="236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81/ХН: 19</w:t>
            </w:r>
          </w:p>
        </w:tc>
        <w:tc>
          <w:tcPr>
            <w:tcW w:w="2155"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243/ХН: 57</w:t>
            </w:r>
          </w:p>
        </w:tc>
      </w:tr>
      <w:tr w:rsidR="00ED665B" w:rsidRPr="00907702" w:rsidTr="00DC4299">
        <w:trPr>
          <w:trHeight w:hRule="exact" w:val="437"/>
        </w:trPr>
        <w:tc>
          <w:tcPr>
            <w:tcW w:w="2376" w:type="dxa"/>
            <w:vMerge/>
            <w:tcBorders>
              <w:top w:val="single" w:sz="8" w:space="0" w:color="009649"/>
              <w:bottom w:val="single" w:sz="8" w:space="0" w:color="009649"/>
            </w:tcBorders>
            <w:shd w:val="clear" w:color="auto" w:fill="FFFFFF"/>
            <w:vAlign w:val="center"/>
          </w:tcPr>
          <w:p w:rsidR="00ED665B" w:rsidRPr="00406A04" w:rsidRDefault="00ED665B" w:rsidP="00DC4299">
            <w:pPr>
              <w:ind w:left="53"/>
              <w:rPr>
                <w:rFonts w:ascii="Calibri" w:hAnsi="Calibri" w:cs="Calibri"/>
                <w:b/>
              </w:rPr>
            </w:pPr>
          </w:p>
          <w:p w:rsidR="00ED665B" w:rsidRPr="00406A04" w:rsidRDefault="00ED665B" w:rsidP="00DC4299">
            <w:pPr>
              <w:ind w:left="53"/>
              <w:rPr>
                <w:rFonts w:ascii="Calibri" w:hAnsi="Calibri" w:cs="Calibri"/>
                <w:b/>
              </w:rPr>
            </w:pPr>
          </w:p>
        </w:tc>
        <w:tc>
          <w:tcPr>
            <w:tcW w:w="169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Sp: 0,98</w:t>
            </w:r>
          </w:p>
        </w:tc>
        <w:tc>
          <w:tcPr>
            <w:tcW w:w="1690"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14 (3505)</w:t>
            </w:r>
          </w:p>
        </w:tc>
        <w:tc>
          <w:tcPr>
            <w:tcW w:w="150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2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956 / ХП: 19</w:t>
            </w:r>
          </w:p>
        </w:tc>
        <w:tc>
          <w:tcPr>
            <w:tcW w:w="236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882 / ХП: 18</w:t>
            </w:r>
          </w:p>
        </w:tc>
        <w:tc>
          <w:tcPr>
            <w:tcW w:w="2155"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686 / ХП: 14</w:t>
            </w:r>
          </w:p>
        </w:tc>
      </w:tr>
      <w:tr w:rsidR="00ED665B" w:rsidRPr="00907702" w:rsidTr="00DC4299">
        <w:trPr>
          <w:trHeight w:hRule="exact" w:val="437"/>
        </w:trPr>
        <w:tc>
          <w:tcPr>
            <w:tcW w:w="2376"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53" w:right="115"/>
              <w:rPr>
                <w:rFonts w:ascii="Calibri" w:hAnsi="Calibri" w:cs="Calibri"/>
                <w:b/>
              </w:rPr>
            </w:pPr>
            <w:r w:rsidRPr="00406A04">
              <w:rPr>
                <w:rFonts w:ascii="Calibri" w:hAnsi="Calibri"/>
                <w:b/>
                <w:color w:val="000000"/>
              </w:rPr>
              <w:t>ЛTБ, ТБ в анамнезі, МРС у дорослих</w:t>
            </w:r>
          </w:p>
        </w:tc>
        <w:tc>
          <w:tcPr>
            <w:tcW w:w="169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Se: 0,86</w:t>
            </w:r>
          </w:p>
        </w:tc>
        <w:tc>
          <w:tcPr>
            <w:tcW w:w="1690"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14 (2197)</w:t>
            </w:r>
          </w:p>
        </w:tc>
        <w:tc>
          <w:tcPr>
            <w:tcW w:w="150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Низькі</w:t>
            </w:r>
          </w:p>
        </w:tc>
        <w:tc>
          <w:tcPr>
            <w:tcW w:w="22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22/ХН: 3</w:t>
            </w:r>
          </w:p>
        </w:tc>
        <w:tc>
          <w:tcPr>
            <w:tcW w:w="236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86/ХН: 14</w:t>
            </w:r>
          </w:p>
        </w:tc>
        <w:tc>
          <w:tcPr>
            <w:tcW w:w="2155"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258/ХН: 42</w:t>
            </w:r>
          </w:p>
        </w:tc>
      </w:tr>
      <w:tr w:rsidR="00ED665B" w:rsidRPr="00907702" w:rsidTr="00DC4299">
        <w:trPr>
          <w:trHeight w:hRule="exact" w:val="437"/>
        </w:trPr>
        <w:tc>
          <w:tcPr>
            <w:tcW w:w="2376" w:type="dxa"/>
            <w:vMerge/>
            <w:tcBorders>
              <w:top w:val="single" w:sz="8" w:space="0" w:color="009649"/>
              <w:bottom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69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Sp: 0,95</w:t>
            </w:r>
          </w:p>
        </w:tc>
        <w:tc>
          <w:tcPr>
            <w:tcW w:w="1690"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14 (2998)</w:t>
            </w:r>
          </w:p>
        </w:tc>
        <w:tc>
          <w:tcPr>
            <w:tcW w:w="150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Помірна</w:t>
            </w:r>
          </w:p>
        </w:tc>
        <w:tc>
          <w:tcPr>
            <w:tcW w:w="22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924 / ХП: 51</w:t>
            </w:r>
          </w:p>
        </w:tc>
        <w:tc>
          <w:tcPr>
            <w:tcW w:w="236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853 / ХП: 47</w:t>
            </w:r>
          </w:p>
        </w:tc>
        <w:tc>
          <w:tcPr>
            <w:tcW w:w="2155"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664 / ХП: 36</w:t>
            </w:r>
          </w:p>
        </w:tc>
      </w:tr>
      <w:tr w:rsidR="00ED665B" w:rsidRPr="00907702" w:rsidTr="00DC4299">
        <w:trPr>
          <w:trHeight w:hRule="exact" w:val="490"/>
        </w:trPr>
        <w:tc>
          <w:tcPr>
            <w:tcW w:w="14035" w:type="dxa"/>
            <w:gridSpan w:val="7"/>
            <w:tcBorders>
              <w:top w:val="single" w:sz="8" w:space="0" w:color="009649"/>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6"/>
              </w:rPr>
              <w:t>ХН: хибнонегативний; ХП: хибнопозитивний; ВІЛ+: позитивний ВІЛ-статус; МРС: мікробіологічний референс стандарт; PICO: кількість населення, заходи, порівняння, результат; ЛТБ: легеневий туберкульоз; Se: чутливість; Sp: специфічність; SS–: мазок мокротиння негативний; ТБ: туберкульоз; ІН: істинно негативний; ІП: істинно позитивний.</w:t>
            </w:r>
          </w:p>
        </w:tc>
      </w:tr>
    </w:tbl>
    <w:p w:rsidR="00ED665B" w:rsidRPr="0090770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47"/>
        <w:gridCol w:w="1670"/>
        <w:gridCol w:w="1574"/>
        <w:gridCol w:w="1574"/>
        <w:gridCol w:w="2318"/>
        <w:gridCol w:w="2222"/>
        <w:gridCol w:w="2328"/>
      </w:tblGrid>
      <w:tr w:rsidR="00ED665B" w:rsidRPr="00DC4299" w:rsidTr="00DC4299">
        <w:trPr>
          <w:trHeight w:hRule="exact" w:val="768"/>
        </w:trPr>
        <w:tc>
          <w:tcPr>
            <w:tcW w:w="14033" w:type="dxa"/>
            <w:gridSpan w:val="7"/>
            <w:tcBorders>
              <w:top w:val="nil"/>
              <w:left w:val="nil"/>
              <w:bottom w:val="single" w:sz="8" w:space="0" w:color="009649"/>
              <w:right w:val="nil"/>
            </w:tcBorders>
            <w:shd w:val="clear" w:color="auto" w:fill="FFFFFF"/>
          </w:tcPr>
          <w:p w:rsidR="00ED665B" w:rsidRPr="00DC4299" w:rsidRDefault="006C7D2F" w:rsidP="00DC2656">
            <w:pPr>
              <w:ind w:right="48"/>
              <w:rPr>
                <w:rFonts w:ascii="Calibri" w:hAnsi="Calibri" w:cs="Calibri"/>
                <w:b/>
                <w:bCs/>
              </w:rPr>
            </w:pPr>
            <w:r>
              <w:rPr>
                <w:rFonts w:ascii="Calibri" w:hAnsi="Calibri"/>
                <w:b/>
                <w:color w:val="636466"/>
                <w:sz w:val="24"/>
              </w:rPr>
              <w:t>Таблиця 2.1.3. PICO 1.2: Яка діагностична точність Xpert MTB/RIF щодо виявлення резистентності до рифампіцину у дорослих з легеневим ТБ у порівнянні з МРС?</w:t>
            </w:r>
          </w:p>
        </w:tc>
      </w:tr>
      <w:tr w:rsidR="00ED665B" w:rsidRPr="00DC4299" w:rsidTr="00DC4299">
        <w:trPr>
          <w:trHeight w:hRule="exact" w:val="653"/>
        </w:trPr>
        <w:tc>
          <w:tcPr>
            <w:tcW w:w="2347" w:type="dxa"/>
            <w:tcBorders>
              <w:top w:val="single" w:sz="8" w:space="0" w:color="009649"/>
              <w:bottom w:val="single" w:sz="8" w:space="0" w:color="009649"/>
              <w:right w:val="single" w:sz="8" w:space="0" w:color="009649"/>
            </w:tcBorders>
            <w:shd w:val="clear" w:color="auto" w:fill="27A86A"/>
            <w:vAlign w:val="center"/>
          </w:tcPr>
          <w:p w:rsidR="00ED665B" w:rsidRPr="00DC4299" w:rsidRDefault="006C7D2F" w:rsidP="00DC4299">
            <w:pPr>
              <w:ind w:left="72"/>
              <w:rPr>
                <w:rFonts w:ascii="Calibri" w:hAnsi="Calibri" w:cs="Calibri"/>
                <w:b/>
                <w:bCs/>
              </w:rPr>
            </w:pPr>
            <w:r>
              <w:rPr>
                <w:rFonts w:ascii="Calibri" w:hAnsi="Calibri"/>
                <w:b/>
                <w:color w:val="000000"/>
              </w:rPr>
              <w:t>Популяція пацієнтів</w:t>
            </w:r>
          </w:p>
        </w:tc>
        <w:tc>
          <w:tcPr>
            <w:tcW w:w="167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Точність тесту</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4245B">
            <w:pPr>
              <w:ind w:left="6"/>
              <w:jc w:val="center"/>
              <w:rPr>
                <w:rFonts w:ascii="Calibri" w:hAnsi="Calibri" w:cs="Calibri"/>
                <w:b/>
                <w:bCs/>
              </w:rPr>
            </w:pPr>
            <w:r>
              <w:rPr>
                <w:rFonts w:ascii="Calibri" w:hAnsi="Calibri"/>
                <w:b/>
                <w:color w:val="000000"/>
              </w:rPr>
              <w:t>Дослідження (осіб)</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ind w:left="106" w:right="101"/>
              <w:jc w:val="center"/>
              <w:rPr>
                <w:rFonts w:ascii="Calibri" w:hAnsi="Calibri" w:cs="Calibri"/>
                <w:b/>
                <w:bCs/>
              </w:rPr>
            </w:pPr>
            <w:r>
              <w:rPr>
                <w:rFonts w:ascii="Calibri" w:hAnsi="Calibri"/>
                <w:b/>
                <w:color w:val="000000"/>
              </w:rPr>
              <w:t>Достовірність даних</w:t>
            </w:r>
          </w:p>
        </w:tc>
        <w:tc>
          <w:tcPr>
            <w:tcW w:w="231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Поширеність 2%</w:t>
            </w:r>
          </w:p>
        </w:tc>
        <w:tc>
          <w:tcPr>
            <w:tcW w:w="222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Поширеність 10%</w:t>
            </w:r>
          </w:p>
        </w:tc>
        <w:tc>
          <w:tcPr>
            <w:tcW w:w="232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Поширеність 15%</w:t>
            </w:r>
          </w:p>
        </w:tc>
      </w:tr>
      <w:tr w:rsidR="00ED665B" w:rsidRPr="00907702" w:rsidTr="00DC4299">
        <w:trPr>
          <w:trHeight w:hRule="exact" w:val="442"/>
        </w:trPr>
        <w:tc>
          <w:tcPr>
            <w:tcW w:w="2347" w:type="dxa"/>
            <w:vMerge w:val="restart"/>
            <w:tcBorders>
              <w:top w:val="single" w:sz="8" w:space="0" w:color="009649"/>
              <w:bottom w:val="single" w:sz="8" w:space="0" w:color="009649"/>
            </w:tcBorders>
            <w:shd w:val="clear" w:color="auto" w:fill="FFFFFF"/>
          </w:tcPr>
          <w:p w:rsidR="00ED665B" w:rsidRPr="00406A04" w:rsidRDefault="006C7D2F" w:rsidP="00DC2656">
            <w:pPr>
              <w:ind w:left="53"/>
              <w:rPr>
                <w:rFonts w:ascii="Calibri" w:hAnsi="Calibri" w:cs="Calibri"/>
                <w:b/>
              </w:rPr>
            </w:pPr>
            <w:r w:rsidRPr="00406A04">
              <w:rPr>
                <w:rFonts w:ascii="Calibri" w:hAnsi="Calibri"/>
                <w:b/>
                <w:color w:val="000000"/>
              </w:rPr>
              <w:t>ЛTБ, Риф-ТБ у дорослих</w:t>
            </w: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Se: 0,96</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48 (1775)</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19/ХН: 1</w:t>
            </w:r>
          </w:p>
        </w:tc>
        <w:tc>
          <w:tcPr>
            <w:tcW w:w="222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96/ХН: 4</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144/ХН: 6</w:t>
            </w:r>
          </w:p>
        </w:tc>
      </w:tr>
      <w:tr w:rsidR="00ED665B" w:rsidRPr="00907702" w:rsidTr="00DC4299">
        <w:trPr>
          <w:trHeight w:hRule="exact" w:val="437"/>
        </w:trPr>
        <w:tc>
          <w:tcPr>
            <w:tcW w:w="2347" w:type="dxa"/>
            <w:vMerge/>
            <w:tcBorders>
              <w:top w:val="single" w:sz="8" w:space="0" w:color="009649"/>
              <w:bottom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Sp: 0,98</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48 (6245)</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960 / ХП: 20</w:t>
            </w:r>
          </w:p>
        </w:tc>
        <w:tc>
          <w:tcPr>
            <w:tcW w:w="2222"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882 / ХП: 18</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833 / ХП: 17</w:t>
            </w:r>
          </w:p>
        </w:tc>
      </w:tr>
      <w:tr w:rsidR="00ED665B" w:rsidRPr="00907702" w:rsidTr="00DC4299">
        <w:trPr>
          <w:trHeight w:hRule="exact" w:val="490"/>
        </w:trPr>
        <w:tc>
          <w:tcPr>
            <w:tcW w:w="14033" w:type="dxa"/>
            <w:gridSpan w:val="7"/>
            <w:tcBorders>
              <w:top w:val="single" w:sz="8" w:space="0" w:color="009649"/>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Риф-ТБ: рифампіцин-резистентний туберкульоз; Se: чутливість; Sp: специфічність; ТБ: туберкульоз; ІН: істинно негативний; ІП: істинно позитивний.</w:t>
            </w:r>
          </w:p>
        </w:tc>
      </w:tr>
    </w:tbl>
    <w:p w:rsidR="00ED665B" w:rsidRPr="00907702" w:rsidRDefault="00ED665B" w:rsidP="00DC2656">
      <w:pPr>
        <w:rPr>
          <w:rFonts w:ascii="Calibri" w:hAnsi="Calibri" w:cs="Calibri"/>
        </w:rPr>
        <w:sectPr w:rsidR="00ED665B" w:rsidRPr="00907702" w:rsidSect="00DC4299">
          <w:headerReference w:type="default" r:id="rId39"/>
          <w:footerReference w:type="default" r:id="rId40"/>
          <w:pgSz w:w="16838" w:h="11904" w:orient="landscape"/>
          <w:pgMar w:top="1397" w:right="1416" w:bottom="851"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333"/>
        <w:gridCol w:w="1661"/>
        <w:gridCol w:w="1656"/>
        <w:gridCol w:w="1565"/>
        <w:gridCol w:w="2304"/>
        <w:gridCol w:w="2213"/>
        <w:gridCol w:w="2314"/>
      </w:tblGrid>
      <w:tr w:rsidR="00ED665B" w:rsidRPr="00DC4299" w:rsidTr="00DC4299">
        <w:trPr>
          <w:trHeight w:hRule="exact" w:val="470"/>
        </w:trPr>
        <w:tc>
          <w:tcPr>
            <w:tcW w:w="14046" w:type="dxa"/>
            <w:gridSpan w:val="7"/>
            <w:tcBorders>
              <w:top w:val="nil"/>
              <w:left w:val="nil"/>
              <w:bottom w:val="single" w:sz="8" w:space="0" w:color="009649"/>
              <w:right w:val="nil"/>
            </w:tcBorders>
            <w:shd w:val="clear" w:color="auto" w:fill="FFFFFF"/>
          </w:tcPr>
          <w:p w:rsidR="00ED665B" w:rsidRPr="00DC4299" w:rsidRDefault="006C7D2F" w:rsidP="00DC2656">
            <w:pPr>
              <w:rPr>
                <w:rFonts w:ascii="Calibri" w:hAnsi="Calibri" w:cs="Calibri"/>
                <w:b/>
                <w:bCs/>
              </w:rPr>
            </w:pPr>
            <w:r>
              <w:rPr>
                <w:rFonts w:ascii="Calibri" w:hAnsi="Calibri"/>
                <w:b/>
                <w:color w:val="636466"/>
                <w:sz w:val="24"/>
              </w:rPr>
              <w:lastRenderedPageBreak/>
              <w:t>Таблиця 2.1.4. PICO 1.3: Яка діагностична точність Xpert Ultra щодо виявлення легеневого ТБ у порівнянні з МРС?</w:t>
            </w:r>
          </w:p>
        </w:tc>
      </w:tr>
      <w:tr w:rsidR="00ED665B" w:rsidRPr="00DC4299" w:rsidTr="00DC4299">
        <w:trPr>
          <w:trHeight w:hRule="exact" w:val="662"/>
        </w:trPr>
        <w:tc>
          <w:tcPr>
            <w:tcW w:w="2333" w:type="dxa"/>
            <w:tcBorders>
              <w:top w:val="single" w:sz="8" w:space="0" w:color="009649"/>
              <w:bottom w:val="single" w:sz="8" w:space="0" w:color="009649"/>
              <w:right w:val="single" w:sz="8" w:space="0" w:color="009649"/>
            </w:tcBorders>
            <w:shd w:val="clear" w:color="auto" w:fill="27A86A"/>
            <w:vAlign w:val="center"/>
          </w:tcPr>
          <w:p w:rsidR="00ED665B" w:rsidRPr="00DC4299" w:rsidRDefault="006C7D2F" w:rsidP="00DC4299">
            <w:pPr>
              <w:ind w:left="72"/>
              <w:rPr>
                <w:rFonts w:ascii="Calibri" w:hAnsi="Calibri" w:cs="Calibri"/>
                <w:b/>
                <w:bCs/>
              </w:rPr>
            </w:pPr>
            <w:r>
              <w:rPr>
                <w:rFonts w:ascii="Calibri" w:hAnsi="Calibri"/>
                <w:b/>
                <w:color w:val="000000"/>
              </w:rPr>
              <w:t>Популяція пацієнтів</w:t>
            </w:r>
          </w:p>
        </w:tc>
        <w:tc>
          <w:tcPr>
            <w:tcW w:w="1661"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Точність тесту</w:t>
            </w:r>
          </w:p>
        </w:tc>
        <w:tc>
          <w:tcPr>
            <w:tcW w:w="165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ind w:left="72" w:right="77"/>
              <w:jc w:val="center"/>
              <w:rPr>
                <w:rFonts w:ascii="Calibri" w:hAnsi="Calibri" w:cs="Calibri"/>
                <w:b/>
                <w:bCs/>
              </w:rPr>
            </w:pPr>
            <w:r>
              <w:rPr>
                <w:rFonts w:ascii="Calibri" w:hAnsi="Calibri"/>
                <w:b/>
                <w:color w:val="000000"/>
              </w:rPr>
              <w:t>Дослідження (учасники)</w:t>
            </w:r>
          </w:p>
        </w:tc>
        <w:tc>
          <w:tcPr>
            <w:tcW w:w="156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ind w:left="101" w:right="96"/>
              <w:jc w:val="center"/>
              <w:rPr>
                <w:rFonts w:ascii="Calibri" w:hAnsi="Calibri" w:cs="Calibri"/>
                <w:b/>
                <w:bCs/>
              </w:rPr>
            </w:pPr>
            <w:r>
              <w:rPr>
                <w:rFonts w:ascii="Calibri" w:hAnsi="Calibri"/>
                <w:b/>
                <w:color w:val="000000"/>
              </w:rPr>
              <w:t>Достовірність даних</w:t>
            </w:r>
          </w:p>
        </w:tc>
        <w:tc>
          <w:tcPr>
            <w:tcW w:w="230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Поширеність 2,5%</w:t>
            </w:r>
          </w:p>
        </w:tc>
        <w:tc>
          <w:tcPr>
            <w:tcW w:w="221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Поширеність 10%</w:t>
            </w:r>
          </w:p>
        </w:tc>
        <w:tc>
          <w:tcPr>
            <w:tcW w:w="2314" w:type="dxa"/>
            <w:tcBorders>
              <w:top w:val="single" w:sz="8" w:space="0" w:color="009649"/>
              <w:left w:val="single" w:sz="8" w:space="0" w:color="009649"/>
              <w:bottom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Поширеність 30%</w:t>
            </w:r>
          </w:p>
        </w:tc>
      </w:tr>
      <w:tr w:rsidR="00ED665B" w:rsidRPr="00907702" w:rsidTr="00DC4299">
        <w:trPr>
          <w:trHeight w:hRule="exact" w:val="442"/>
        </w:trPr>
        <w:tc>
          <w:tcPr>
            <w:tcW w:w="2333"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72"/>
              <w:rPr>
                <w:rFonts w:ascii="Calibri" w:hAnsi="Calibri" w:cs="Calibri"/>
                <w:b/>
              </w:rPr>
            </w:pPr>
            <w:r w:rsidRPr="00406A04">
              <w:rPr>
                <w:rFonts w:ascii="Calibri" w:hAnsi="Calibri"/>
                <w:b/>
                <w:color w:val="000000"/>
              </w:rPr>
              <w:t>ЛTБ, МРС у дорослих</w:t>
            </w:r>
          </w:p>
        </w:tc>
        <w:tc>
          <w:tcPr>
            <w:tcW w:w="1661"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Se: 0,90</w:t>
            </w:r>
          </w:p>
        </w:tc>
        <w:tc>
          <w:tcPr>
            <w:tcW w:w="16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6 (960)</w:t>
            </w:r>
          </w:p>
        </w:tc>
        <w:tc>
          <w:tcPr>
            <w:tcW w:w="1565"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30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22/ХН: 3</w:t>
            </w:r>
          </w:p>
        </w:tc>
        <w:tc>
          <w:tcPr>
            <w:tcW w:w="2213"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90/ХН: 10</w:t>
            </w:r>
          </w:p>
        </w:tc>
        <w:tc>
          <w:tcPr>
            <w:tcW w:w="2314"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269/ХН: 31</w:t>
            </w:r>
          </w:p>
        </w:tc>
      </w:tr>
      <w:tr w:rsidR="00ED665B" w:rsidRPr="00907702" w:rsidTr="00DC4299">
        <w:trPr>
          <w:trHeight w:hRule="exact" w:val="437"/>
        </w:trPr>
        <w:tc>
          <w:tcPr>
            <w:tcW w:w="2333" w:type="dxa"/>
            <w:vMerge/>
            <w:tcBorders>
              <w:top w:val="single" w:sz="8" w:space="0" w:color="009649"/>
              <w:bottom w:val="single" w:sz="8" w:space="0" w:color="009649"/>
            </w:tcBorders>
            <w:shd w:val="clear" w:color="auto" w:fill="FFFFFF"/>
            <w:vAlign w:val="center"/>
          </w:tcPr>
          <w:p w:rsidR="00ED665B" w:rsidRPr="00406A04" w:rsidRDefault="00ED665B" w:rsidP="00DC4299">
            <w:pPr>
              <w:ind w:left="72"/>
              <w:rPr>
                <w:rFonts w:ascii="Calibri" w:hAnsi="Calibri" w:cs="Calibri"/>
                <w:b/>
              </w:rPr>
            </w:pPr>
          </w:p>
          <w:p w:rsidR="00ED665B" w:rsidRPr="00406A04" w:rsidRDefault="00ED665B" w:rsidP="00DC4299">
            <w:pPr>
              <w:ind w:left="72"/>
              <w:rPr>
                <w:rFonts w:ascii="Calibri" w:hAnsi="Calibri" w:cs="Calibri"/>
                <w:b/>
              </w:rPr>
            </w:pPr>
          </w:p>
        </w:tc>
        <w:tc>
          <w:tcPr>
            <w:tcW w:w="1661"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Sp: 0,96</w:t>
            </w:r>
          </w:p>
        </w:tc>
        <w:tc>
          <w:tcPr>
            <w:tcW w:w="16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6 (1694)</w:t>
            </w:r>
          </w:p>
        </w:tc>
        <w:tc>
          <w:tcPr>
            <w:tcW w:w="1565"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30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932 / ХП: 43</w:t>
            </w:r>
          </w:p>
        </w:tc>
        <w:tc>
          <w:tcPr>
            <w:tcW w:w="2213"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860 / ХП: 40</w:t>
            </w:r>
          </w:p>
        </w:tc>
        <w:tc>
          <w:tcPr>
            <w:tcW w:w="2314"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669 / ХП: 31</w:t>
            </w:r>
          </w:p>
        </w:tc>
      </w:tr>
      <w:tr w:rsidR="00ED665B" w:rsidRPr="00907702" w:rsidTr="00DC4299">
        <w:trPr>
          <w:trHeight w:hRule="exact" w:val="437"/>
        </w:trPr>
        <w:tc>
          <w:tcPr>
            <w:tcW w:w="2333"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72"/>
              <w:rPr>
                <w:rFonts w:ascii="Calibri" w:hAnsi="Calibri" w:cs="Calibri"/>
                <w:b/>
              </w:rPr>
            </w:pPr>
            <w:r w:rsidRPr="00406A04">
              <w:rPr>
                <w:rFonts w:ascii="Calibri" w:hAnsi="Calibri"/>
                <w:b/>
                <w:color w:val="000000"/>
              </w:rPr>
              <w:t>ЛTБ, SS–, МРС у дорослих</w:t>
            </w:r>
          </w:p>
        </w:tc>
        <w:tc>
          <w:tcPr>
            <w:tcW w:w="1661"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Se: 0,77</w:t>
            </w:r>
          </w:p>
        </w:tc>
        <w:tc>
          <w:tcPr>
            <w:tcW w:w="16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6 (378)</w:t>
            </w:r>
          </w:p>
        </w:tc>
        <w:tc>
          <w:tcPr>
            <w:tcW w:w="1565"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30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19/ХН: 6</w:t>
            </w:r>
          </w:p>
        </w:tc>
        <w:tc>
          <w:tcPr>
            <w:tcW w:w="2213"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77/ХН: 23</w:t>
            </w:r>
          </w:p>
        </w:tc>
        <w:tc>
          <w:tcPr>
            <w:tcW w:w="2314"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231/ХН: 69</w:t>
            </w:r>
          </w:p>
        </w:tc>
      </w:tr>
      <w:tr w:rsidR="00ED665B" w:rsidRPr="00907702" w:rsidTr="00DC4299">
        <w:trPr>
          <w:trHeight w:hRule="exact" w:val="437"/>
        </w:trPr>
        <w:tc>
          <w:tcPr>
            <w:tcW w:w="2333" w:type="dxa"/>
            <w:vMerge/>
            <w:tcBorders>
              <w:top w:val="single" w:sz="8" w:space="0" w:color="009649"/>
              <w:bottom w:val="single" w:sz="8" w:space="0" w:color="009649"/>
            </w:tcBorders>
            <w:shd w:val="clear" w:color="auto" w:fill="FFFFFF"/>
            <w:vAlign w:val="center"/>
          </w:tcPr>
          <w:p w:rsidR="00ED665B" w:rsidRPr="00406A04" w:rsidRDefault="00ED665B" w:rsidP="00DC4299">
            <w:pPr>
              <w:ind w:left="72"/>
              <w:rPr>
                <w:rFonts w:ascii="Calibri" w:hAnsi="Calibri" w:cs="Calibri"/>
                <w:b/>
              </w:rPr>
            </w:pPr>
          </w:p>
          <w:p w:rsidR="00ED665B" w:rsidRPr="00406A04" w:rsidRDefault="00ED665B" w:rsidP="00DC4299">
            <w:pPr>
              <w:ind w:left="72"/>
              <w:rPr>
                <w:rFonts w:ascii="Calibri" w:hAnsi="Calibri" w:cs="Calibri"/>
                <w:b/>
              </w:rPr>
            </w:pPr>
          </w:p>
        </w:tc>
        <w:tc>
          <w:tcPr>
            <w:tcW w:w="1661"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Sp: 0,96</w:t>
            </w:r>
          </w:p>
        </w:tc>
        <w:tc>
          <w:tcPr>
            <w:tcW w:w="16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6 (1671)</w:t>
            </w:r>
          </w:p>
        </w:tc>
        <w:tc>
          <w:tcPr>
            <w:tcW w:w="1565"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30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932 / ХП: 43</w:t>
            </w:r>
          </w:p>
        </w:tc>
        <w:tc>
          <w:tcPr>
            <w:tcW w:w="2213"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860 / ХП: 40</w:t>
            </w:r>
          </w:p>
        </w:tc>
        <w:tc>
          <w:tcPr>
            <w:tcW w:w="2314"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669 / ХП: 31</w:t>
            </w:r>
          </w:p>
        </w:tc>
      </w:tr>
      <w:tr w:rsidR="00ED665B" w:rsidRPr="00907702" w:rsidTr="00DC4299">
        <w:trPr>
          <w:trHeight w:hRule="exact" w:val="437"/>
        </w:trPr>
        <w:tc>
          <w:tcPr>
            <w:tcW w:w="2333"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72" w:right="384"/>
              <w:rPr>
                <w:rFonts w:ascii="Calibri" w:hAnsi="Calibri" w:cs="Calibri"/>
                <w:b/>
              </w:rPr>
            </w:pPr>
            <w:r w:rsidRPr="00406A04">
              <w:rPr>
                <w:rFonts w:ascii="Calibri" w:hAnsi="Calibri"/>
                <w:b/>
                <w:color w:val="000000"/>
              </w:rPr>
              <w:t>ЛTБ, ВІЛ+, МРС у дорослих</w:t>
            </w:r>
          </w:p>
        </w:tc>
        <w:tc>
          <w:tcPr>
            <w:tcW w:w="1661"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Se: 0,88</w:t>
            </w:r>
          </w:p>
        </w:tc>
        <w:tc>
          <w:tcPr>
            <w:tcW w:w="16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2 (149)</w:t>
            </w:r>
          </w:p>
        </w:tc>
        <w:tc>
          <w:tcPr>
            <w:tcW w:w="1565"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Низькі</w:t>
            </w:r>
          </w:p>
        </w:tc>
        <w:tc>
          <w:tcPr>
            <w:tcW w:w="230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22/ХН: 3</w:t>
            </w:r>
          </w:p>
        </w:tc>
        <w:tc>
          <w:tcPr>
            <w:tcW w:w="2213"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88/ХН: 12</w:t>
            </w:r>
          </w:p>
        </w:tc>
        <w:tc>
          <w:tcPr>
            <w:tcW w:w="2314"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265/ХН: 35</w:t>
            </w:r>
          </w:p>
        </w:tc>
      </w:tr>
      <w:tr w:rsidR="00ED665B" w:rsidRPr="00907702" w:rsidTr="00DC4299">
        <w:trPr>
          <w:trHeight w:hRule="exact" w:val="437"/>
        </w:trPr>
        <w:tc>
          <w:tcPr>
            <w:tcW w:w="2333" w:type="dxa"/>
            <w:vMerge/>
            <w:tcBorders>
              <w:top w:val="single" w:sz="8" w:space="0" w:color="009649"/>
              <w:bottom w:val="single" w:sz="8" w:space="0" w:color="009649"/>
            </w:tcBorders>
            <w:shd w:val="clear" w:color="auto" w:fill="FFFFFF"/>
            <w:vAlign w:val="center"/>
          </w:tcPr>
          <w:p w:rsidR="00ED665B" w:rsidRPr="00406A04" w:rsidRDefault="00ED665B" w:rsidP="00DC4299">
            <w:pPr>
              <w:ind w:left="72"/>
              <w:rPr>
                <w:rFonts w:ascii="Calibri" w:hAnsi="Calibri" w:cs="Calibri"/>
                <w:b/>
              </w:rPr>
            </w:pPr>
          </w:p>
          <w:p w:rsidR="00ED665B" w:rsidRPr="00406A04" w:rsidRDefault="00ED665B" w:rsidP="00DC4299">
            <w:pPr>
              <w:ind w:left="72"/>
              <w:rPr>
                <w:rFonts w:ascii="Calibri" w:hAnsi="Calibri" w:cs="Calibri"/>
                <w:b/>
              </w:rPr>
            </w:pPr>
          </w:p>
        </w:tc>
        <w:tc>
          <w:tcPr>
            <w:tcW w:w="1661"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Sp: 0,95</w:t>
            </w:r>
          </w:p>
        </w:tc>
        <w:tc>
          <w:tcPr>
            <w:tcW w:w="16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2 (430)</w:t>
            </w:r>
          </w:p>
        </w:tc>
        <w:tc>
          <w:tcPr>
            <w:tcW w:w="1565"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30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923 / ХП: 52</w:t>
            </w:r>
          </w:p>
        </w:tc>
        <w:tc>
          <w:tcPr>
            <w:tcW w:w="2213"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852 / ХП: 48</w:t>
            </w:r>
          </w:p>
        </w:tc>
        <w:tc>
          <w:tcPr>
            <w:tcW w:w="2314"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663 / ХП: 37</w:t>
            </w:r>
          </w:p>
        </w:tc>
      </w:tr>
      <w:tr w:rsidR="00ED665B" w:rsidRPr="00907702" w:rsidTr="00DC4299">
        <w:trPr>
          <w:trHeight w:hRule="exact" w:val="437"/>
        </w:trPr>
        <w:tc>
          <w:tcPr>
            <w:tcW w:w="2333"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72" w:right="86"/>
              <w:rPr>
                <w:rFonts w:ascii="Calibri" w:hAnsi="Calibri" w:cs="Calibri"/>
                <w:b/>
              </w:rPr>
            </w:pPr>
            <w:r w:rsidRPr="00406A04">
              <w:rPr>
                <w:rFonts w:ascii="Calibri" w:hAnsi="Calibri"/>
                <w:b/>
                <w:color w:val="000000"/>
              </w:rPr>
              <w:t>ЛTБ, ТБ в анамнезі, МРС у дорослих</w:t>
            </w:r>
          </w:p>
        </w:tc>
        <w:tc>
          <w:tcPr>
            <w:tcW w:w="1661"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Se: 0,84</w:t>
            </w:r>
          </w:p>
        </w:tc>
        <w:tc>
          <w:tcPr>
            <w:tcW w:w="16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4 (127)</w:t>
            </w:r>
          </w:p>
        </w:tc>
        <w:tc>
          <w:tcPr>
            <w:tcW w:w="1565"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Низькі</w:t>
            </w:r>
          </w:p>
        </w:tc>
        <w:tc>
          <w:tcPr>
            <w:tcW w:w="230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21/ХН: 4</w:t>
            </w:r>
          </w:p>
        </w:tc>
        <w:tc>
          <w:tcPr>
            <w:tcW w:w="2213"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84/ХН: 16</w:t>
            </w:r>
          </w:p>
        </w:tc>
        <w:tc>
          <w:tcPr>
            <w:tcW w:w="2314"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251/ХН: 49</w:t>
            </w:r>
          </w:p>
        </w:tc>
      </w:tr>
      <w:tr w:rsidR="00ED665B" w:rsidRPr="00907702" w:rsidTr="00DC4299">
        <w:trPr>
          <w:trHeight w:hRule="exact" w:val="437"/>
        </w:trPr>
        <w:tc>
          <w:tcPr>
            <w:tcW w:w="2333" w:type="dxa"/>
            <w:vMerge/>
            <w:tcBorders>
              <w:top w:val="single" w:sz="8" w:space="0" w:color="009649"/>
              <w:bottom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661"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Sp: 0,86</w:t>
            </w:r>
          </w:p>
        </w:tc>
        <w:tc>
          <w:tcPr>
            <w:tcW w:w="1656"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4 (475)</w:t>
            </w:r>
          </w:p>
        </w:tc>
        <w:tc>
          <w:tcPr>
            <w:tcW w:w="1565"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Низькі</w:t>
            </w:r>
          </w:p>
        </w:tc>
        <w:tc>
          <w:tcPr>
            <w:tcW w:w="230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842 / ХП: 133</w:t>
            </w:r>
          </w:p>
        </w:tc>
        <w:tc>
          <w:tcPr>
            <w:tcW w:w="2213"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778 / ХП: 122</w:t>
            </w:r>
          </w:p>
        </w:tc>
        <w:tc>
          <w:tcPr>
            <w:tcW w:w="2314"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605 / ХП: 95</w:t>
            </w:r>
          </w:p>
        </w:tc>
      </w:tr>
      <w:tr w:rsidR="00ED665B" w:rsidRPr="00907702" w:rsidTr="00DC4299">
        <w:trPr>
          <w:trHeight w:hRule="exact" w:val="490"/>
        </w:trPr>
        <w:tc>
          <w:tcPr>
            <w:tcW w:w="14046" w:type="dxa"/>
            <w:gridSpan w:val="7"/>
            <w:tcBorders>
              <w:top w:val="single" w:sz="8" w:space="0" w:color="009649"/>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6"/>
              </w:rPr>
              <w:t>ХН: хибнонегативний; ХП: хибнопозитивний; ВІЛ+: позитивний ВІЛ-статус; МРС: мікробіологічний референс стандарт; PICO: кількість населення, заходи, порівняння, результат; ЛТБ: легеневий туберкульоз; Se: чутливість; Sp: специфічність; SS–: мазок мокротиння негативний; ТБ: туберкульоз; ІН: істинно негативний; ІП: істинно позитивний.</w:t>
            </w:r>
          </w:p>
        </w:tc>
      </w:tr>
    </w:tbl>
    <w:p w:rsidR="00ED665B" w:rsidRPr="0090770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47"/>
        <w:gridCol w:w="1670"/>
        <w:gridCol w:w="1574"/>
        <w:gridCol w:w="1574"/>
        <w:gridCol w:w="2318"/>
        <w:gridCol w:w="2222"/>
        <w:gridCol w:w="2328"/>
      </w:tblGrid>
      <w:tr w:rsidR="00ED665B" w:rsidRPr="00DC4299" w:rsidTr="00DC4299">
        <w:trPr>
          <w:trHeight w:hRule="exact" w:val="763"/>
        </w:trPr>
        <w:tc>
          <w:tcPr>
            <w:tcW w:w="14033" w:type="dxa"/>
            <w:gridSpan w:val="7"/>
            <w:tcBorders>
              <w:top w:val="nil"/>
              <w:left w:val="nil"/>
              <w:bottom w:val="single" w:sz="8" w:space="0" w:color="009649"/>
              <w:right w:val="nil"/>
            </w:tcBorders>
            <w:shd w:val="clear" w:color="auto" w:fill="FFFFFF"/>
          </w:tcPr>
          <w:p w:rsidR="00ED665B" w:rsidRPr="00DC4299" w:rsidRDefault="006C7D2F" w:rsidP="00DC2656">
            <w:pPr>
              <w:ind w:right="58"/>
              <w:rPr>
                <w:rFonts w:ascii="Calibri" w:hAnsi="Calibri" w:cs="Calibri"/>
                <w:b/>
                <w:bCs/>
              </w:rPr>
            </w:pPr>
            <w:r>
              <w:rPr>
                <w:rFonts w:ascii="Calibri" w:hAnsi="Calibri"/>
                <w:b/>
                <w:color w:val="636466"/>
                <w:sz w:val="24"/>
              </w:rPr>
              <w:t>Таблиця 2.1.5. PICO 1.3: Яка діагностична точність Xpert Ultra щодо виявлення резистентності до рифампіцину у дорослих з легеневим ТБ у порівнянні з МРС?</w:t>
            </w:r>
          </w:p>
        </w:tc>
      </w:tr>
      <w:tr w:rsidR="00ED665B" w:rsidRPr="00DC4299" w:rsidTr="00DC4299">
        <w:trPr>
          <w:trHeight w:hRule="exact" w:val="658"/>
        </w:trPr>
        <w:tc>
          <w:tcPr>
            <w:tcW w:w="2347"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ind w:left="72"/>
              <w:rPr>
                <w:rFonts w:ascii="Calibri" w:hAnsi="Calibri" w:cs="Calibri"/>
                <w:b/>
                <w:bCs/>
              </w:rPr>
            </w:pPr>
            <w:r>
              <w:rPr>
                <w:rFonts w:ascii="Calibri" w:hAnsi="Calibri"/>
                <w:b/>
                <w:color w:val="000000"/>
              </w:rPr>
              <w:t>Популяція пацієнтів</w:t>
            </w:r>
          </w:p>
        </w:tc>
        <w:tc>
          <w:tcPr>
            <w:tcW w:w="167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Точність тесту</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ind w:left="230" w:right="235"/>
              <w:jc w:val="center"/>
              <w:rPr>
                <w:rFonts w:ascii="Calibri" w:hAnsi="Calibri" w:cs="Calibri"/>
                <w:b/>
                <w:bCs/>
              </w:rPr>
            </w:pPr>
            <w:r>
              <w:rPr>
                <w:rFonts w:ascii="Calibri" w:hAnsi="Calibri"/>
                <w:b/>
                <w:color w:val="000000"/>
              </w:rPr>
              <w:t>Дослідження (осіб)</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ind w:left="106" w:right="101"/>
              <w:jc w:val="center"/>
              <w:rPr>
                <w:rFonts w:ascii="Calibri" w:hAnsi="Calibri" w:cs="Calibri"/>
                <w:b/>
                <w:bCs/>
              </w:rPr>
            </w:pPr>
            <w:r>
              <w:rPr>
                <w:rFonts w:ascii="Calibri" w:hAnsi="Calibri"/>
                <w:b/>
                <w:color w:val="000000"/>
              </w:rPr>
              <w:t>Достовірність даних</w:t>
            </w:r>
          </w:p>
        </w:tc>
        <w:tc>
          <w:tcPr>
            <w:tcW w:w="231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Поширеність 2%</w:t>
            </w:r>
          </w:p>
        </w:tc>
        <w:tc>
          <w:tcPr>
            <w:tcW w:w="222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Поширеність 10%</w:t>
            </w:r>
          </w:p>
        </w:tc>
        <w:tc>
          <w:tcPr>
            <w:tcW w:w="232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C4299" w:rsidRDefault="006C7D2F" w:rsidP="00DC4299">
            <w:pPr>
              <w:jc w:val="center"/>
              <w:rPr>
                <w:rFonts w:ascii="Calibri" w:hAnsi="Calibri" w:cs="Calibri"/>
                <w:b/>
                <w:bCs/>
              </w:rPr>
            </w:pPr>
            <w:r>
              <w:rPr>
                <w:rFonts w:ascii="Calibri" w:hAnsi="Calibri"/>
                <w:b/>
                <w:color w:val="000000"/>
              </w:rPr>
              <w:t>Поширеність 15%</w:t>
            </w:r>
          </w:p>
        </w:tc>
      </w:tr>
      <w:tr w:rsidR="00ED665B" w:rsidRPr="00907702" w:rsidTr="00DC4299">
        <w:trPr>
          <w:trHeight w:hRule="exact" w:val="442"/>
        </w:trPr>
        <w:tc>
          <w:tcPr>
            <w:tcW w:w="2347"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53"/>
              <w:rPr>
                <w:rFonts w:ascii="Calibri" w:hAnsi="Calibri" w:cs="Calibri"/>
                <w:b/>
              </w:rPr>
            </w:pPr>
            <w:r w:rsidRPr="00406A04">
              <w:rPr>
                <w:rFonts w:ascii="Calibri" w:hAnsi="Calibri"/>
                <w:b/>
                <w:color w:val="000000"/>
              </w:rPr>
              <w:t>ЛTБ, Риф-ТБ у дорослих</w:t>
            </w: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Se: 0,94</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5 (240)</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318"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19/ХН: 1</w:t>
            </w:r>
          </w:p>
        </w:tc>
        <w:tc>
          <w:tcPr>
            <w:tcW w:w="2222"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94/ХН: 6</w:t>
            </w:r>
          </w:p>
        </w:tc>
        <w:tc>
          <w:tcPr>
            <w:tcW w:w="2328"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ІП: 141/ХН: 9</w:t>
            </w:r>
          </w:p>
        </w:tc>
      </w:tr>
      <w:tr w:rsidR="00ED665B" w:rsidRPr="00907702" w:rsidTr="00DC4299">
        <w:trPr>
          <w:trHeight w:hRule="exact" w:val="437"/>
        </w:trPr>
        <w:tc>
          <w:tcPr>
            <w:tcW w:w="2347" w:type="dxa"/>
            <w:vMerge/>
            <w:tcBorders>
              <w:top w:val="single" w:sz="8" w:space="0" w:color="009649"/>
              <w:bottom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Sp: 0,99</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5 (690)</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Висока</w:t>
            </w:r>
          </w:p>
        </w:tc>
        <w:tc>
          <w:tcPr>
            <w:tcW w:w="2318"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970 / ХП: 10</w:t>
            </w:r>
          </w:p>
        </w:tc>
        <w:tc>
          <w:tcPr>
            <w:tcW w:w="2222"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891 / ХП: 9</w:t>
            </w:r>
          </w:p>
        </w:tc>
        <w:tc>
          <w:tcPr>
            <w:tcW w:w="2328" w:type="dxa"/>
            <w:tcBorders>
              <w:top w:val="single" w:sz="8" w:space="0" w:color="009649"/>
              <w:left w:val="nil"/>
              <w:bottom w:val="single" w:sz="8" w:space="0" w:color="009649"/>
            </w:tcBorders>
            <w:shd w:val="clear" w:color="auto" w:fill="FFFFFF"/>
            <w:vAlign w:val="center"/>
          </w:tcPr>
          <w:p w:rsidR="00ED665B" w:rsidRPr="00907702" w:rsidRDefault="006C7D2F" w:rsidP="00DC4299">
            <w:pPr>
              <w:jc w:val="center"/>
              <w:rPr>
                <w:rFonts w:ascii="Calibri" w:hAnsi="Calibri" w:cs="Calibri"/>
              </w:rPr>
            </w:pPr>
            <w:r>
              <w:rPr>
                <w:rFonts w:ascii="Calibri" w:hAnsi="Calibri"/>
                <w:color w:val="000000"/>
              </w:rPr>
              <w:t>ІН: 842 / ХП: 8</w:t>
            </w:r>
          </w:p>
        </w:tc>
      </w:tr>
      <w:tr w:rsidR="00ED665B" w:rsidRPr="00907702" w:rsidTr="00DC4299">
        <w:trPr>
          <w:trHeight w:hRule="exact" w:val="490"/>
        </w:trPr>
        <w:tc>
          <w:tcPr>
            <w:tcW w:w="14033" w:type="dxa"/>
            <w:gridSpan w:val="7"/>
            <w:tcBorders>
              <w:top w:val="single" w:sz="8" w:space="0" w:color="009649"/>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Риф-ТБ: рифампіцин-резистентний туберкульоз; Se: чутливість; Sp: специфічність; ТБ: туберкульоз; ІН: істинно негативний; ІП: істинно позитивний.</w:t>
            </w:r>
          </w:p>
        </w:tc>
      </w:tr>
    </w:tbl>
    <w:p w:rsidR="00ED665B" w:rsidRPr="00907702" w:rsidRDefault="00ED665B" w:rsidP="00DC2656">
      <w:pPr>
        <w:rPr>
          <w:rFonts w:ascii="Calibri" w:hAnsi="Calibri" w:cs="Calibri"/>
        </w:rPr>
        <w:sectPr w:rsidR="00ED665B" w:rsidRPr="00907702" w:rsidSect="00DC4299">
          <w:pgSz w:w="16838" w:h="11904" w:orient="landscape"/>
          <w:pgMar w:top="1397" w:right="1406" w:bottom="1135"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347"/>
        <w:gridCol w:w="1670"/>
        <w:gridCol w:w="1574"/>
        <w:gridCol w:w="1579"/>
        <w:gridCol w:w="2318"/>
        <w:gridCol w:w="2227"/>
        <w:gridCol w:w="2328"/>
      </w:tblGrid>
      <w:tr w:rsidR="00ED665B" w:rsidRPr="00DC4299" w:rsidTr="00DC4299">
        <w:trPr>
          <w:trHeight w:hRule="exact" w:val="754"/>
        </w:trPr>
        <w:tc>
          <w:tcPr>
            <w:tcW w:w="14043" w:type="dxa"/>
            <w:gridSpan w:val="7"/>
            <w:tcBorders>
              <w:top w:val="nil"/>
              <w:left w:val="nil"/>
              <w:bottom w:val="single" w:sz="8" w:space="0" w:color="009649"/>
              <w:right w:val="nil"/>
            </w:tcBorders>
            <w:shd w:val="clear" w:color="auto" w:fill="FFFFFF"/>
          </w:tcPr>
          <w:p w:rsidR="00ED665B" w:rsidRPr="00DC4299" w:rsidRDefault="006C7D2F" w:rsidP="006A232C">
            <w:pPr>
              <w:ind w:right="331"/>
              <w:jc w:val="both"/>
              <w:rPr>
                <w:rFonts w:ascii="Calibri" w:hAnsi="Calibri" w:cs="Calibri"/>
                <w:b/>
                <w:bCs/>
              </w:rPr>
            </w:pPr>
            <w:r>
              <w:rPr>
                <w:rFonts w:ascii="Calibri" w:hAnsi="Calibri"/>
                <w:b/>
                <w:color w:val="636466"/>
                <w:sz w:val="24"/>
              </w:rPr>
              <w:lastRenderedPageBreak/>
              <w:t>Таблиця 2.1.6. PICO 2.1: Яка діагностична точність Xpert MTB/RIF щодо виявлення легеневого ТБ у дітей порівняно з МРС та СРС?</w:t>
            </w:r>
          </w:p>
        </w:tc>
      </w:tr>
      <w:tr w:rsidR="00ED665B" w:rsidRPr="005E185E" w:rsidTr="00DC4299">
        <w:trPr>
          <w:trHeight w:hRule="exact" w:val="653"/>
        </w:trPr>
        <w:tc>
          <w:tcPr>
            <w:tcW w:w="2347" w:type="dxa"/>
            <w:tcBorders>
              <w:top w:val="single" w:sz="8" w:space="0" w:color="009649"/>
              <w:bottom w:val="single" w:sz="8" w:space="0" w:color="009649"/>
              <w:right w:val="single" w:sz="8" w:space="0" w:color="009649"/>
            </w:tcBorders>
            <w:shd w:val="clear" w:color="auto" w:fill="27A86A"/>
            <w:vAlign w:val="center"/>
          </w:tcPr>
          <w:p w:rsidR="00ED665B" w:rsidRPr="005E185E" w:rsidRDefault="006C7D2F" w:rsidP="00DC4299">
            <w:pPr>
              <w:ind w:left="72"/>
              <w:rPr>
                <w:rFonts w:ascii="Calibri" w:hAnsi="Calibri" w:cs="Calibri"/>
                <w:b/>
                <w:bCs/>
              </w:rPr>
            </w:pPr>
            <w:r>
              <w:rPr>
                <w:rFonts w:ascii="Calibri" w:hAnsi="Calibri"/>
                <w:b/>
                <w:color w:val="000000"/>
              </w:rPr>
              <w:t>Популяція пацієнтів</w:t>
            </w:r>
          </w:p>
        </w:tc>
        <w:tc>
          <w:tcPr>
            <w:tcW w:w="167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DC4299">
            <w:pPr>
              <w:ind w:left="72"/>
              <w:jc w:val="center"/>
              <w:rPr>
                <w:rFonts w:ascii="Calibri" w:hAnsi="Calibri" w:cs="Calibri"/>
                <w:b/>
                <w:bCs/>
              </w:rPr>
            </w:pPr>
            <w:r>
              <w:rPr>
                <w:rFonts w:ascii="Calibri" w:hAnsi="Calibri"/>
                <w:b/>
                <w:color w:val="000000"/>
              </w:rPr>
              <w:t>Точність тесту</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DC4299">
            <w:pPr>
              <w:ind w:left="72"/>
              <w:jc w:val="center"/>
              <w:rPr>
                <w:rFonts w:ascii="Calibri" w:hAnsi="Calibri" w:cs="Calibri"/>
                <w:b/>
                <w:bCs/>
              </w:rPr>
            </w:pPr>
            <w:r>
              <w:rPr>
                <w:rFonts w:ascii="Calibri" w:hAnsi="Calibri"/>
                <w:b/>
                <w:color w:val="000000"/>
              </w:rPr>
              <w:t>Дослідження (осіб)</w:t>
            </w:r>
          </w:p>
        </w:tc>
        <w:tc>
          <w:tcPr>
            <w:tcW w:w="1579"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DC4299">
            <w:pPr>
              <w:ind w:left="72"/>
              <w:jc w:val="center"/>
              <w:rPr>
                <w:rFonts w:ascii="Calibri" w:hAnsi="Calibri" w:cs="Calibri"/>
                <w:b/>
                <w:bCs/>
              </w:rPr>
            </w:pPr>
            <w:r>
              <w:rPr>
                <w:rFonts w:ascii="Calibri" w:hAnsi="Calibri"/>
                <w:b/>
                <w:color w:val="000000"/>
              </w:rPr>
              <w:t>Достовірність даних</w:t>
            </w:r>
          </w:p>
        </w:tc>
        <w:tc>
          <w:tcPr>
            <w:tcW w:w="231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DC4299">
            <w:pPr>
              <w:ind w:left="72"/>
              <w:jc w:val="center"/>
              <w:rPr>
                <w:rFonts w:ascii="Calibri" w:hAnsi="Calibri" w:cs="Calibri"/>
                <w:b/>
                <w:bCs/>
              </w:rPr>
            </w:pPr>
            <w:r>
              <w:rPr>
                <w:rFonts w:ascii="Calibri" w:hAnsi="Calibri"/>
                <w:b/>
                <w:color w:val="000000"/>
              </w:rPr>
              <w:t>Поширеність 1%</w:t>
            </w:r>
          </w:p>
        </w:tc>
        <w:tc>
          <w:tcPr>
            <w:tcW w:w="2227"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DC4299">
            <w:pPr>
              <w:ind w:left="72"/>
              <w:jc w:val="center"/>
              <w:rPr>
                <w:rFonts w:ascii="Calibri" w:hAnsi="Calibri" w:cs="Calibri"/>
                <w:b/>
                <w:bCs/>
              </w:rPr>
            </w:pPr>
            <w:r>
              <w:rPr>
                <w:rFonts w:ascii="Calibri" w:hAnsi="Calibri"/>
                <w:b/>
                <w:color w:val="000000"/>
              </w:rPr>
              <w:t>Поширеність 10%</w:t>
            </w:r>
          </w:p>
        </w:tc>
        <w:tc>
          <w:tcPr>
            <w:tcW w:w="2328" w:type="dxa"/>
            <w:tcBorders>
              <w:top w:val="single" w:sz="8" w:space="0" w:color="009649"/>
              <w:left w:val="single" w:sz="8" w:space="0" w:color="009649"/>
              <w:bottom w:val="single" w:sz="8" w:space="0" w:color="009649"/>
            </w:tcBorders>
            <w:shd w:val="clear" w:color="auto" w:fill="27A86A"/>
            <w:vAlign w:val="center"/>
          </w:tcPr>
          <w:p w:rsidR="00ED665B" w:rsidRPr="005E185E" w:rsidRDefault="006C7D2F" w:rsidP="00DC4299">
            <w:pPr>
              <w:ind w:left="72"/>
              <w:jc w:val="center"/>
              <w:rPr>
                <w:rFonts w:ascii="Calibri" w:hAnsi="Calibri" w:cs="Calibri"/>
                <w:b/>
                <w:bCs/>
              </w:rPr>
            </w:pPr>
            <w:r>
              <w:rPr>
                <w:rFonts w:ascii="Calibri" w:hAnsi="Calibri"/>
                <w:b/>
                <w:color w:val="000000"/>
              </w:rPr>
              <w:t>Поширеність 20%</w:t>
            </w:r>
          </w:p>
        </w:tc>
      </w:tr>
      <w:tr w:rsidR="00ED665B" w:rsidRPr="00907702" w:rsidTr="00DC4299">
        <w:trPr>
          <w:trHeight w:hRule="exact" w:val="446"/>
        </w:trPr>
        <w:tc>
          <w:tcPr>
            <w:tcW w:w="2347"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72"/>
              <w:rPr>
                <w:rFonts w:ascii="Calibri" w:hAnsi="Calibri" w:cs="Calibri"/>
                <w:b/>
              </w:rPr>
            </w:pPr>
            <w:r w:rsidRPr="00406A04">
              <w:rPr>
                <w:rFonts w:ascii="Calibri" w:hAnsi="Calibri"/>
                <w:b/>
                <w:color w:val="000000"/>
              </w:rPr>
              <w:t>Мокротиння дітей, МРС</w:t>
            </w: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Se: 0,65</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23 (493)</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6/ХН: 4</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65/ХН: 35</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129/ХН: 71</w:t>
            </w:r>
          </w:p>
        </w:tc>
      </w:tr>
      <w:tr w:rsidR="00ED665B" w:rsidRPr="00907702" w:rsidTr="00DC4299">
        <w:trPr>
          <w:trHeight w:hRule="exact" w:val="437"/>
        </w:trPr>
        <w:tc>
          <w:tcPr>
            <w:tcW w:w="2347" w:type="dxa"/>
            <w:vMerge/>
            <w:tcBorders>
              <w:top w:val="single" w:sz="8" w:space="0" w:color="009649"/>
              <w:bottom w:val="single" w:sz="8" w:space="0" w:color="009649"/>
            </w:tcBorders>
            <w:shd w:val="clear" w:color="auto" w:fill="FFFFFF"/>
            <w:vAlign w:val="center"/>
          </w:tcPr>
          <w:p w:rsidR="00ED665B" w:rsidRPr="00406A04" w:rsidRDefault="00ED665B" w:rsidP="00DC4299">
            <w:pPr>
              <w:ind w:left="72"/>
              <w:rPr>
                <w:rFonts w:ascii="Calibri" w:hAnsi="Calibri" w:cs="Calibri"/>
                <w:b/>
              </w:rPr>
            </w:pPr>
          </w:p>
          <w:p w:rsidR="00ED665B" w:rsidRPr="00406A04"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Sp: 0,99</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23 (6119)</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980 / ХП: 10</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891 / ХП: 9</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792 / ХП: 8</w:t>
            </w:r>
          </w:p>
        </w:tc>
      </w:tr>
      <w:tr w:rsidR="00ED665B" w:rsidRPr="00907702" w:rsidTr="00DC4299">
        <w:trPr>
          <w:trHeight w:hRule="exact" w:val="437"/>
        </w:trPr>
        <w:tc>
          <w:tcPr>
            <w:tcW w:w="2347"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72"/>
              <w:rPr>
                <w:rFonts w:ascii="Calibri" w:hAnsi="Calibri" w:cs="Calibri"/>
                <w:b/>
              </w:rPr>
            </w:pPr>
            <w:r w:rsidRPr="00406A04">
              <w:rPr>
                <w:rFonts w:ascii="Calibri" w:hAnsi="Calibri"/>
                <w:b/>
                <w:color w:val="000000"/>
              </w:rPr>
              <w:t>Мокротиння у дітей, СРС</w:t>
            </w: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Se: 0,20</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16 (1541)</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Низькі</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2 / ХН:8</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20/ХН: 80</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40/ХН: 160</w:t>
            </w:r>
          </w:p>
        </w:tc>
      </w:tr>
      <w:tr w:rsidR="00ED665B" w:rsidRPr="00907702" w:rsidTr="00DC4299">
        <w:trPr>
          <w:trHeight w:hRule="exact" w:val="437"/>
        </w:trPr>
        <w:tc>
          <w:tcPr>
            <w:tcW w:w="2347" w:type="dxa"/>
            <w:vMerge/>
            <w:tcBorders>
              <w:top w:val="single" w:sz="8" w:space="0" w:color="009649"/>
              <w:bottom w:val="single" w:sz="8" w:space="0" w:color="009649"/>
            </w:tcBorders>
            <w:shd w:val="clear" w:color="auto" w:fill="FFFFFF"/>
            <w:vAlign w:val="center"/>
          </w:tcPr>
          <w:p w:rsidR="00ED665B" w:rsidRPr="00406A04" w:rsidRDefault="00ED665B" w:rsidP="00DC4299">
            <w:pPr>
              <w:ind w:left="72"/>
              <w:rPr>
                <w:rFonts w:ascii="Calibri" w:hAnsi="Calibri" w:cs="Calibri"/>
                <w:b/>
              </w:rPr>
            </w:pPr>
          </w:p>
          <w:p w:rsidR="00ED665B" w:rsidRPr="00406A04"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Sp: 1,00</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16 (2838)</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990 / ХП: 0</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900 / ХП: 0</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800 / ХП: 0</w:t>
            </w:r>
          </w:p>
        </w:tc>
      </w:tr>
      <w:tr w:rsidR="00ED665B" w:rsidRPr="00907702" w:rsidTr="00DC4299">
        <w:trPr>
          <w:trHeight w:hRule="exact" w:val="437"/>
        </w:trPr>
        <w:tc>
          <w:tcPr>
            <w:tcW w:w="2347"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72"/>
              <w:rPr>
                <w:rFonts w:ascii="Calibri" w:hAnsi="Calibri" w:cs="Calibri"/>
                <w:b/>
              </w:rPr>
            </w:pPr>
            <w:r w:rsidRPr="00406A04">
              <w:rPr>
                <w:rFonts w:ascii="Calibri" w:hAnsi="Calibri"/>
                <w:b/>
                <w:color w:val="000000"/>
              </w:rPr>
              <w:t>SS–, мокротиння, МРС у дітей</w:t>
            </w: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Se: 0,59</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12 (184)</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Низькі</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6/ХН: 4</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59/ХН: 41</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118/ХН: 82</w:t>
            </w:r>
          </w:p>
        </w:tc>
      </w:tr>
      <w:tr w:rsidR="00ED665B" w:rsidRPr="00907702" w:rsidTr="00DC4299">
        <w:trPr>
          <w:trHeight w:hRule="exact" w:val="437"/>
        </w:trPr>
        <w:tc>
          <w:tcPr>
            <w:tcW w:w="2347" w:type="dxa"/>
            <w:vMerge/>
            <w:tcBorders>
              <w:top w:val="single" w:sz="8" w:space="0" w:color="009649"/>
              <w:bottom w:val="single" w:sz="8" w:space="0" w:color="009649"/>
            </w:tcBorders>
            <w:shd w:val="clear" w:color="auto" w:fill="FFFFFF"/>
            <w:vAlign w:val="center"/>
          </w:tcPr>
          <w:p w:rsidR="00ED665B" w:rsidRPr="00406A04" w:rsidRDefault="00ED665B" w:rsidP="00DC4299">
            <w:pPr>
              <w:ind w:left="72"/>
              <w:rPr>
                <w:rFonts w:ascii="Calibri" w:hAnsi="Calibri" w:cs="Calibri"/>
                <w:b/>
              </w:rPr>
            </w:pPr>
          </w:p>
          <w:p w:rsidR="00ED665B" w:rsidRPr="00406A04"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Sp: 0,99</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12 (2934)</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980 / ХП: 10</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891 / ХП: 9</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792 / ХП: 8</w:t>
            </w:r>
          </w:p>
        </w:tc>
      </w:tr>
      <w:tr w:rsidR="00ED665B" w:rsidRPr="00907702" w:rsidTr="00DC4299">
        <w:trPr>
          <w:trHeight w:hRule="exact" w:val="437"/>
        </w:trPr>
        <w:tc>
          <w:tcPr>
            <w:tcW w:w="2347"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72"/>
              <w:rPr>
                <w:rFonts w:ascii="Calibri" w:hAnsi="Calibri" w:cs="Calibri"/>
                <w:b/>
              </w:rPr>
            </w:pPr>
            <w:r w:rsidRPr="00406A04">
              <w:rPr>
                <w:rFonts w:ascii="Calibri" w:hAnsi="Calibri"/>
                <w:b/>
                <w:color w:val="000000"/>
              </w:rPr>
              <w:t>ВІЛ+, мокротиння, МРС у дітей</w:t>
            </w: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Se: 0,72</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10 (88)</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Низькі</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7/ХН: 3</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72/ХН: 28</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144/ХН: 56</w:t>
            </w:r>
          </w:p>
        </w:tc>
      </w:tr>
      <w:tr w:rsidR="00ED665B" w:rsidRPr="00907702" w:rsidTr="00DC4299">
        <w:trPr>
          <w:trHeight w:hRule="exact" w:val="437"/>
        </w:trPr>
        <w:tc>
          <w:tcPr>
            <w:tcW w:w="2347" w:type="dxa"/>
            <w:vMerge/>
            <w:tcBorders>
              <w:top w:val="single" w:sz="8" w:space="0" w:color="009649"/>
              <w:bottom w:val="single" w:sz="8" w:space="0" w:color="009649"/>
            </w:tcBorders>
            <w:shd w:val="clear" w:color="auto" w:fill="FFFFFF"/>
            <w:vAlign w:val="center"/>
          </w:tcPr>
          <w:p w:rsidR="00ED665B" w:rsidRPr="00406A04" w:rsidRDefault="00ED665B" w:rsidP="00DC4299">
            <w:pPr>
              <w:ind w:left="72"/>
              <w:rPr>
                <w:rFonts w:ascii="Calibri" w:hAnsi="Calibri" w:cs="Calibri"/>
                <w:b/>
              </w:rPr>
            </w:pPr>
          </w:p>
          <w:p w:rsidR="00ED665B" w:rsidRPr="00406A04"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Sp: 0,99</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10 (554)</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980 / ХП: 10</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891 / ХП: 9</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792 / ХП: 8</w:t>
            </w:r>
          </w:p>
        </w:tc>
      </w:tr>
      <w:tr w:rsidR="00ED665B" w:rsidRPr="00907702" w:rsidTr="00DC4299">
        <w:trPr>
          <w:trHeight w:hRule="exact" w:val="437"/>
        </w:trPr>
        <w:tc>
          <w:tcPr>
            <w:tcW w:w="2347" w:type="dxa"/>
            <w:tcBorders>
              <w:top w:val="single" w:sz="8" w:space="0" w:color="009649"/>
            </w:tcBorders>
            <w:shd w:val="clear" w:color="auto" w:fill="FFFFFF"/>
            <w:vAlign w:val="center"/>
          </w:tcPr>
          <w:p w:rsidR="00ED665B" w:rsidRPr="00406A04" w:rsidRDefault="006C7D2F" w:rsidP="00DC4299">
            <w:pPr>
              <w:ind w:left="72"/>
              <w:rPr>
                <w:rFonts w:ascii="Calibri" w:hAnsi="Calibri" w:cs="Calibri"/>
                <w:b/>
              </w:rPr>
            </w:pPr>
            <w:r w:rsidRPr="00406A04">
              <w:rPr>
                <w:rFonts w:ascii="Calibri" w:hAnsi="Calibri"/>
                <w:b/>
                <w:color w:val="000000"/>
              </w:rPr>
              <w:t>ША дітей, МРС</w:t>
            </w: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Se: 0,73</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14 (272)</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Дуже низька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7/ХН: 3</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73 / ХН:27</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146/ХН: 54</w:t>
            </w:r>
          </w:p>
        </w:tc>
      </w:tr>
      <w:tr w:rsidR="00ED665B" w:rsidRPr="00907702" w:rsidTr="00DC4299">
        <w:trPr>
          <w:trHeight w:hRule="exact" w:val="437"/>
        </w:trPr>
        <w:tc>
          <w:tcPr>
            <w:tcW w:w="2347" w:type="dxa"/>
            <w:tcBorders>
              <w:bottom w:val="single" w:sz="8" w:space="0" w:color="009649"/>
            </w:tcBorders>
            <w:shd w:val="clear" w:color="auto" w:fill="FFFFFF"/>
            <w:vAlign w:val="center"/>
          </w:tcPr>
          <w:p w:rsidR="00ED665B" w:rsidRPr="00406A04"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Sp: 0,98</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14 (3311)</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Низькі</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971 / ХП: 19</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883 / ХП: 17</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785 / ХП: 15</w:t>
            </w:r>
          </w:p>
        </w:tc>
      </w:tr>
      <w:tr w:rsidR="00ED665B" w:rsidRPr="00907702" w:rsidTr="00DC4299">
        <w:trPr>
          <w:trHeight w:hRule="exact" w:val="437"/>
        </w:trPr>
        <w:tc>
          <w:tcPr>
            <w:tcW w:w="2347" w:type="dxa"/>
            <w:tcBorders>
              <w:top w:val="single" w:sz="8" w:space="0" w:color="009649"/>
            </w:tcBorders>
            <w:shd w:val="clear" w:color="auto" w:fill="FFFFFF"/>
            <w:vAlign w:val="center"/>
          </w:tcPr>
          <w:p w:rsidR="00ED665B" w:rsidRPr="00406A04" w:rsidRDefault="006C7D2F" w:rsidP="00DC4299">
            <w:pPr>
              <w:ind w:left="72"/>
              <w:rPr>
                <w:rFonts w:ascii="Calibri" w:hAnsi="Calibri" w:cs="Calibri"/>
                <w:b/>
              </w:rPr>
            </w:pPr>
            <w:r w:rsidRPr="00406A04">
              <w:rPr>
                <w:rFonts w:ascii="Calibri" w:hAnsi="Calibri"/>
                <w:b/>
                <w:color w:val="000000"/>
              </w:rPr>
              <w:t>ША дітей, СРС</w:t>
            </w: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Se: 0,32</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6 (461)</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Дуже низька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3/ХН: 7</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32/ХН: 68</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64/ХН: 136</w:t>
            </w:r>
          </w:p>
        </w:tc>
      </w:tr>
      <w:tr w:rsidR="00ED665B" w:rsidRPr="00907702" w:rsidTr="00DC4299">
        <w:trPr>
          <w:trHeight w:hRule="exact" w:val="437"/>
        </w:trPr>
        <w:tc>
          <w:tcPr>
            <w:tcW w:w="2347" w:type="dxa"/>
            <w:tcBorders>
              <w:bottom w:val="single" w:sz="8" w:space="0" w:color="009649"/>
            </w:tcBorders>
            <w:shd w:val="clear" w:color="auto" w:fill="FFFFFF"/>
            <w:vAlign w:val="center"/>
          </w:tcPr>
          <w:p w:rsidR="00ED665B" w:rsidRPr="00406A04"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Sp: 0,99</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6 (472)</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980 / ХП: 10</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891 / ХП: 9</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792 / ХП: 8</w:t>
            </w:r>
          </w:p>
        </w:tc>
      </w:tr>
      <w:tr w:rsidR="00ED665B" w:rsidRPr="00907702" w:rsidTr="00DC4299">
        <w:trPr>
          <w:trHeight w:hRule="exact" w:val="437"/>
        </w:trPr>
        <w:tc>
          <w:tcPr>
            <w:tcW w:w="2347" w:type="dxa"/>
            <w:vMerge w:val="restart"/>
            <w:tcBorders>
              <w:top w:val="single" w:sz="8" w:space="0" w:color="009649"/>
              <w:bottom w:val="single" w:sz="8" w:space="0" w:color="009649"/>
            </w:tcBorders>
            <w:shd w:val="clear" w:color="auto" w:fill="FFFFFF"/>
            <w:vAlign w:val="center"/>
          </w:tcPr>
          <w:p w:rsidR="00ED665B" w:rsidRPr="00406A04" w:rsidRDefault="006C7D2F" w:rsidP="00DC4299">
            <w:pPr>
              <w:ind w:left="72"/>
              <w:rPr>
                <w:rFonts w:ascii="Calibri" w:hAnsi="Calibri" w:cs="Calibri"/>
                <w:b/>
              </w:rPr>
            </w:pPr>
            <w:r w:rsidRPr="00406A04">
              <w:rPr>
                <w:rFonts w:ascii="Calibri" w:hAnsi="Calibri"/>
                <w:b/>
                <w:color w:val="000000"/>
              </w:rPr>
              <w:t>ВІЛ+, ША, МРС у дітей</w:t>
            </w: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Se: 0,73</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3 (50)</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Низькі</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7/ХН: 3</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73/ХН: 27</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146/ХН: 54</w:t>
            </w:r>
          </w:p>
        </w:tc>
      </w:tr>
      <w:tr w:rsidR="00ED665B" w:rsidRPr="00907702" w:rsidTr="00DC4299">
        <w:trPr>
          <w:trHeight w:hRule="exact" w:val="437"/>
        </w:trPr>
        <w:tc>
          <w:tcPr>
            <w:tcW w:w="2347" w:type="dxa"/>
            <w:vMerge/>
            <w:tcBorders>
              <w:top w:val="single" w:sz="8" w:space="0" w:color="009649"/>
              <w:bottom w:val="single" w:sz="8" w:space="0" w:color="009649"/>
            </w:tcBorders>
            <w:shd w:val="clear" w:color="auto" w:fill="FFFFFF"/>
            <w:vAlign w:val="center"/>
          </w:tcPr>
          <w:p w:rsidR="00ED665B" w:rsidRPr="00406A04" w:rsidRDefault="00ED665B" w:rsidP="00DC4299">
            <w:pPr>
              <w:ind w:left="72"/>
              <w:rPr>
                <w:rFonts w:ascii="Calibri" w:hAnsi="Calibri" w:cs="Calibri"/>
                <w:b/>
              </w:rPr>
            </w:pPr>
          </w:p>
          <w:p w:rsidR="00ED665B" w:rsidRPr="00406A04"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Sp: 0,99</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3 (584)</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980 / ХП: 10</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891 / ХП: 9</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792 / ХП: 8</w:t>
            </w:r>
          </w:p>
        </w:tc>
      </w:tr>
      <w:tr w:rsidR="00ED665B" w:rsidRPr="00907702" w:rsidTr="00DC4299">
        <w:trPr>
          <w:trHeight w:hRule="exact" w:val="437"/>
        </w:trPr>
        <w:tc>
          <w:tcPr>
            <w:tcW w:w="2347" w:type="dxa"/>
            <w:tcBorders>
              <w:top w:val="single" w:sz="8" w:space="0" w:color="009649"/>
            </w:tcBorders>
            <w:shd w:val="clear" w:color="auto" w:fill="FFFFFF"/>
            <w:vAlign w:val="center"/>
          </w:tcPr>
          <w:p w:rsidR="00ED665B" w:rsidRPr="00406A04" w:rsidRDefault="006C7D2F" w:rsidP="00DC4299">
            <w:pPr>
              <w:ind w:left="72"/>
              <w:rPr>
                <w:rFonts w:ascii="Calibri" w:hAnsi="Calibri" w:cs="Calibri"/>
                <w:b/>
              </w:rPr>
            </w:pPr>
            <w:r w:rsidRPr="00406A04">
              <w:rPr>
                <w:rFonts w:ascii="Calibri" w:hAnsi="Calibri"/>
                <w:b/>
                <w:color w:val="000000"/>
              </w:rPr>
              <w:t>НФА дітей, МРС</w:t>
            </w: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Se: 0,46</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4 (144)</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5/ХН: 5</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46/ХН: 54</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ІП: 92/ХН: 108</w:t>
            </w:r>
          </w:p>
        </w:tc>
      </w:tr>
      <w:tr w:rsidR="00ED665B" w:rsidRPr="00907702" w:rsidTr="00DC4299">
        <w:trPr>
          <w:trHeight w:hRule="exact" w:val="451"/>
        </w:trPr>
        <w:tc>
          <w:tcPr>
            <w:tcW w:w="2347" w:type="dxa"/>
            <w:tcBorders>
              <w:bottom w:val="single" w:sz="8" w:space="0" w:color="009649"/>
            </w:tcBorders>
            <w:shd w:val="clear" w:color="auto" w:fill="FFFFFF"/>
            <w:vAlign w:val="center"/>
          </w:tcPr>
          <w:p w:rsidR="00ED665B" w:rsidRPr="00406A04" w:rsidRDefault="00ED665B" w:rsidP="00DC4299">
            <w:pPr>
              <w:ind w:left="72"/>
              <w:rPr>
                <w:rFonts w:ascii="Calibri" w:hAnsi="Calibri" w:cs="Calibri"/>
                <w:b/>
              </w:rPr>
            </w:pPr>
          </w:p>
        </w:tc>
        <w:tc>
          <w:tcPr>
            <w:tcW w:w="1670"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Sp: 1,00</w:t>
            </w:r>
          </w:p>
        </w:tc>
        <w:tc>
          <w:tcPr>
            <w:tcW w:w="1574"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4 (981)</w:t>
            </w:r>
          </w:p>
        </w:tc>
        <w:tc>
          <w:tcPr>
            <w:tcW w:w="1579"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Висока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990 / ХП: 0</w:t>
            </w:r>
          </w:p>
        </w:tc>
        <w:tc>
          <w:tcPr>
            <w:tcW w:w="2227" w:type="dxa"/>
            <w:tcBorders>
              <w:top w:val="single" w:sz="8" w:space="0" w:color="009649"/>
              <w:left w:val="nil"/>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900 / ХП: 0</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DC4299">
            <w:pPr>
              <w:ind w:left="72"/>
              <w:jc w:val="center"/>
              <w:rPr>
                <w:rFonts w:ascii="Calibri" w:hAnsi="Calibri" w:cs="Calibri"/>
              </w:rPr>
            </w:pPr>
            <w:r>
              <w:rPr>
                <w:rFonts w:ascii="Calibri" w:hAnsi="Calibri"/>
                <w:color w:val="000000"/>
              </w:rPr>
              <w:t>ІН: 800 / ХП: 0</w:t>
            </w:r>
          </w:p>
        </w:tc>
      </w:tr>
    </w:tbl>
    <w:p w:rsidR="00ED665B" w:rsidRPr="00907702" w:rsidRDefault="00ED665B" w:rsidP="00DC2656">
      <w:pPr>
        <w:rPr>
          <w:rFonts w:ascii="Calibri" w:hAnsi="Calibri" w:cs="Calibri"/>
        </w:rPr>
        <w:sectPr w:rsidR="00ED665B" w:rsidRPr="00907702" w:rsidSect="00DC4299">
          <w:pgSz w:w="16838" w:h="11904" w:orient="landscape"/>
          <w:pgMar w:top="1397" w:right="1406" w:bottom="993"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347"/>
        <w:gridCol w:w="1670"/>
        <w:gridCol w:w="1574"/>
        <w:gridCol w:w="1579"/>
        <w:gridCol w:w="2318"/>
        <w:gridCol w:w="2227"/>
        <w:gridCol w:w="2328"/>
      </w:tblGrid>
      <w:tr w:rsidR="00ED665B" w:rsidRPr="005E185E" w:rsidTr="005E185E">
        <w:trPr>
          <w:trHeight w:hRule="exact" w:val="658"/>
        </w:trPr>
        <w:tc>
          <w:tcPr>
            <w:tcW w:w="2347" w:type="dxa"/>
            <w:tcBorders>
              <w:top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left="72"/>
              <w:rPr>
                <w:rFonts w:ascii="Calibri" w:hAnsi="Calibri" w:cs="Calibri"/>
                <w:b/>
                <w:bCs/>
              </w:rPr>
            </w:pPr>
            <w:r>
              <w:rPr>
                <w:rFonts w:ascii="Calibri" w:hAnsi="Calibri"/>
                <w:b/>
                <w:color w:val="000000"/>
              </w:rPr>
              <w:lastRenderedPageBreak/>
              <w:t>Популяція пацієнтів</w:t>
            </w:r>
          </w:p>
        </w:tc>
        <w:tc>
          <w:tcPr>
            <w:tcW w:w="167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jc w:val="center"/>
              <w:rPr>
                <w:rFonts w:ascii="Calibri" w:hAnsi="Calibri" w:cs="Calibri"/>
                <w:b/>
                <w:bCs/>
              </w:rPr>
            </w:pPr>
            <w:r>
              <w:rPr>
                <w:rFonts w:ascii="Calibri" w:hAnsi="Calibri"/>
                <w:b/>
                <w:color w:val="000000"/>
              </w:rPr>
              <w:t>Точність тесту</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left="235" w:right="230"/>
              <w:jc w:val="center"/>
              <w:rPr>
                <w:rFonts w:ascii="Calibri" w:hAnsi="Calibri" w:cs="Calibri"/>
                <w:b/>
                <w:bCs/>
              </w:rPr>
            </w:pPr>
            <w:r>
              <w:rPr>
                <w:rFonts w:ascii="Calibri" w:hAnsi="Calibri"/>
                <w:b/>
                <w:color w:val="000000"/>
              </w:rPr>
              <w:t>Дослідження (осіб)</w:t>
            </w:r>
          </w:p>
        </w:tc>
        <w:tc>
          <w:tcPr>
            <w:tcW w:w="1579"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left="110" w:right="101"/>
              <w:jc w:val="center"/>
              <w:rPr>
                <w:rFonts w:ascii="Calibri" w:hAnsi="Calibri" w:cs="Calibri"/>
                <w:b/>
                <w:bCs/>
              </w:rPr>
            </w:pPr>
            <w:r>
              <w:rPr>
                <w:rFonts w:ascii="Calibri" w:hAnsi="Calibri"/>
                <w:b/>
                <w:color w:val="000000"/>
              </w:rPr>
              <w:t>Достовірність даних</w:t>
            </w:r>
          </w:p>
        </w:tc>
        <w:tc>
          <w:tcPr>
            <w:tcW w:w="231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jc w:val="center"/>
              <w:rPr>
                <w:rFonts w:ascii="Calibri" w:hAnsi="Calibri" w:cs="Calibri"/>
                <w:b/>
                <w:bCs/>
              </w:rPr>
            </w:pPr>
            <w:r>
              <w:rPr>
                <w:rFonts w:ascii="Calibri" w:hAnsi="Calibri"/>
                <w:b/>
                <w:color w:val="000000"/>
              </w:rPr>
              <w:t>Поширеність 1%</w:t>
            </w:r>
          </w:p>
        </w:tc>
        <w:tc>
          <w:tcPr>
            <w:tcW w:w="2227"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jc w:val="center"/>
              <w:rPr>
                <w:rFonts w:ascii="Calibri" w:hAnsi="Calibri" w:cs="Calibri"/>
                <w:b/>
                <w:bCs/>
              </w:rPr>
            </w:pPr>
            <w:r>
              <w:rPr>
                <w:rFonts w:ascii="Calibri" w:hAnsi="Calibri"/>
                <w:b/>
                <w:color w:val="000000"/>
              </w:rPr>
              <w:t>Поширеність 10%</w:t>
            </w:r>
          </w:p>
        </w:tc>
        <w:tc>
          <w:tcPr>
            <w:tcW w:w="2328" w:type="dxa"/>
            <w:tcBorders>
              <w:top w:val="single" w:sz="8" w:space="0" w:color="009649"/>
              <w:left w:val="single" w:sz="8" w:space="0" w:color="009649"/>
              <w:bottom w:val="single" w:sz="8" w:space="0" w:color="009649"/>
            </w:tcBorders>
            <w:shd w:val="clear" w:color="auto" w:fill="27A86A"/>
            <w:vAlign w:val="center"/>
          </w:tcPr>
          <w:p w:rsidR="00ED665B" w:rsidRPr="005E185E" w:rsidRDefault="006C7D2F" w:rsidP="005E185E">
            <w:pPr>
              <w:jc w:val="center"/>
              <w:rPr>
                <w:rFonts w:ascii="Calibri" w:hAnsi="Calibri" w:cs="Calibri"/>
                <w:b/>
                <w:bCs/>
              </w:rPr>
            </w:pPr>
            <w:r>
              <w:rPr>
                <w:rFonts w:ascii="Calibri" w:hAnsi="Calibri"/>
                <w:b/>
                <w:color w:val="000000"/>
              </w:rPr>
              <w:t>Поширеність 20%</w:t>
            </w:r>
          </w:p>
        </w:tc>
      </w:tr>
      <w:tr w:rsidR="00ED665B" w:rsidRPr="00907702" w:rsidTr="005E185E">
        <w:trPr>
          <w:trHeight w:hRule="exact" w:val="442"/>
        </w:trPr>
        <w:tc>
          <w:tcPr>
            <w:tcW w:w="2347" w:type="dxa"/>
            <w:vMerge w:val="restart"/>
            <w:tcBorders>
              <w:top w:val="single" w:sz="8" w:space="0" w:color="009649"/>
              <w:bottom w:val="single" w:sz="8" w:space="0" w:color="009649"/>
            </w:tcBorders>
            <w:shd w:val="clear" w:color="auto" w:fill="FFFFFF"/>
            <w:vAlign w:val="center"/>
          </w:tcPr>
          <w:p w:rsidR="00ED665B" w:rsidRPr="00406A04" w:rsidRDefault="006C7D2F" w:rsidP="005E185E">
            <w:pPr>
              <w:ind w:left="53"/>
              <w:rPr>
                <w:rFonts w:ascii="Calibri" w:hAnsi="Calibri" w:cs="Calibri"/>
                <w:b/>
              </w:rPr>
            </w:pPr>
            <w:r w:rsidRPr="00406A04">
              <w:rPr>
                <w:rFonts w:ascii="Calibri" w:hAnsi="Calibri"/>
                <w:b/>
                <w:color w:val="000000"/>
              </w:rPr>
              <w:t>Кал дітей, МРС</w:t>
            </w:r>
          </w:p>
        </w:tc>
        <w:tc>
          <w:tcPr>
            <w:tcW w:w="1670"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Se: 0,61</w:t>
            </w:r>
          </w:p>
        </w:tc>
        <w:tc>
          <w:tcPr>
            <w:tcW w:w="1574"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11 (174)</w:t>
            </w:r>
          </w:p>
        </w:tc>
        <w:tc>
          <w:tcPr>
            <w:tcW w:w="1579"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Низькі</w:t>
            </w:r>
          </w:p>
        </w:tc>
        <w:tc>
          <w:tcPr>
            <w:tcW w:w="2318"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6/ХН: 4</w:t>
            </w:r>
          </w:p>
        </w:tc>
        <w:tc>
          <w:tcPr>
            <w:tcW w:w="2227"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62/ХН: 38</w:t>
            </w:r>
          </w:p>
        </w:tc>
        <w:tc>
          <w:tcPr>
            <w:tcW w:w="2328"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123/ХН: 77</w:t>
            </w:r>
          </w:p>
        </w:tc>
      </w:tr>
      <w:tr w:rsidR="00ED665B" w:rsidRPr="00907702" w:rsidTr="005E185E">
        <w:trPr>
          <w:trHeight w:hRule="exact" w:val="437"/>
        </w:trPr>
        <w:tc>
          <w:tcPr>
            <w:tcW w:w="2347" w:type="dxa"/>
            <w:vMerge/>
            <w:tcBorders>
              <w:top w:val="single" w:sz="8" w:space="0" w:color="009649"/>
              <w:bottom w:val="single" w:sz="8" w:space="0" w:color="009649"/>
            </w:tcBorders>
            <w:shd w:val="clear" w:color="auto" w:fill="FFFFFF"/>
            <w:vAlign w:val="center"/>
          </w:tcPr>
          <w:p w:rsidR="00ED665B" w:rsidRPr="00406A04" w:rsidRDefault="00ED665B" w:rsidP="005E185E">
            <w:pPr>
              <w:rPr>
                <w:rFonts w:ascii="Calibri" w:hAnsi="Calibri" w:cs="Calibri"/>
                <w:b/>
              </w:rPr>
            </w:pPr>
          </w:p>
          <w:p w:rsidR="00ED665B" w:rsidRPr="00406A04" w:rsidRDefault="00ED665B" w:rsidP="005E185E">
            <w:pPr>
              <w:rPr>
                <w:rFonts w:ascii="Calibri" w:hAnsi="Calibri" w:cs="Calibri"/>
                <w:b/>
              </w:rPr>
            </w:pPr>
          </w:p>
        </w:tc>
        <w:tc>
          <w:tcPr>
            <w:tcW w:w="1670"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Sp: 0,98</w:t>
            </w:r>
          </w:p>
        </w:tc>
        <w:tc>
          <w:tcPr>
            <w:tcW w:w="1574"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11 (1418)</w:t>
            </w:r>
          </w:p>
        </w:tc>
        <w:tc>
          <w:tcPr>
            <w:tcW w:w="1579"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Помірна</w:t>
            </w:r>
          </w:p>
        </w:tc>
        <w:tc>
          <w:tcPr>
            <w:tcW w:w="2318"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975 / ХП: 15</w:t>
            </w:r>
          </w:p>
        </w:tc>
        <w:tc>
          <w:tcPr>
            <w:tcW w:w="2227"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887 / ХП: 13</w:t>
            </w:r>
          </w:p>
        </w:tc>
        <w:tc>
          <w:tcPr>
            <w:tcW w:w="2328"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788 / ХП: 12</w:t>
            </w:r>
          </w:p>
        </w:tc>
      </w:tr>
      <w:tr w:rsidR="00ED665B" w:rsidRPr="00907702" w:rsidTr="005E185E">
        <w:trPr>
          <w:trHeight w:hRule="exact" w:val="437"/>
        </w:trPr>
        <w:tc>
          <w:tcPr>
            <w:tcW w:w="2347" w:type="dxa"/>
            <w:vMerge w:val="restart"/>
            <w:tcBorders>
              <w:top w:val="single" w:sz="8" w:space="0" w:color="009649"/>
              <w:bottom w:val="single" w:sz="8" w:space="0" w:color="009649"/>
            </w:tcBorders>
            <w:shd w:val="clear" w:color="auto" w:fill="FFFFFF"/>
            <w:vAlign w:val="center"/>
          </w:tcPr>
          <w:p w:rsidR="00ED665B" w:rsidRPr="00406A04" w:rsidRDefault="006C7D2F" w:rsidP="005E185E">
            <w:pPr>
              <w:ind w:left="53"/>
              <w:rPr>
                <w:rFonts w:ascii="Calibri" w:hAnsi="Calibri" w:cs="Calibri"/>
                <w:b/>
              </w:rPr>
            </w:pPr>
            <w:r w:rsidRPr="00406A04">
              <w:rPr>
                <w:rFonts w:ascii="Calibri" w:hAnsi="Calibri"/>
                <w:b/>
                <w:color w:val="000000"/>
              </w:rPr>
              <w:t>Кал дітей, СРС</w:t>
            </w:r>
          </w:p>
        </w:tc>
        <w:tc>
          <w:tcPr>
            <w:tcW w:w="1670"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Se: 0,16</w:t>
            </w:r>
          </w:p>
        </w:tc>
        <w:tc>
          <w:tcPr>
            <w:tcW w:w="1574"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10 (879)</w:t>
            </w:r>
          </w:p>
        </w:tc>
        <w:tc>
          <w:tcPr>
            <w:tcW w:w="1579"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Низькі</w:t>
            </w:r>
          </w:p>
        </w:tc>
        <w:tc>
          <w:tcPr>
            <w:tcW w:w="2318"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2/ХН: 8</w:t>
            </w:r>
          </w:p>
        </w:tc>
        <w:tc>
          <w:tcPr>
            <w:tcW w:w="2227"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16/ХН: 84</w:t>
            </w:r>
          </w:p>
        </w:tc>
        <w:tc>
          <w:tcPr>
            <w:tcW w:w="2328"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32/ХН: 168</w:t>
            </w:r>
          </w:p>
        </w:tc>
      </w:tr>
      <w:tr w:rsidR="00ED665B" w:rsidRPr="00907702" w:rsidTr="005E185E">
        <w:trPr>
          <w:trHeight w:hRule="exact" w:val="437"/>
        </w:trPr>
        <w:tc>
          <w:tcPr>
            <w:tcW w:w="2347" w:type="dxa"/>
            <w:vMerge/>
            <w:tcBorders>
              <w:top w:val="single" w:sz="8" w:space="0" w:color="009649"/>
              <w:bottom w:val="single" w:sz="8" w:space="0" w:color="009649"/>
            </w:tcBorders>
            <w:shd w:val="clear" w:color="auto" w:fill="FFFFFF"/>
            <w:vAlign w:val="center"/>
          </w:tcPr>
          <w:p w:rsidR="00ED665B" w:rsidRPr="00406A04" w:rsidRDefault="00ED665B" w:rsidP="005E185E">
            <w:pPr>
              <w:rPr>
                <w:rFonts w:ascii="Calibri" w:hAnsi="Calibri" w:cs="Calibri"/>
                <w:b/>
              </w:rPr>
            </w:pPr>
          </w:p>
          <w:p w:rsidR="00ED665B" w:rsidRPr="00406A04" w:rsidRDefault="00ED665B" w:rsidP="005E185E">
            <w:pPr>
              <w:rPr>
                <w:rFonts w:ascii="Calibri" w:hAnsi="Calibri" w:cs="Calibri"/>
                <w:b/>
              </w:rPr>
            </w:pPr>
          </w:p>
        </w:tc>
        <w:tc>
          <w:tcPr>
            <w:tcW w:w="1670"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Sp: 0,99</w:t>
            </w:r>
          </w:p>
        </w:tc>
        <w:tc>
          <w:tcPr>
            <w:tcW w:w="1574"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10 (860)</w:t>
            </w:r>
          </w:p>
        </w:tc>
        <w:tc>
          <w:tcPr>
            <w:tcW w:w="1579"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Помірна</w:t>
            </w:r>
          </w:p>
        </w:tc>
        <w:tc>
          <w:tcPr>
            <w:tcW w:w="2318"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980 / ХП: 10</w:t>
            </w:r>
          </w:p>
        </w:tc>
        <w:tc>
          <w:tcPr>
            <w:tcW w:w="2227"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891 / ХП: 9</w:t>
            </w:r>
          </w:p>
        </w:tc>
        <w:tc>
          <w:tcPr>
            <w:tcW w:w="2328"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792 / ХП: 8</w:t>
            </w:r>
          </w:p>
        </w:tc>
      </w:tr>
      <w:tr w:rsidR="00ED665B" w:rsidRPr="00907702" w:rsidTr="005E185E">
        <w:trPr>
          <w:trHeight w:hRule="exact" w:val="442"/>
        </w:trPr>
        <w:tc>
          <w:tcPr>
            <w:tcW w:w="2347" w:type="dxa"/>
            <w:vMerge w:val="restart"/>
            <w:tcBorders>
              <w:top w:val="single" w:sz="8" w:space="0" w:color="009649"/>
              <w:bottom w:val="single" w:sz="8" w:space="0" w:color="009649"/>
            </w:tcBorders>
            <w:shd w:val="clear" w:color="auto" w:fill="FFFFFF"/>
            <w:vAlign w:val="center"/>
          </w:tcPr>
          <w:p w:rsidR="00ED665B" w:rsidRPr="00406A04" w:rsidRDefault="006C7D2F" w:rsidP="005E185E">
            <w:pPr>
              <w:ind w:left="53" w:right="86"/>
              <w:rPr>
                <w:rFonts w:ascii="Calibri" w:hAnsi="Calibri" w:cs="Calibri"/>
                <w:b/>
              </w:rPr>
            </w:pPr>
            <w:r w:rsidRPr="00406A04">
              <w:rPr>
                <w:rFonts w:ascii="Calibri" w:hAnsi="Calibri"/>
                <w:b/>
                <w:color w:val="000000"/>
              </w:rPr>
              <w:t>ВІЛ+, кал, МРС у дітей</w:t>
            </w:r>
          </w:p>
        </w:tc>
        <w:tc>
          <w:tcPr>
            <w:tcW w:w="1670"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Se: 0,70</w:t>
            </w:r>
          </w:p>
        </w:tc>
        <w:tc>
          <w:tcPr>
            <w:tcW w:w="1574"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4 (53)</w:t>
            </w:r>
          </w:p>
        </w:tc>
        <w:tc>
          <w:tcPr>
            <w:tcW w:w="1579"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Низькі</w:t>
            </w:r>
          </w:p>
        </w:tc>
        <w:tc>
          <w:tcPr>
            <w:tcW w:w="2318"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7/ХН: 3</w:t>
            </w:r>
          </w:p>
        </w:tc>
        <w:tc>
          <w:tcPr>
            <w:tcW w:w="2227"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70/ХН: 30</w:t>
            </w:r>
          </w:p>
        </w:tc>
        <w:tc>
          <w:tcPr>
            <w:tcW w:w="2328"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140/ХН: 60</w:t>
            </w:r>
          </w:p>
        </w:tc>
      </w:tr>
      <w:tr w:rsidR="00ED665B" w:rsidRPr="00907702" w:rsidTr="005E185E">
        <w:trPr>
          <w:trHeight w:hRule="exact" w:val="437"/>
        </w:trPr>
        <w:tc>
          <w:tcPr>
            <w:tcW w:w="2347" w:type="dxa"/>
            <w:vMerge/>
            <w:tcBorders>
              <w:top w:val="single" w:sz="8" w:space="0" w:color="009649"/>
              <w:bottom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670"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Sp: 0,98</w:t>
            </w:r>
          </w:p>
        </w:tc>
        <w:tc>
          <w:tcPr>
            <w:tcW w:w="1574"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4 (473)</w:t>
            </w:r>
          </w:p>
        </w:tc>
        <w:tc>
          <w:tcPr>
            <w:tcW w:w="1579"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Висока</w:t>
            </w:r>
          </w:p>
        </w:tc>
        <w:tc>
          <w:tcPr>
            <w:tcW w:w="2318"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970 / ХП: 20</w:t>
            </w:r>
          </w:p>
        </w:tc>
        <w:tc>
          <w:tcPr>
            <w:tcW w:w="2227"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882 / ХП: 18</w:t>
            </w:r>
          </w:p>
        </w:tc>
        <w:tc>
          <w:tcPr>
            <w:tcW w:w="2328" w:type="dxa"/>
            <w:tcBorders>
              <w:top w:val="single" w:sz="8" w:space="0" w:color="009649"/>
              <w:left w:val="nil"/>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784 / ХП: 16</w:t>
            </w:r>
          </w:p>
        </w:tc>
      </w:tr>
      <w:tr w:rsidR="00ED665B" w:rsidRPr="00907702" w:rsidTr="005E185E">
        <w:trPr>
          <w:trHeight w:hRule="exact" w:val="485"/>
        </w:trPr>
        <w:tc>
          <w:tcPr>
            <w:tcW w:w="14043" w:type="dxa"/>
            <w:gridSpan w:val="7"/>
            <w:tcBorders>
              <w:top w:val="single" w:sz="8" w:space="0" w:color="009649"/>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6"/>
              </w:rPr>
              <w:t>СРС: складений референс стандарт; ХН: хибнонегативний; ХП: хибнопозитивний; ША: шлунковий аспірат; ВІЛ+: позитивний ВІЛ-статус; МРС: мікробіологічний референс стандарт; НФА: аспірат носоглотки;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rsidR="00ED665B" w:rsidRPr="00907702" w:rsidRDefault="00ED665B" w:rsidP="00DC2656">
      <w:pPr>
        <w:spacing w:after="413"/>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52"/>
        <w:gridCol w:w="1670"/>
        <w:gridCol w:w="1574"/>
        <w:gridCol w:w="1574"/>
        <w:gridCol w:w="2318"/>
        <w:gridCol w:w="2222"/>
        <w:gridCol w:w="2328"/>
      </w:tblGrid>
      <w:tr w:rsidR="00ED665B" w:rsidRPr="005E185E" w:rsidTr="005E185E">
        <w:trPr>
          <w:trHeight w:hRule="exact" w:val="758"/>
        </w:trPr>
        <w:tc>
          <w:tcPr>
            <w:tcW w:w="14038" w:type="dxa"/>
            <w:gridSpan w:val="7"/>
            <w:tcBorders>
              <w:top w:val="nil"/>
              <w:left w:val="nil"/>
              <w:bottom w:val="single" w:sz="8" w:space="0" w:color="009649"/>
              <w:right w:val="nil"/>
            </w:tcBorders>
            <w:shd w:val="clear" w:color="auto" w:fill="FFFFFF"/>
          </w:tcPr>
          <w:p w:rsidR="00ED665B" w:rsidRPr="005E185E" w:rsidRDefault="006C7D2F" w:rsidP="00DC2656">
            <w:pPr>
              <w:ind w:right="154"/>
              <w:rPr>
                <w:rFonts w:ascii="Calibri" w:hAnsi="Calibri" w:cs="Calibri"/>
                <w:b/>
                <w:bCs/>
              </w:rPr>
            </w:pPr>
            <w:r>
              <w:rPr>
                <w:rFonts w:ascii="Calibri" w:hAnsi="Calibri"/>
                <w:b/>
                <w:color w:val="636466"/>
                <w:sz w:val="24"/>
              </w:rPr>
              <w:t>Таблиця 2.1.7. PICO 2.1: Яка діагностична точність Xpert MTB/RIF щодо виявлення резистентності до рифампіцину у дітей у порівнянні з МРС?</w:t>
            </w:r>
          </w:p>
        </w:tc>
      </w:tr>
      <w:tr w:rsidR="00ED665B" w:rsidRPr="005E185E" w:rsidTr="005E185E">
        <w:trPr>
          <w:trHeight w:hRule="exact" w:val="658"/>
        </w:trPr>
        <w:tc>
          <w:tcPr>
            <w:tcW w:w="2352" w:type="dxa"/>
            <w:tcBorders>
              <w:top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left="77"/>
              <w:rPr>
                <w:rFonts w:ascii="Calibri" w:hAnsi="Calibri" w:cs="Calibri"/>
                <w:b/>
                <w:bCs/>
              </w:rPr>
            </w:pPr>
            <w:r>
              <w:rPr>
                <w:rFonts w:ascii="Calibri" w:hAnsi="Calibri"/>
                <w:b/>
                <w:color w:val="000000"/>
              </w:rPr>
              <w:t>Популяція пацієнтів</w:t>
            </w:r>
          </w:p>
        </w:tc>
        <w:tc>
          <w:tcPr>
            <w:tcW w:w="167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jc w:val="center"/>
              <w:rPr>
                <w:rFonts w:ascii="Calibri" w:hAnsi="Calibri" w:cs="Calibri"/>
                <w:b/>
                <w:bCs/>
              </w:rPr>
            </w:pPr>
            <w:r>
              <w:rPr>
                <w:rFonts w:ascii="Calibri" w:hAnsi="Calibri"/>
                <w:b/>
                <w:color w:val="000000"/>
              </w:rPr>
              <w:t>Точність тесту</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left="230" w:right="235"/>
              <w:jc w:val="center"/>
              <w:rPr>
                <w:rFonts w:ascii="Calibri" w:hAnsi="Calibri" w:cs="Calibri"/>
                <w:b/>
                <w:bCs/>
              </w:rPr>
            </w:pPr>
            <w:r>
              <w:rPr>
                <w:rFonts w:ascii="Calibri" w:hAnsi="Calibri"/>
                <w:b/>
                <w:color w:val="000000"/>
              </w:rPr>
              <w:t>Дослідження (осіб)</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left="106" w:right="101"/>
              <w:jc w:val="center"/>
              <w:rPr>
                <w:rFonts w:ascii="Calibri" w:hAnsi="Calibri" w:cs="Calibri"/>
                <w:b/>
                <w:bCs/>
              </w:rPr>
            </w:pPr>
            <w:r>
              <w:rPr>
                <w:rFonts w:ascii="Calibri" w:hAnsi="Calibri"/>
                <w:b/>
                <w:color w:val="000000"/>
              </w:rPr>
              <w:t>Достовірність даних</w:t>
            </w:r>
          </w:p>
        </w:tc>
        <w:tc>
          <w:tcPr>
            <w:tcW w:w="231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jc w:val="center"/>
              <w:rPr>
                <w:rFonts w:ascii="Calibri" w:hAnsi="Calibri" w:cs="Calibri"/>
                <w:b/>
                <w:bCs/>
              </w:rPr>
            </w:pPr>
            <w:r>
              <w:rPr>
                <w:rFonts w:ascii="Calibri" w:hAnsi="Calibri"/>
                <w:b/>
                <w:color w:val="000000"/>
              </w:rPr>
              <w:t>Поширеність 2%</w:t>
            </w:r>
          </w:p>
        </w:tc>
        <w:tc>
          <w:tcPr>
            <w:tcW w:w="222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jc w:val="center"/>
              <w:rPr>
                <w:rFonts w:ascii="Calibri" w:hAnsi="Calibri" w:cs="Calibri"/>
                <w:b/>
                <w:bCs/>
              </w:rPr>
            </w:pPr>
            <w:r>
              <w:rPr>
                <w:rFonts w:ascii="Calibri" w:hAnsi="Calibri"/>
                <w:b/>
                <w:color w:val="000000"/>
              </w:rPr>
              <w:t>Поширеність 10%</w:t>
            </w:r>
          </w:p>
        </w:tc>
        <w:tc>
          <w:tcPr>
            <w:tcW w:w="2328" w:type="dxa"/>
            <w:tcBorders>
              <w:top w:val="single" w:sz="8" w:space="0" w:color="009649"/>
              <w:left w:val="single" w:sz="8" w:space="0" w:color="009649"/>
              <w:bottom w:val="single" w:sz="8" w:space="0" w:color="009649"/>
            </w:tcBorders>
            <w:shd w:val="clear" w:color="auto" w:fill="27A86A"/>
            <w:vAlign w:val="center"/>
          </w:tcPr>
          <w:p w:rsidR="00ED665B" w:rsidRPr="005E185E" w:rsidRDefault="006C7D2F" w:rsidP="005E185E">
            <w:pPr>
              <w:jc w:val="center"/>
              <w:rPr>
                <w:rFonts w:ascii="Calibri" w:hAnsi="Calibri" w:cs="Calibri"/>
                <w:b/>
                <w:bCs/>
              </w:rPr>
            </w:pPr>
            <w:r>
              <w:rPr>
                <w:rFonts w:ascii="Calibri" w:hAnsi="Calibri"/>
                <w:b/>
                <w:color w:val="000000"/>
              </w:rPr>
              <w:t>Поширеність 15%</w:t>
            </w:r>
          </w:p>
        </w:tc>
      </w:tr>
      <w:tr w:rsidR="00ED665B" w:rsidRPr="00907702" w:rsidTr="005E185E">
        <w:trPr>
          <w:trHeight w:hRule="exact" w:val="442"/>
        </w:trPr>
        <w:tc>
          <w:tcPr>
            <w:tcW w:w="2352" w:type="dxa"/>
            <w:vMerge w:val="restart"/>
            <w:tcBorders>
              <w:top w:val="single" w:sz="8" w:space="0" w:color="009649"/>
              <w:bottom w:val="single" w:sz="8" w:space="0" w:color="009649"/>
            </w:tcBorders>
            <w:shd w:val="clear" w:color="auto" w:fill="FFFFFF"/>
            <w:vAlign w:val="center"/>
          </w:tcPr>
          <w:p w:rsidR="00ED665B" w:rsidRPr="00406A04" w:rsidRDefault="006C7D2F" w:rsidP="005E185E">
            <w:pPr>
              <w:ind w:left="58" w:right="43"/>
              <w:rPr>
                <w:rFonts w:ascii="Calibri" w:hAnsi="Calibri" w:cs="Calibri"/>
                <w:b/>
              </w:rPr>
            </w:pPr>
            <w:r w:rsidRPr="00406A04">
              <w:rPr>
                <w:rFonts w:ascii="Calibri" w:hAnsi="Calibri"/>
                <w:b/>
                <w:color w:val="000000"/>
              </w:rPr>
              <w:t>Мокротиння дітей, Риф, МРС</w:t>
            </w:r>
          </w:p>
        </w:tc>
        <w:tc>
          <w:tcPr>
            <w:tcW w:w="1670"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Se: 0,90</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6 (20)</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Дуже низька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ІП: 18/ХН: 2</w:t>
            </w:r>
          </w:p>
        </w:tc>
        <w:tc>
          <w:tcPr>
            <w:tcW w:w="222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ІП: 90/ХН: 10</w:t>
            </w:r>
          </w:p>
        </w:tc>
        <w:tc>
          <w:tcPr>
            <w:tcW w:w="2328" w:type="dxa"/>
            <w:tcBorders>
              <w:top w:val="single" w:sz="8" w:space="0" w:color="009649"/>
              <w:left w:val="nil"/>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ІП: 135/ХН: 15</w:t>
            </w:r>
          </w:p>
        </w:tc>
      </w:tr>
      <w:tr w:rsidR="00ED665B" w:rsidRPr="00907702" w:rsidTr="005E185E">
        <w:trPr>
          <w:trHeight w:hRule="exact" w:val="437"/>
        </w:trPr>
        <w:tc>
          <w:tcPr>
            <w:tcW w:w="2352" w:type="dxa"/>
            <w:vMerge/>
            <w:tcBorders>
              <w:top w:val="single" w:sz="8" w:space="0" w:color="009649"/>
              <w:bottom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670"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Sp: 0,98</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6 (203)</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Помірна</w:t>
            </w:r>
          </w:p>
        </w:tc>
        <w:tc>
          <w:tcPr>
            <w:tcW w:w="2318"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ІН: 960 / ХП: 20</w:t>
            </w:r>
          </w:p>
        </w:tc>
        <w:tc>
          <w:tcPr>
            <w:tcW w:w="222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ІН: 882 / ХП: 18</w:t>
            </w:r>
          </w:p>
        </w:tc>
        <w:tc>
          <w:tcPr>
            <w:tcW w:w="2328" w:type="dxa"/>
            <w:tcBorders>
              <w:top w:val="single" w:sz="8" w:space="0" w:color="009649"/>
              <w:left w:val="nil"/>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ІН: 833 / ХП: 17</w:t>
            </w:r>
          </w:p>
        </w:tc>
      </w:tr>
      <w:tr w:rsidR="00ED665B" w:rsidRPr="00907702" w:rsidTr="005E185E">
        <w:trPr>
          <w:trHeight w:hRule="exact" w:val="490"/>
        </w:trPr>
        <w:tc>
          <w:tcPr>
            <w:tcW w:w="14038" w:type="dxa"/>
            <w:gridSpan w:val="7"/>
            <w:tcBorders>
              <w:top w:val="single" w:sz="8" w:space="0" w:color="009649"/>
              <w:left w:val="nil"/>
              <w:bottom w:val="nil"/>
              <w:right w:val="nil"/>
            </w:tcBorders>
            <w:shd w:val="clear" w:color="auto" w:fill="FFFFFF"/>
          </w:tcPr>
          <w:p w:rsidR="00ED665B" w:rsidRPr="00907702" w:rsidRDefault="006C7D2F" w:rsidP="006A232C">
            <w:pPr>
              <w:jc w:val="both"/>
              <w:rPr>
                <w:rFonts w:ascii="Calibri" w:hAnsi="Calibri" w:cs="Calibri"/>
              </w:rPr>
            </w:pPr>
            <w:r>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Риф: резистентність до рифампіцину; Se: чутливість; Sp: специфічність; ІН: істинно негативний; ІП: істинно позитивний.</w:t>
            </w:r>
          </w:p>
        </w:tc>
      </w:tr>
    </w:tbl>
    <w:p w:rsidR="00ED665B" w:rsidRPr="00907702" w:rsidRDefault="00ED665B" w:rsidP="00DC2656">
      <w:pPr>
        <w:rPr>
          <w:rFonts w:ascii="Calibri" w:hAnsi="Calibri" w:cs="Calibri"/>
        </w:rPr>
        <w:sectPr w:rsidR="00ED665B" w:rsidRPr="00907702" w:rsidSect="005E185E">
          <w:pgSz w:w="16838" w:h="11904" w:orient="landscape"/>
          <w:pgMar w:top="1416" w:right="1406" w:bottom="2127" w:left="138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626"/>
        <w:gridCol w:w="1392"/>
        <w:gridCol w:w="1483"/>
        <w:gridCol w:w="1574"/>
        <w:gridCol w:w="2410"/>
        <w:gridCol w:w="2222"/>
        <w:gridCol w:w="2328"/>
      </w:tblGrid>
      <w:tr w:rsidR="00ED665B" w:rsidRPr="005E185E" w:rsidTr="005E185E">
        <w:trPr>
          <w:trHeight w:hRule="exact" w:val="763"/>
        </w:trPr>
        <w:tc>
          <w:tcPr>
            <w:tcW w:w="14035" w:type="dxa"/>
            <w:gridSpan w:val="7"/>
            <w:tcBorders>
              <w:top w:val="nil"/>
              <w:left w:val="nil"/>
              <w:bottom w:val="single" w:sz="8" w:space="0" w:color="009649"/>
              <w:right w:val="nil"/>
            </w:tcBorders>
            <w:shd w:val="clear" w:color="auto" w:fill="FFFFFF"/>
          </w:tcPr>
          <w:p w:rsidR="00ED665B" w:rsidRPr="005E185E" w:rsidRDefault="006C7D2F" w:rsidP="00DC2656">
            <w:pPr>
              <w:ind w:right="173"/>
              <w:rPr>
                <w:rFonts w:ascii="Calibri" w:hAnsi="Calibri" w:cs="Calibri"/>
                <w:b/>
                <w:bCs/>
              </w:rPr>
            </w:pPr>
            <w:r>
              <w:rPr>
                <w:rFonts w:ascii="Calibri" w:hAnsi="Calibri"/>
                <w:b/>
                <w:color w:val="636466"/>
                <w:sz w:val="24"/>
              </w:rPr>
              <w:lastRenderedPageBreak/>
              <w:t>Таблиця 2.1.8. PICO 2.2: Яка діагностична точність Xpert Ultra щодо виявлення легеневого ТБ у дітей порівняно з МРС та СРС?</w:t>
            </w:r>
          </w:p>
        </w:tc>
      </w:tr>
      <w:tr w:rsidR="00ED665B" w:rsidRPr="005E185E" w:rsidTr="005E185E">
        <w:trPr>
          <w:trHeight w:hRule="exact" w:val="658"/>
        </w:trPr>
        <w:tc>
          <w:tcPr>
            <w:tcW w:w="2626" w:type="dxa"/>
            <w:tcBorders>
              <w:top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left="72"/>
              <w:rPr>
                <w:rFonts w:ascii="Calibri" w:hAnsi="Calibri" w:cs="Calibri"/>
                <w:b/>
                <w:bCs/>
              </w:rPr>
            </w:pPr>
            <w:r>
              <w:rPr>
                <w:rFonts w:ascii="Calibri" w:hAnsi="Calibri"/>
                <w:b/>
                <w:color w:val="000000"/>
              </w:rPr>
              <w:t>Популяція пацієнтів</w:t>
            </w:r>
          </w:p>
        </w:tc>
        <w:tc>
          <w:tcPr>
            <w:tcW w:w="139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left="173" w:right="168"/>
              <w:jc w:val="center"/>
              <w:rPr>
                <w:rFonts w:ascii="Calibri" w:hAnsi="Calibri" w:cs="Calibri"/>
                <w:b/>
                <w:bCs/>
              </w:rPr>
            </w:pPr>
            <w:r>
              <w:rPr>
                <w:rFonts w:ascii="Calibri" w:hAnsi="Calibri"/>
                <w:b/>
                <w:color w:val="000000"/>
              </w:rPr>
              <w:t>Точність тесту</w:t>
            </w:r>
          </w:p>
        </w:tc>
        <w:tc>
          <w:tcPr>
            <w:tcW w:w="148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761A99">
            <w:pPr>
              <w:jc w:val="center"/>
              <w:rPr>
                <w:rFonts w:ascii="Calibri" w:hAnsi="Calibri" w:cs="Calibri"/>
                <w:b/>
                <w:bCs/>
              </w:rPr>
            </w:pPr>
            <w:r>
              <w:rPr>
                <w:rFonts w:ascii="Calibri" w:hAnsi="Calibri"/>
                <w:b/>
                <w:color w:val="000000"/>
              </w:rPr>
              <w:t>Дослідження (осіб)</w:t>
            </w:r>
          </w:p>
        </w:tc>
        <w:tc>
          <w:tcPr>
            <w:tcW w:w="157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left="106" w:right="101"/>
              <w:jc w:val="center"/>
              <w:rPr>
                <w:rFonts w:ascii="Calibri" w:hAnsi="Calibri" w:cs="Calibri"/>
                <w:b/>
                <w:bCs/>
              </w:rPr>
            </w:pPr>
            <w:r>
              <w:rPr>
                <w:rFonts w:ascii="Calibri" w:hAnsi="Calibri"/>
                <w:b/>
                <w:color w:val="000000"/>
              </w:rPr>
              <w:t>Достовірність даних</w:t>
            </w:r>
          </w:p>
        </w:tc>
        <w:tc>
          <w:tcPr>
            <w:tcW w:w="241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jc w:val="center"/>
              <w:rPr>
                <w:rFonts w:ascii="Calibri" w:hAnsi="Calibri" w:cs="Calibri"/>
                <w:b/>
                <w:bCs/>
              </w:rPr>
            </w:pPr>
            <w:r>
              <w:rPr>
                <w:rFonts w:ascii="Calibri" w:hAnsi="Calibri"/>
                <w:b/>
                <w:color w:val="000000"/>
              </w:rPr>
              <w:t>Поширеність 1%</w:t>
            </w:r>
          </w:p>
        </w:tc>
        <w:tc>
          <w:tcPr>
            <w:tcW w:w="222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jc w:val="center"/>
              <w:rPr>
                <w:rFonts w:ascii="Calibri" w:hAnsi="Calibri" w:cs="Calibri"/>
                <w:b/>
                <w:bCs/>
              </w:rPr>
            </w:pPr>
            <w:r>
              <w:rPr>
                <w:rFonts w:ascii="Calibri" w:hAnsi="Calibri"/>
                <w:b/>
                <w:color w:val="000000"/>
              </w:rPr>
              <w:t>Поширеність 10%</w:t>
            </w:r>
          </w:p>
        </w:tc>
        <w:tc>
          <w:tcPr>
            <w:tcW w:w="2328" w:type="dxa"/>
            <w:tcBorders>
              <w:top w:val="single" w:sz="8" w:space="0" w:color="009649"/>
              <w:left w:val="single" w:sz="8" w:space="0" w:color="009649"/>
              <w:bottom w:val="single" w:sz="8" w:space="0" w:color="009649"/>
            </w:tcBorders>
            <w:shd w:val="clear" w:color="auto" w:fill="27A86A"/>
            <w:vAlign w:val="center"/>
          </w:tcPr>
          <w:p w:rsidR="00ED665B" w:rsidRPr="005E185E" w:rsidRDefault="006C7D2F" w:rsidP="005E185E">
            <w:pPr>
              <w:jc w:val="center"/>
              <w:rPr>
                <w:rFonts w:ascii="Calibri" w:hAnsi="Calibri" w:cs="Calibri"/>
                <w:b/>
                <w:bCs/>
              </w:rPr>
            </w:pPr>
            <w:r>
              <w:rPr>
                <w:rFonts w:ascii="Calibri" w:hAnsi="Calibri"/>
                <w:b/>
                <w:color w:val="000000"/>
              </w:rPr>
              <w:t>Поширеність 20%</w:t>
            </w:r>
          </w:p>
        </w:tc>
      </w:tr>
      <w:tr w:rsidR="00ED665B" w:rsidRPr="00907702" w:rsidTr="005E185E">
        <w:trPr>
          <w:trHeight w:hRule="exact" w:val="442"/>
        </w:trPr>
        <w:tc>
          <w:tcPr>
            <w:tcW w:w="2626" w:type="dxa"/>
            <w:vMerge w:val="restart"/>
            <w:tcBorders>
              <w:top w:val="single" w:sz="8" w:space="0" w:color="009649"/>
              <w:bottom w:val="single" w:sz="8" w:space="0" w:color="009649"/>
            </w:tcBorders>
            <w:shd w:val="clear" w:color="auto" w:fill="FFFFFF"/>
            <w:vAlign w:val="center"/>
          </w:tcPr>
          <w:p w:rsidR="00ED665B" w:rsidRPr="00406A04" w:rsidRDefault="006C7D2F" w:rsidP="005E185E">
            <w:pPr>
              <w:ind w:left="53"/>
              <w:rPr>
                <w:rFonts w:ascii="Calibri" w:hAnsi="Calibri" w:cs="Calibri"/>
                <w:b/>
              </w:rPr>
            </w:pPr>
            <w:r w:rsidRPr="00406A04">
              <w:rPr>
                <w:rFonts w:ascii="Calibri" w:hAnsi="Calibri"/>
                <w:b/>
                <w:color w:val="000000"/>
              </w:rPr>
              <w:t>Мокротиння дітей, МРС</w:t>
            </w:r>
          </w:p>
        </w:tc>
        <w:tc>
          <w:tcPr>
            <w:tcW w:w="139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Se: 0,73</w:t>
            </w:r>
          </w:p>
        </w:tc>
        <w:tc>
          <w:tcPr>
            <w:tcW w:w="1483" w:type="dxa"/>
            <w:tcBorders>
              <w:top w:val="single" w:sz="8" w:space="0" w:color="009649"/>
              <w:left w:val="nil"/>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3 (136)</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Низькі</w:t>
            </w:r>
          </w:p>
        </w:tc>
        <w:tc>
          <w:tcPr>
            <w:tcW w:w="2410"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ІП: 7/ХН: 3</w:t>
            </w:r>
          </w:p>
        </w:tc>
        <w:tc>
          <w:tcPr>
            <w:tcW w:w="222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ІП: 73/ХН: 27</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ІП: 146/ХН: 54</w:t>
            </w:r>
          </w:p>
        </w:tc>
      </w:tr>
      <w:tr w:rsidR="00ED665B" w:rsidRPr="00907702" w:rsidTr="005E185E">
        <w:trPr>
          <w:trHeight w:hRule="exact" w:val="437"/>
        </w:trPr>
        <w:tc>
          <w:tcPr>
            <w:tcW w:w="2626" w:type="dxa"/>
            <w:vMerge/>
            <w:tcBorders>
              <w:top w:val="single" w:sz="8" w:space="0" w:color="009649"/>
              <w:bottom w:val="single" w:sz="8" w:space="0" w:color="009649"/>
            </w:tcBorders>
            <w:shd w:val="clear" w:color="auto" w:fill="FFFFFF"/>
            <w:vAlign w:val="center"/>
          </w:tcPr>
          <w:p w:rsidR="00ED665B" w:rsidRPr="00406A04" w:rsidRDefault="00ED665B" w:rsidP="005E185E">
            <w:pPr>
              <w:rPr>
                <w:rFonts w:ascii="Calibri" w:hAnsi="Calibri" w:cs="Calibri"/>
                <w:b/>
              </w:rPr>
            </w:pPr>
          </w:p>
          <w:p w:rsidR="00ED665B" w:rsidRPr="00406A04" w:rsidRDefault="00ED665B" w:rsidP="005E185E">
            <w:pPr>
              <w:rPr>
                <w:rFonts w:ascii="Calibri" w:hAnsi="Calibri" w:cs="Calibri"/>
                <w:b/>
              </w:rPr>
            </w:pPr>
          </w:p>
        </w:tc>
        <w:tc>
          <w:tcPr>
            <w:tcW w:w="139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Sp: 0,97</w:t>
            </w:r>
          </w:p>
        </w:tc>
        <w:tc>
          <w:tcPr>
            <w:tcW w:w="1483" w:type="dxa"/>
            <w:tcBorders>
              <w:top w:val="single" w:sz="8" w:space="0" w:color="009649"/>
              <w:left w:val="nil"/>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3 (551)</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Висока</w:t>
            </w:r>
          </w:p>
        </w:tc>
        <w:tc>
          <w:tcPr>
            <w:tcW w:w="2410"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ІН: 960 / ХП: 30</w:t>
            </w:r>
          </w:p>
        </w:tc>
        <w:tc>
          <w:tcPr>
            <w:tcW w:w="222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ІН: 873 / ХП: 27</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ІН: 776 / ХП: 24</w:t>
            </w:r>
          </w:p>
        </w:tc>
      </w:tr>
      <w:tr w:rsidR="00ED665B" w:rsidRPr="00907702" w:rsidTr="005E185E">
        <w:trPr>
          <w:trHeight w:hRule="exact" w:val="437"/>
        </w:trPr>
        <w:tc>
          <w:tcPr>
            <w:tcW w:w="2626" w:type="dxa"/>
            <w:vMerge w:val="restart"/>
            <w:tcBorders>
              <w:top w:val="single" w:sz="8" w:space="0" w:color="009649"/>
              <w:bottom w:val="single" w:sz="8" w:space="0" w:color="009649"/>
            </w:tcBorders>
            <w:shd w:val="clear" w:color="auto" w:fill="FFFFFF"/>
            <w:vAlign w:val="center"/>
          </w:tcPr>
          <w:p w:rsidR="00ED665B" w:rsidRPr="00406A04" w:rsidRDefault="006C7D2F" w:rsidP="005E185E">
            <w:pPr>
              <w:ind w:left="53"/>
              <w:rPr>
                <w:rFonts w:ascii="Calibri" w:hAnsi="Calibri" w:cs="Calibri"/>
                <w:b/>
              </w:rPr>
            </w:pPr>
            <w:r w:rsidRPr="00406A04">
              <w:rPr>
                <w:rFonts w:ascii="Calibri" w:hAnsi="Calibri"/>
                <w:b/>
                <w:color w:val="000000"/>
              </w:rPr>
              <w:t>Мокротиння у дітей, СРС</w:t>
            </w:r>
          </w:p>
        </w:tc>
        <w:tc>
          <w:tcPr>
            <w:tcW w:w="139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Se: 0,24</w:t>
            </w:r>
          </w:p>
        </w:tc>
        <w:tc>
          <w:tcPr>
            <w:tcW w:w="1483" w:type="dxa"/>
            <w:tcBorders>
              <w:top w:val="single" w:sz="8" w:space="0" w:color="009649"/>
              <w:left w:val="nil"/>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3 (498)</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Низькі</w:t>
            </w:r>
          </w:p>
        </w:tc>
        <w:tc>
          <w:tcPr>
            <w:tcW w:w="2410"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ІП: 2/ХН: 8</w:t>
            </w:r>
          </w:p>
        </w:tc>
        <w:tc>
          <w:tcPr>
            <w:tcW w:w="222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ІП: 24/ХН: 76</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ІП: 48/ХН: 152</w:t>
            </w:r>
          </w:p>
        </w:tc>
      </w:tr>
      <w:tr w:rsidR="00ED665B" w:rsidRPr="00907702" w:rsidTr="005E185E">
        <w:trPr>
          <w:trHeight w:hRule="exact" w:val="437"/>
        </w:trPr>
        <w:tc>
          <w:tcPr>
            <w:tcW w:w="2626" w:type="dxa"/>
            <w:vMerge/>
            <w:tcBorders>
              <w:top w:val="single" w:sz="8" w:space="0" w:color="009649"/>
              <w:bottom w:val="single" w:sz="8" w:space="0" w:color="009649"/>
            </w:tcBorders>
            <w:shd w:val="clear" w:color="auto" w:fill="FFFFFF"/>
            <w:vAlign w:val="center"/>
          </w:tcPr>
          <w:p w:rsidR="00ED665B" w:rsidRPr="00406A04" w:rsidRDefault="00ED665B" w:rsidP="005E185E">
            <w:pPr>
              <w:rPr>
                <w:rFonts w:ascii="Calibri" w:hAnsi="Calibri" w:cs="Calibri"/>
                <w:b/>
              </w:rPr>
            </w:pPr>
          </w:p>
          <w:p w:rsidR="00ED665B" w:rsidRPr="00406A04" w:rsidRDefault="00ED665B" w:rsidP="005E185E">
            <w:pPr>
              <w:rPr>
                <w:rFonts w:ascii="Calibri" w:hAnsi="Calibri" w:cs="Calibri"/>
                <w:b/>
              </w:rPr>
            </w:pPr>
          </w:p>
        </w:tc>
        <w:tc>
          <w:tcPr>
            <w:tcW w:w="139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Sp: 0,97</w:t>
            </w:r>
          </w:p>
        </w:tc>
        <w:tc>
          <w:tcPr>
            <w:tcW w:w="1483" w:type="dxa"/>
            <w:tcBorders>
              <w:top w:val="single" w:sz="8" w:space="0" w:color="009649"/>
              <w:left w:val="nil"/>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3 (255)</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Низькі</w:t>
            </w:r>
          </w:p>
        </w:tc>
        <w:tc>
          <w:tcPr>
            <w:tcW w:w="2410"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ІН: 965 / ХП: 25</w:t>
            </w:r>
          </w:p>
        </w:tc>
        <w:tc>
          <w:tcPr>
            <w:tcW w:w="222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ІН: 878 / ХП: 22</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ІН: 780 / ХП: 20</w:t>
            </w:r>
          </w:p>
        </w:tc>
      </w:tr>
      <w:tr w:rsidR="00ED665B" w:rsidRPr="00907702" w:rsidTr="005E185E">
        <w:trPr>
          <w:trHeight w:hRule="exact" w:val="437"/>
        </w:trPr>
        <w:tc>
          <w:tcPr>
            <w:tcW w:w="2626" w:type="dxa"/>
            <w:vMerge w:val="restart"/>
            <w:tcBorders>
              <w:top w:val="single" w:sz="8" w:space="0" w:color="009649"/>
              <w:bottom w:val="single" w:sz="8" w:space="0" w:color="009649"/>
            </w:tcBorders>
            <w:shd w:val="clear" w:color="auto" w:fill="FFFFFF"/>
            <w:vAlign w:val="center"/>
          </w:tcPr>
          <w:p w:rsidR="00ED665B" w:rsidRPr="00406A04" w:rsidRDefault="006C7D2F" w:rsidP="005E185E">
            <w:pPr>
              <w:ind w:left="53"/>
              <w:rPr>
                <w:rFonts w:ascii="Calibri" w:hAnsi="Calibri" w:cs="Calibri"/>
                <w:b/>
              </w:rPr>
            </w:pPr>
            <w:r w:rsidRPr="00406A04">
              <w:rPr>
                <w:rFonts w:ascii="Calibri" w:hAnsi="Calibri"/>
                <w:b/>
                <w:color w:val="000000"/>
              </w:rPr>
              <w:t>НФА дітей, МРС</w:t>
            </w:r>
          </w:p>
        </w:tc>
        <w:tc>
          <w:tcPr>
            <w:tcW w:w="139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Se: 0,46</w:t>
            </w:r>
          </w:p>
        </w:tc>
        <w:tc>
          <w:tcPr>
            <w:tcW w:w="1483" w:type="dxa"/>
            <w:tcBorders>
              <w:top w:val="single" w:sz="8" w:space="0" w:color="009649"/>
              <w:left w:val="nil"/>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1 (35)</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Дуже низька</w:t>
            </w:r>
          </w:p>
        </w:tc>
        <w:tc>
          <w:tcPr>
            <w:tcW w:w="2410"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ІП: 5/ХН: 5</w:t>
            </w:r>
          </w:p>
        </w:tc>
        <w:tc>
          <w:tcPr>
            <w:tcW w:w="222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ІП: 46/ХН: 54</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ІП: 92/ХН: 108</w:t>
            </w:r>
          </w:p>
        </w:tc>
      </w:tr>
      <w:tr w:rsidR="00ED665B" w:rsidRPr="00907702" w:rsidTr="005E185E">
        <w:trPr>
          <w:trHeight w:hRule="exact" w:val="437"/>
        </w:trPr>
        <w:tc>
          <w:tcPr>
            <w:tcW w:w="2626" w:type="dxa"/>
            <w:vMerge/>
            <w:tcBorders>
              <w:top w:val="single" w:sz="8" w:space="0" w:color="009649"/>
              <w:bottom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39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Sp: 0,98</w:t>
            </w:r>
          </w:p>
        </w:tc>
        <w:tc>
          <w:tcPr>
            <w:tcW w:w="1483" w:type="dxa"/>
            <w:tcBorders>
              <w:top w:val="single" w:sz="8" w:space="0" w:color="009649"/>
              <w:left w:val="nil"/>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1 (160)</w:t>
            </w:r>
          </w:p>
        </w:tc>
        <w:tc>
          <w:tcPr>
            <w:tcW w:w="1574"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Низькі</w:t>
            </w:r>
          </w:p>
        </w:tc>
        <w:tc>
          <w:tcPr>
            <w:tcW w:w="2410"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ІН: 970 / ХП: 20</w:t>
            </w:r>
          </w:p>
        </w:tc>
        <w:tc>
          <w:tcPr>
            <w:tcW w:w="2222"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ІН: 882 / ХП: 18</w:t>
            </w:r>
          </w:p>
        </w:tc>
        <w:tc>
          <w:tcPr>
            <w:tcW w:w="2328" w:type="dxa"/>
            <w:tcBorders>
              <w:top w:val="single" w:sz="8" w:space="0" w:color="009649"/>
              <w:bottom w:val="single" w:sz="8" w:space="0" w:color="009649"/>
            </w:tcBorders>
            <w:shd w:val="clear" w:color="auto" w:fill="FFFFFF"/>
            <w:vAlign w:val="center"/>
          </w:tcPr>
          <w:p w:rsidR="00ED665B" w:rsidRPr="00907702" w:rsidRDefault="006C7D2F" w:rsidP="005E185E">
            <w:pPr>
              <w:jc w:val="center"/>
              <w:rPr>
                <w:rFonts w:ascii="Calibri" w:hAnsi="Calibri" w:cs="Calibri"/>
              </w:rPr>
            </w:pPr>
            <w:r>
              <w:rPr>
                <w:rFonts w:ascii="Calibri" w:hAnsi="Calibri"/>
                <w:color w:val="000000"/>
              </w:rPr>
              <w:t>ІН: 784 / ХП: 16</w:t>
            </w:r>
          </w:p>
        </w:tc>
      </w:tr>
      <w:tr w:rsidR="00ED665B" w:rsidRPr="00907702" w:rsidTr="005E185E">
        <w:trPr>
          <w:trHeight w:hRule="exact" w:val="490"/>
        </w:trPr>
        <w:tc>
          <w:tcPr>
            <w:tcW w:w="14035" w:type="dxa"/>
            <w:gridSpan w:val="7"/>
            <w:tcBorders>
              <w:top w:val="single" w:sz="8" w:space="0" w:color="009649"/>
              <w:left w:val="nil"/>
              <w:bottom w:val="nil"/>
              <w:right w:val="nil"/>
            </w:tcBorders>
            <w:shd w:val="clear" w:color="auto" w:fill="FFFFFF"/>
          </w:tcPr>
          <w:p w:rsidR="00ED665B" w:rsidRPr="00907702" w:rsidRDefault="006C7D2F" w:rsidP="00761A99">
            <w:pPr>
              <w:jc w:val="both"/>
              <w:rPr>
                <w:rFonts w:ascii="Calibri" w:hAnsi="Calibri" w:cs="Calibri"/>
              </w:rPr>
            </w:pPr>
            <w:r>
              <w:rPr>
                <w:rFonts w:ascii="Calibri" w:hAnsi="Calibri"/>
                <w:color w:val="000000"/>
                <w:sz w:val="16"/>
              </w:rPr>
              <w:t>СРС: складений референс стандарт; ХН: хибнонегативний; ХП: хибнопозитивний; МРС: мікробіологічний референс стандарт; НФА: аспірат носоглотки;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rsidR="00ED665B" w:rsidRPr="0090770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05"/>
        <w:gridCol w:w="1171"/>
        <w:gridCol w:w="1301"/>
        <w:gridCol w:w="1766"/>
        <w:gridCol w:w="2232"/>
        <w:gridCol w:w="1954"/>
        <w:gridCol w:w="2616"/>
      </w:tblGrid>
      <w:tr w:rsidR="00ED665B" w:rsidRPr="005E185E" w:rsidTr="005E185E">
        <w:trPr>
          <w:trHeight w:hRule="exact" w:val="739"/>
        </w:trPr>
        <w:tc>
          <w:tcPr>
            <w:tcW w:w="14045" w:type="dxa"/>
            <w:gridSpan w:val="7"/>
            <w:tcBorders>
              <w:top w:val="nil"/>
              <w:left w:val="nil"/>
              <w:bottom w:val="single" w:sz="8" w:space="0" w:color="009649"/>
              <w:right w:val="nil"/>
            </w:tcBorders>
            <w:shd w:val="clear" w:color="auto" w:fill="FFFFFF"/>
          </w:tcPr>
          <w:p w:rsidR="00ED665B" w:rsidRPr="005E185E" w:rsidRDefault="006C7D2F" w:rsidP="00DC2656">
            <w:pPr>
              <w:rPr>
                <w:rFonts w:ascii="Calibri" w:hAnsi="Calibri" w:cs="Calibri"/>
                <w:b/>
                <w:bCs/>
              </w:rPr>
            </w:pPr>
            <w:r>
              <w:rPr>
                <w:rFonts w:ascii="Calibri" w:hAnsi="Calibri"/>
                <w:b/>
                <w:color w:val="636466"/>
                <w:sz w:val="24"/>
              </w:rPr>
              <w:t>Таблиця 2.1.9. PICO 3.1: Яка діагностична точність Xpert MTB/RIF щодо виявлення позалегеневого ТБ у дорослих порівняно з МРС та СРС?</w:t>
            </w:r>
          </w:p>
        </w:tc>
      </w:tr>
      <w:tr w:rsidR="00ED665B" w:rsidRPr="005E185E" w:rsidTr="00A12C02">
        <w:trPr>
          <w:trHeight w:hRule="exact" w:val="624"/>
        </w:trPr>
        <w:tc>
          <w:tcPr>
            <w:tcW w:w="3005" w:type="dxa"/>
            <w:tcBorders>
              <w:top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left="48"/>
              <w:rPr>
                <w:rFonts w:ascii="Calibri" w:hAnsi="Calibri" w:cs="Calibri"/>
                <w:b/>
                <w:bCs/>
              </w:rPr>
            </w:pPr>
            <w:r>
              <w:rPr>
                <w:rFonts w:ascii="Calibri" w:hAnsi="Calibri"/>
                <w:b/>
                <w:color w:val="000000"/>
              </w:rPr>
              <w:t>Популяція пацієнтів</w:t>
            </w:r>
          </w:p>
        </w:tc>
        <w:tc>
          <w:tcPr>
            <w:tcW w:w="1171"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left="67" w:right="58" w:hanging="38"/>
              <w:jc w:val="center"/>
              <w:rPr>
                <w:rFonts w:ascii="Calibri" w:hAnsi="Calibri" w:cs="Calibri"/>
                <w:b/>
                <w:bCs/>
              </w:rPr>
            </w:pPr>
            <w:r>
              <w:rPr>
                <w:rFonts w:ascii="Calibri" w:hAnsi="Calibri"/>
                <w:b/>
                <w:color w:val="000000"/>
              </w:rPr>
              <w:t>Точність тесту</w:t>
            </w:r>
          </w:p>
        </w:tc>
        <w:tc>
          <w:tcPr>
            <w:tcW w:w="1301"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761A99">
            <w:pPr>
              <w:jc w:val="center"/>
              <w:rPr>
                <w:rFonts w:ascii="Calibri" w:hAnsi="Calibri" w:cs="Calibri"/>
                <w:b/>
                <w:bCs/>
              </w:rPr>
            </w:pPr>
            <w:r>
              <w:rPr>
                <w:rFonts w:ascii="Calibri" w:hAnsi="Calibri"/>
                <w:b/>
                <w:color w:val="000000"/>
              </w:rPr>
              <w:t>Дослідження (осіб)</w:t>
            </w:r>
          </w:p>
        </w:tc>
        <w:tc>
          <w:tcPr>
            <w:tcW w:w="176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left="206" w:right="197" w:hanging="38"/>
              <w:jc w:val="center"/>
              <w:rPr>
                <w:rFonts w:ascii="Calibri" w:hAnsi="Calibri" w:cs="Calibri"/>
                <w:b/>
                <w:bCs/>
              </w:rPr>
            </w:pPr>
            <w:r>
              <w:rPr>
                <w:rFonts w:ascii="Calibri" w:hAnsi="Calibri"/>
                <w:b/>
                <w:color w:val="000000"/>
              </w:rPr>
              <w:t>Достовірність даних</w:t>
            </w:r>
          </w:p>
        </w:tc>
        <w:tc>
          <w:tcPr>
            <w:tcW w:w="223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hanging="38"/>
              <w:jc w:val="center"/>
              <w:rPr>
                <w:rFonts w:ascii="Calibri" w:hAnsi="Calibri" w:cs="Calibri"/>
                <w:b/>
                <w:bCs/>
              </w:rPr>
            </w:pPr>
            <w:r>
              <w:rPr>
                <w:rFonts w:ascii="Calibri" w:hAnsi="Calibri"/>
                <w:b/>
                <w:color w:val="000000"/>
              </w:rPr>
              <w:t>Поширеність 2,5%</w:t>
            </w:r>
          </w:p>
        </w:tc>
        <w:tc>
          <w:tcPr>
            <w:tcW w:w="195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5E185E" w:rsidRDefault="006C7D2F" w:rsidP="005E185E">
            <w:pPr>
              <w:ind w:hanging="38"/>
              <w:jc w:val="center"/>
              <w:rPr>
                <w:rFonts w:ascii="Calibri" w:hAnsi="Calibri" w:cs="Calibri"/>
                <w:b/>
                <w:bCs/>
              </w:rPr>
            </w:pPr>
            <w:r>
              <w:rPr>
                <w:rFonts w:ascii="Calibri" w:hAnsi="Calibri"/>
                <w:b/>
                <w:color w:val="000000"/>
              </w:rPr>
              <w:t>Поширеність 10%</w:t>
            </w:r>
          </w:p>
        </w:tc>
        <w:tc>
          <w:tcPr>
            <w:tcW w:w="2616" w:type="dxa"/>
            <w:tcBorders>
              <w:top w:val="single" w:sz="8" w:space="0" w:color="009649"/>
              <w:left w:val="single" w:sz="8" w:space="0" w:color="009649"/>
              <w:bottom w:val="single" w:sz="8" w:space="0" w:color="009649"/>
            </w:tcBorders>
            <w:shd w:val="clear" w:color="auto" w:fill="27A86A"/>
            <w:vAlign w:val="center"/>
          </w:tcPr>
          <w:p w:rsidR="00ED665B" w:rsidRPr="005E185E" w:rsidRDefault="006C7D2F" w:rsidP="005E185E">
            <w:pPr>
              <w:ind w:hanging="38"/>
              <w:jc w:val="center"/>
              <w:rPr>
                <w:rFonts w:ascii="Calibri" w:hAnsi="Calibri" w:cs="Calibri"/>
                <w:b/>
                <w:bCs/>
              </w:rPr>
            </w:pPr>
            <w:r>
              <w:rPr>
                <w:rFonts w:ascii="Calibri" w:hAnsi="Calibri"/>
                <w:b/>
                <w:color w:val="000000"/>
              </w:rPr>
              <w:t>Поширеність 20%</w:t>
            </w:r>
          </w:p>
        </w:tc>
      </w:tr>
      <w:tr w:rsidR="00ED665B" w:rsidRPr="00907702" w:rsidTr="00A12C02">
        <w:trPr>
          <w:trHeight w:hRule="exact" w:val="398"/>
        </w:trPr>
        <w:tc>
          <w:tcPr>
            <w:tcW w:w="3005" w:type="dxa"/>
            <w:vMerge w:val="restart"/>
            <w:tcBorders>
              <w:top w:val="single" w:sz="8" w:space="0" w:color="009649"/>
              <w:bottom w:val="single" w:sz="8" w:space="0" w:color="009649"/>
            </w:tcBorders>
            <w:shd w:val="clear" w:color="auto" w:fill="FFFFFF"/>
            <w:vAlign w:val="center"/>
          </w:tcPr>
          <w:p w:rsidR="00ED665B" w:rsidRPr="00406A04" w:rsidRDefault="006C7D2F" w:rsidP="00A12C02">
            <w:pPr>
              <w:ind w:left="29"/>
              <w:rPr>
                <w:rFonts w:ascii="Calibri" w:hAnsi="Calibri" w:cs="Calibri"/>
                <w:b/>
              </w:rPr>
            </w:pPr>
            <w:r w:rsidRPr="00406A04">
              <w:rPr>
                <w:rFonts w:ascii="Calibri" w:hAnsi="Calibri"/>
                <w:b/>
                <w:color w:val="000000"/>
              </w:rPr>
              <w:t>СМР, МРС у дорослих</w:t>
            </w:r>
          </w:p>
        </w:tc>
        <w:tc>
          <w:tcPr>
            <w:tcW w:w="1171"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Se: 0,70</w:t>
            </w:r>
          </w:p>
        </w:tc>
        <w:tc>
          <w:tcPr>
            <w:tcW w:w="1301"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28 (521)</w:t>
            </w:r>
          </w:p>
        </w:tc>
        <w:tc>
          <w:tcPr>
            <w:tcW w:w="1766" w:type="dxa"/>
            <w:tcBorders>
              <w:top w:val="single" w:sz="8" w:space="0" w:color="009649"/>
              <w:left w:val="nil"/>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Помірна</w:t>
            </w:r>
          </w:p>
        </w:tc>
        <w:tc>
          <w:tcPr>
            <w:tcW w:w="2232"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18/ХН: 7</w:t>
            </w:r>
          </w:p>
        </w:tc>
        <w:tc>
          <w:tcPr>
            <w:tcW w:w="1954" w:type="dxa"/>
            <w:tcBorders>
              <w:top w:val="single" w:sz="8" w:space="0" w:color="009649"/>
              <w:left w:val="nil"/>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70/ХН: 30</w:t>
            </w:r>
          </w:p>
        </w:tc>
        <w:tc>
          <w:tcPr>
            <w:tcW w:w="2616"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141/ХН: 59</w:t>
            </w:r>
          </w:p>
        </w:tc>
      </w:tr>
      <w:tr w:rsidR="00ED665B" w:rsidRPr="00907702" w:rsidTr="00A12C02">
        <w:trPr>
          <w:trHeight w:hRule="exact" w:val="389"/>
        </w:trPr>
        <w:tc>
          <w:tcPr>
            <w:tcW w:w="3005" w:type="dxa"/>
            <w:vMerge/>
            <w:tcBorders>
              <w:top w:val="single" w:sz="8" w:space="0" w:color="009649"/>
              <w:bottom w:val="single" w:sz="8" w:space="0" w:color="009649"/>
            </w:tcBorders>
            <w:shd w:val="clear" w:color="auto" w:fill="FFFFFF"/>
            <w:vAlign w:val="center"/>
          </w:tcPr>
          <w:p w:rsidR="00ED665B" w:rsidRPr="00406A04" w:rsidRDefault="00ED665B" w:rsidP="00A12C02">
            <w:pPr>
              <w:rPr>
                <w:rFonts w:ascii="Calibri" w:hAnsi="Calibri" w:cs="Calibri"/>
                <w:b/>
              </w:rPr>
            </w:pPr>
          </w:p>
          <w:p w:rsidR="00ED665B" w:rsidRPr="00406A04" w:rsidRDefault="00ED665B" w:rsidP="00A12C02">
            <w:pPr>
              <w:rPr>
                <w:rFonts w:ascii="Calibri" w:hAnsi="Calibri" w:cs="Calibri"/>
                <w:b/>
              </w:rPr>
            </w:pPr>
          </w:p>
        </w:tc>
        <w:tc>
          <w:tcPr>
            <w:tcW w:w="1171" w:type="dxa"/>
            <w:tcBorders>
              <w:top w:val="single" w:sz="8" w:space="0" w:color="009649"/>
              <w:bottom w:val="single" w:sz="8" w:space="0" w:color="009649"/>
            </w:tcBorders>
            <w:shd w:val="clear" w:color="auto" w:fill="FFFFFF"/>
            <w:vAlign w:val="center"/>
          </w:tcPr>
          <w:p w:rsidR="00ED665B" w:rsidRPr="00907702" w:rsidRDefault="006C7D2F" w:rsidP="00A12C02">
            <w:pPr>
              <w:ind w:left="120" w:right="120"/>
              <w:jc w:val="center"/>
              <w:rPr>
                <w:rFonts w:ascii="Calibri" w:hAnsi="Calibri" w:cs="Calibri"/>
              </w:rPr>
            </w:pPr>
            <w:r>
              <w:rPr>
                <w:rFonts w:ascii="Calibri" w:hAnsi="Calibri"/>
                <w:color w:val="000000"/>
              </w:rPr>
              <w:t>Sp: 0,97</w:t>
            </w:r>
          </w:p>
        </w:tc>
        <w:tc>
          <w:tcPr>
            <w:tcW w:w="1301" w:type="dxa"/>
            <w:tcBorders>
              <w:top w:val="single" w:sz="8" w:space="0" w:color="009649"/>
              <w:bottom w:val="single" w:sz="8" w:space="0" w:color="009649"/>
            </w:tcBorders>
            <w:shd w:val="clear" w:color="auto" w:fill="FFFFFF"/>
            <w:vAlign w:val="center"/>
          </w:tcPr>
          <w:p w:rsidR="00ED665B" w:rsidRPr="00907702" w:rsidRDefault="006C7D2F" w:rsidP="00A12C02">
            <w:pPr>
              <w:ind w:left="106" w:right="101"/>
              <w:jc w:val="center"/>
              <w:rPr>
                <w:rFonts w:ascii="Calibri" w:hAnsi="Calibri" w:cs="Calibri"/>
              </w:rPr>
            </w:pPr>
            <w:r>
              <w:rPr>
                <w:rFonts w:ascii="Calibri" w:hAnsi="Calibri"/>
                <w:color w:val="000000"/>
              </w:rPr>
              <w:t>28 (2582)</w:t>
            </w:r>
          </w:p>
        </w:tc>
        <w:tc>
          <w:tcPr>
            <w:tcW w:w="1766" w:type="dxa"/>
            <w:tcBorders>
              <w:top w:val="single" w:sz="8" w:space="0" w:color="009649"/>
              <w:left w:val="nil"/>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Висока</w:t>
            </w:r>
          </w:p>
        </w:tc>
        <w:tc>
          <w:tcPr>
            <w:tcW w:w="2232"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944 / ХП: 31</w:t>
            </w:r>
          </w:p>
        </w:tc>
        <w:tc>
          <w:tcPr>
            <w:tcW w:w="1954" w:type="dxa"/>
            <w:tcBorders>
              <w:top w:val="single" w:sz="8" w:space="0" w:color="009649"/>
              <w:left w:val="nil"/>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871 / ХП: 29</w:t>
            </w:r>
          </w:p>
        </w:tc>
        <w:tc>
          <w:tcPr>
            <w:tcW w:w="2616"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774 / ХП: 26</w:t>
            </w:r>
          </w:p>
        </w:tc>
      </w:tr>
      <w:tr w:rsidR="00ED665B" w:rsidRPr="00907702" w:rsidTr="00A12C02">
        <w:trPr>
          <w:trHeight w:hRule="exact" w:val="394"/>
        </w:trPr>
        <w:tc>
          <w:tcPr>
            <w:tcW w:w="3005" w:type="dxa"/>
            <w:vMerge w:val="restart"/>
            <w:tcBorders>
              <w:top w:val="single" w:sz="8" w:space="0" w:color="009649"/>
              <w:bottom w:val="single" w:sz="8" w:space="0" w:color="009649"/>
            </w:tcBorders>
            <w:shd w:val="clear" w:color="auto" w:fill="FFFFFF"/>
            <w:vAlign w:val="center"/>
          </w:tcPr>
          <w:p w:rsidR="00ED665B" w:rsidRPr="00406A04" w:rsidRDefault="006C7D2F" w:rsidP="00A12C02">
            <w:pPr>
              <w:ind w:left="29"/>
              <w:rPr>
                <w:rFonts w:ascii="Calibri" w:hAnsi="Calibri" w:cs="Calibri"/>
                <w:b/>
              </w:rPr>
            </w:pPr>
            <w:r w:rsidRPr="00406A04">
              <w:rPr>
                <w:rFonts w:ascii="Calibri" w:hAnsi="Calibri"/>
                <w:b/>
                <w:color w:val="000000"/>
              </w:rPr>
              <w:t>СМР, СРС у дорослих</w:t>
            </w:r>
          </w:p>
        </w:tc>
        <w:tc>
          <w:tcPr>
            <w:tcW w:w="1171" w:type="dxa"/>
            <w:tcBorders>
              <w:top w:val="single" w:sz="8" w:space="0" w:color="009649"/>
              <w:bottom w:val="single" w:sz="8" w:space="0" w:color="009649"/>
            </w:tcBorders>
            <w:shd w:val="clear" w:color="auto" w:fill="FFFFFF"/>
            <w:vAlign w:val="center"/>
          </w:tcPr>
          <w:p w:rsidR="00ED665B" w:rsidRPr="00907702" w:rsidRDefault="00A12C02" w:rsidP="00A12C02">
            <w:pPr>
              <w:ind w:left="29"/>
              <w:jc w:val="center"/>
              <w:rPr>
                <w:rFonts w:ascii="Calibri" w:hAnsi="Calibri" w:cs="Calibri"/>
              </w:rPr>
            </w:pPr>
            <w:r>
              <w:rPr>
                <w:rFonts w:ascii="Calibri" w:hAnsi="Calibri"/>
                <w:color w:val="000000"/>
              </w:rPr>
              <w:t>Se: 0,41</w:t>
            </w:r>
          </w:p>
        </w:tc>
        <w:tc>
          <w:tcPr>
            <w:tcW w:w="1301" w:type="dxa"/>
            <w:tcBorders>
              <w:top w:val="single" w:sz="8" w:space="0" w:color="009649"/>
              <w:bottom w:val="single" w:sz="8" w:space="0" w:color="009649"/>
            </w:tcBorders>
            <w:shd w:val="clear" w:color="auto" w:fill="FFFFFF"/>
            <w:vAlign w:val="center"/>
          </w:tcPr>
          <w:p w:rsidR="00ED665B" w:rsidRPr="00907702" w:rsidRDefault="00A12C02" w:rsidP="00A12C02">
            <w:pPr>
              <w:ind w:left="29"/>
              <w:jc w:val="center"/>
              <w:rPr>
                <w:rFonts w:ascii="Calibri" w:hAnsi="Calibri" w:cs="Calibri"/>
              </w:rPr>
            </w:pPr>
            <w:r>
              <w:rPr>
                <w:rFonts w:ascii="Calibri" w:hAnsi="Calibri"/>
                <w:color w:val="000000"/>
              </w:rPr>
              <w:t>12 (774)</w:t>
            </w:r>
          </w:p>
        </w:tc>
        <w:tc>
          <w:tcPr>
            <w:tcW w:w="1766" w:type="dxa"/>
            <w:tcBorders>
              <w:top w:val="single" w:sz="8" w:space="0" w:color="009649"/>
              <w:left w:val="nil"/>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Низькі</w:t>
            </w:r>
          </w:p>
        </w:tc>
        <w:tc>
          <w:tcPr>
            <w:tcW w:w="2232"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10/ХН: 15</w:t>
            </w:r>
          </w:p>
        </w:tc>
        <w:tc>
          <w:tcPr>
            <w:tcW w:w="1954" w:type="dxa"/>
            <w:tcBorders>
              <w:top w:val="single" w:sz="8" w:space="0" w:color="009649"/>
              <w:left w:val="nil"/>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41 / ХН:59</w:t>
            </w:r>
          </w:p>
        </w:tc>
        <w:tc>
          <w:tcPr>
            <w:tcW w:w="2616"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81/ХН: 119</w:t>
            </w:r>
          </w:p>
        </w:tc>
      </w:tr>
      <w:tr w:rsidR="00ED665B" w:rsidRPr="00907702" w:rsidTr="00A12C02">
        <w:trPr>
          <w:trHeight w:hRule="exact" w:val="389"/>
        </w:trPr>
        <w:tc>
          <w:tcPr>
            <w:tcW w:w="3005" w:type="dxa"/>
            <w:vMerge/>
            <w:tcBorders>
              <w:top w:val="single" w:sz="8" w:space="0" w:color="009649"/>
              <w:bottom w:val="single" w:sz="8" w:space="0" w:color="009649"/>
            </w:tcBorders>
            <w:shd w:val="clear" w:color="auto" w:fill="FFFFFF"/>
            <w:vAlign w:val="center"/>
          </w:tcPr>
          <w:p w:rsidR="00ED665B" w:rsidRPr="00406A04" w:rsidRDefault="00ED665B" w:rsidP="00A12C02">
            <w:pPr>
              <w:rPr>
                <w:rFonts w:ascii="Calibri" w:hAnsi="Calibri" w:cs="Calibri"/>
                <w:b/>
              </w:rPr>
            </w:pPr>
          </w:p>
          <w:p w:rsidR="00ED665B" w:rsidRPr="00406A04" w:rsidRDefault="00ED665B" w:rsidP="00A12C02">
            <w:pPr>
              <w:rPr>
                <w:rFonts w:ascii="Calibri" w:hAnsi="Calibri" w:cs="Calibri"/>
                <w:b/>
              </w:rPr>
            </w:pPr>
          </w:p>
        </w:tc>
        <w:tc>
          <w:tcPr>
            <w:tcW w:w="1171" w:type="dxa"/>
            <w:tcBorders>
              <w:top w:val="single" w:sz="8" w:space="0" w:color="009649"/>
              <w:bottom w:val="single" w:sz="8" w:space="0" w:color="009649"/>
            </w:tcBorders>
            <w:shd w:val="clear" w:color="auto" w:fill="FFFFFF"/>
            <w:vAlign w:val="center"/>
          </w:tcPr>
          <w:p w:rsidR="00ED665B" w:rsidRPr="00907702" w:rsidRDefault="006C7D2F" w:rsidP="00A12C02">
            <w:pPr>
              <w:ind w:left="120" w:right="115"/>
              <w:jc w:val="center"/>
              <w:rPr>
                <w:rFonts w:ascii="Calibri" w:hAnsi="Calibri" w:cs="Calibri"/>
              </w:rPr>
            </w:pPr>
            <w:r>
              <w:rPr>
                <w:rFonts w:ascii="Calibri" w:hAnsi="Calibri"/>
                <w:color w:val="000000"/>
              </w:rPr>
              <w:t xml:space="preserve">Sp: 0,99 </w:t>
            </w:r>
          </w:p>
        </w:tc>
        <w:tc>
          <w:tcPr>
            <w:tcW w:w="1301" w:type="dxa"/>
            <w:tcBorders>
              <w:top w:val="single" w:sz="8" w:space="0" w:color="009649"/>
              <w:bottom w:val="single" w:sz="8" w:space="0" w:color="009649"/>
            </w:tcBorders>
            <w:shd w:val="clear" w:color="auto" w:fill="FFFFFF"/>
            <w:vAlign w:val="center"/>
          </w:tcPr>
          <w:p w:rsidR="00ED665B" w:rsidRPr="00907702" w:rsidRDefault="006C7D2F" w:rsidP="00A12C02">
            <w:pPr>
              <w:ind w:left="120" w:right="101"/>
              <w:jc w:val="center"/>
              <w:rPr>
                <w:rFonts w:ascii="Calibri" w:hAnsi="Calibri" w:cs="Calibri"/>
              </w:rPr>
            </w:pPr>
            <w:r>
              <w:rPr>
                <w:rFonts w:ascii="Calibri" w:hAnsi="Calibri"/>
                <w:color w:val="000000"/>
              </w:rPr>
              <w:t xml:space="preserve">12 (1123) </w:t>
            </w:r>
          </w:p>
        </w:tc>
        <w:tc>
          <w:tcPr>
            <w:tcW w:w="1766" w:type="dxa"/>
            <w:tcBorders>
              <w:top w:val="single" w:sz="8" w:space="0" w:color="009649"/>
              <w:left w:val="nil"/>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Помірна</w:t>
            </w:r>
          </w:p>
        </w:tc>
        <w:tc>
          <w:tcPr>
            <w:tcW w:w="2232"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970 / ХП: 5</w:t>
            </w:r>
          </w:p>
        </w:tc>
        <w:tc>
          <w:tcPr>
            <w:tcW w:w="1954" w:type="dxa"/>
            <w:tcBorders>
              <w:top w:val="single" w:sz="8" w:space="0" w:color="009649"/>
              <w:left w:val="nil"/>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896 / ХП: 4</w:t>
            </w:r>
          </w:p>
        </w:tc>
        <w:tc>
          <w:tcPr>
            <w:tcW w:w="2616"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796 / ХП: 4</w:t>
            </w:r>
          </w:p>
        </w:tc>
      </w:tr>
      <w:tr w:rsidR="00ED665B" w:rsidRPr="00907702" w:rsidTr="00A12C02">
        <w:trPr>
          <w:trHeight w:hRule="exact" w:val="394"/>
        </w:trPr>
        <w:tc>
          <w:tcPr>
            <w:tcW w:w="3005" w:type="dxa"/>
            <w:vMerge w:val="restart"/>
            <w:tcBorders>
              <w:top w:val="single" w:sz="8" w:space="0" w:color="009649"/>
              <w:bottom w:val="single" w:sz="8" w:space="0" w:color="009649"/>
            </w:tcBorders>
            <w:shd w:val="clear" w:color="auto" w:fill="FFFFFF"/>
            <w:vAlign w:val="center"/>
          </w:tcPr>
          <w:p w:rsidR="00ED665B" w:rsidRPr="00406A04" w:rsidRDefault="006C7D2F" w:rsidP="00A12C02">
            <w:pPr>
              <w:ind w:left="29"/>
              <w:rPr>
                <w:rFonts w:ascii="Calibri" w:hAnsi="Calibri" w:cs="Calibri"/>
                <w:b/>
              </w:rPr>
            </w:pPr>
            <w:r w:rsidRPr="00406A04">
              <w:rPr>
                <w:rFonts w:ascii="Calibri" w:hAnsi="Calibri"/>
                <w:b/>
                <w:color w:val="000000"/>
              </w:rPr>
              <w:t>LNA, МРС у дорослих</w:t>
            </w:r>
          </w:p>
        </w:tc>
        <w:tc>
          <w:tcPr>
            <w:tcW w:w="1171" w:type="dxa"/>
            <w:tcBorders>
              <w:top w:val="single" w:sz="8" w:space="0" w:color="009649"/>
              <w:bottom w:val="single" w:sz="8" w:space="0" w:color="009649"/>
            </w:tcBorders>
            <w:shd w:val="clear" w:color="auto" w:fill="FFFFFF"/>
            <w:vAlign w:val="center"/>
          </w:tcPr>
          <w:p w:rsidR="00ED665B" w:rsidRPr="00907702" w:rsidRDefault="00A12C02" w:rsidP="00A12C02">
            <w:pPr>
              <w:ind w:left="29"/>
              <w:jc w:val="center"/>
              <w:rPr>
                <w:rFonts w:ascii="Calibri" w:hAnsi="Calibri" w:cs="Calibri"/>
              </w:rPr>
            </w:pPr>
            <w:r>
              <w:rPr>
                <w:rFonts w:ascii="Calibri" w:hAnsi="Calibri"/>
                <w:color w:val="000000"/>
              </w:rPr>
              <w:t>Se: 0,89</w:t>
            </w:r>
          </w:p>
        </w:tc>
        <w:tc>
          <w:tcPr>
            <w:tcW w:w="1301" w:type="dxa"/>
            <w:tcBorders>
              <w:top w:val="single" w:sz="8" w:space="0" w:color="009649"/>
              <w:bottom w:val="single" w:sz="8" w:space="0" w:color="009649"/>
            </w:tcBorders>
            <w:shd w:val="clear" w:color="auto" w:fill="FFFFFF"/>
            <w:vAlign w:val="center"/>
          </w:tcPr>
          <w:p w:rsidR="00ED665B" w:rsidRPr="00907702" w:rsidRDefault="00A12C02" w:rsidP="00A12C02">
            <w:pPr>
              <w:ind w:left="29"/>
              <w:jc w:val="center"/>
              <w:rPr>
                <w:rFonts w:ascii="Calibri" w:hAnsi="Calibri" w:cs="Calibri"/>
              </w:rPr>
            </w:pPr>
            <w:r>
              <w:rPr>
                <w:rFonts w:ascii="Calibri" w:hAnsi="Calibri"/>
                <w:color w:val="000000"/>
              </w:rPr>
              <w:t>14 (627)</w:t>
            </w:r>
          </w:p>
        </w:tc>
        <w:tc>
          <w:tcPr>
            <w:tcW w:w="1766" w:type="dxa"/>
            <w:tcBorders>
              <w:top w:val="single" w:sz="8" w:space="0" w:color="009649"/>
              <w:left w:val="nil"/>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Помірна</w:t>
            </w:r>
          </w:p>
        </w:tc>
        <w:tc>
          <w:tcPr>
            <w:tcW w:w="2232"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22/ХН: 3</w:t>
            </w:r>
          </w:p>
        </w:tc>
        <w:tc>
          <w:tcPr>
            <w:tcW w:w="1954" w:type="dxa"/>
            <w:tcBorders>
              <w:top w:val="single" w:sz="8" w:space="0" w:color="009649"/>
              <w:left w:val="nil"/>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89 / ХН:11</w:t>
            </w:r>
          </w:p>
        </w:tc>
        <w:tc>
          <w:tcPr>
            <w:tcW w:w="2616"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177/ХН: 23</w:t>
            </w:r>
          </w:p>
        </w:tc>
      </w:tr>
      <w:tr w:rsidR="00ED665B" w:rsidRPr="00907702" w:rsidTr="00A12C02">
        <w:trPr>
          <w:trHeight w:hRule="exact" w:val="408"/>
        </w:trPr>
        <w:tc>
          <w:tcPr>
            <w:tcW w:w="3005" w:type="dxa"/>
            <w:vMerge/>
            <w:tcBorders>
              <w:top w:val="single" w:sz="8" w:space="0" w:color="009649"/>
              <w:bottom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171"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Sp: 0,86</w:t>
            </w:r>
          </w:p>
        </w:tc>
        <w:tc>
          <w:tcPr>
            <w:tcW w:w="1301"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14 (961)</w:t>
            </w:r>
          </w:p>
        </w:tc>
        <w:tc>
          <w:tcPr>
            <w:tcW w:w="1766" w:type="dxa"/>
            <w:tcBorders>
              <w:top w:val="single" w:sz="8" w:space="0" w:color="009649"/>
              <w:left w:val="nil"/>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Дуже низька</w:t>
            </w:r>
          </w:p>
        </w:tc>
        <w:tc>
          <w:tcPr>
            <w:tcW w:w="2232"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839 / ХП: 136</w:t>
            </w:r>
          </w:p>
        </w:tc>
        <w:tc>
          <w:tcPr>
            <w:tcW w:w="1954" w:type="dxa"/>
            <w:tcBorders>
              <w:top w:val="single" w:sz="8" w:space="0" w:color="009649"/>
              <w:left w:val="nil"/>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774 / ХП:126</w:t>
            </w:r>
          </w:p>
        </w:tc>
        <w:tc>
          <w:tcPr>
            <w:tcW w:w="2616" w:type="dxa"/>
            <w:tcBorders>
              <w:top w:val="single" w:sz="8" w:space="0" w:color="009649"/>
              <w:bottom w:val="single" w:sz="8" w:space="0" w:color="009649"/>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688 / ХП:112</w:t>
            </w:r>
          </w:p>
        </w:tc>
      </w:tr>
    </w:tbl>
    <w:p w:rsidR="00ED665B" w:rsidRPr="00907702" w:rsidRDefault="00ED665B" w:rsidP="00DC2656">
      <w:pPr>
        <w:rPr>
          <w:rFonts w:ascii="Calibri" w:hAnsi="Calibri" w:cs="Calibri"/>
        </w:rPr>
        <w:sectPr w:rsidR="00ED665B" w:rsidRPr="00907702" w:rsidSect="005E185E">
          <w:pgSz w:w="16838" w:h="11904" w:orient="landscape"/>
          <w:pgMar w:top="1397" w:right="1406" w:bottom="426" w:left="1387" w:header="720" w:footer="720" w:gutter="0"/>
          <w:cols w:space="60"/>
          <w:noEndnote/>
        </w:sectPr>
      </w:pPr>
    </w:p>
    <w:tbl>
      <w:tblPr>
        <w:tblW w:w="14016" w:type="dxa"/>
        <w:tblInd w:w="40" w:type="dxa"/>
        <w:tblLayout w:type="fixed"/>
        <w:tblCellMar>
          <w:left w:w="40" w:type="dxa"/>
          <w:right w:w="40" w:type="dxa"/>
        </w:tblCellMar>
        <w:tblLook w:val="0000" w:firstRow="0" w:lastRow="0" w:firstColumn="0" w:lastColumn="0" w:noHBand="0" w:noVBand="0"/>
      </w:tblPr>
      <w:tblGrid>
        <w:gridCol w:w="2976"/>
        <w:gridCol w:w="1171"/>
        <w:gridCol w:w="1301"/>
        <w:gridCol w:w="1766"/>
        <w:gridCol w:w="2232"/>
        <w:gridCol w:w="1954"/>
        <w:gridCol w:w="2616"/>
      </w:tblGrid>
      <w:tr w:rsidR="00ED665B" w:rsidRPr="00907702" w:rsidTr="008E12CA">
        <w:trPr>
          <w:trHeight w:hRule="exact" w:val="619"/>
        </w:trPr>
        <w:tc>
          <w:tcPr>
            <w:tcW w:w="297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ind w:left="19"/>
              <w:rPr>
                <w:rFonts w:ascii="Calibri" w:hAnsi="Calibri" w:cs="Calibri"/>
                <w:b/>
              </w:rPr>
            </w:pPr>
            <w:r w:rsidRPr="008E12CA">
              <w:rPr>
                <w:rFonts w:ascii="Calibri" w:hAnsi="Calibri"/>
                <w:b/>
                <w:color w:val="000000"/>
              </w:rPr>
              <w:lastRenderedPageBreak/>
              <w:t>Популяція пацієнтів</w:t>
            </w:r>
          </w:p>
        </w:tc>
        <w:tc>
          <w:tcPr>
            <w:tcW w:w="1171"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ind w:left="67" w:right="58"/>
              <w:jc w:val="center"/>
              <w:rPr>
                <w:rFonts w:ascii="Calibri" w:hAnsi="Calibri" w:cs="Calibri"/>
                <w:b/>
              </w:rPr>
            </w:pPr>
            <w:r w:rsidRPr="008E12CA">
              <w:rPr>
                <w:rFonts w:ascii="Calibri" w:hAnsi="Calibri"/>
                <w:b/>
                <w:color w:val="000000"/>
              </w:rPr>
              <w:t>Точність тесту</w:t>
            </w:r>
          </w:p>
        </w:tc>
        <w:tc>
          <w:tcPr>
            <w:tcW w:w="1301"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ind w:left="96" w:right="96"/>
              <w:jc w:val="center"/>
              <w:rPr>
                <w:rFonts w:ascii="Calibri" w:hAnsi="Calibri" w:cs="Calibri"/>
                <w:b/>
              </w:rPr>
            </w:pPr>
            <w:r w:rsidRPr="008E12CA">
              <w:rPr>
                <w:rFonts w:ascii="Calibri" w:hAnsi="Calibri"/>
                <w:b/>
                <w:color w:val="000000"/>
              </w:rPr>
              <w:t>Дослідження (осіб)</w:t>
            </w:r>
          </w:p>
        </w:tc>
        <w:tc>
          <w:tcPr>
            <w:tcW w:w="176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ind w:left="206" w:right="197"/>
              <w:jc w:val="center"/>
              <w:rPr>
                <w:rFonts w:ascii="Calibri" w:hAnsi="Calibri" w:cs="Calibri"/>
                <w:b/>
              </w:rPr>
            </w:pPr>
            <w:r w:rsidRPr="008E12CA">
              <w:rPr>
                <w:rFonts w:ascii="Calibri" w:hAnsi="Calibri"/>
                <w:b/>
                <w:color w:val="000000"/>
              </w:rPr>
              <w:t>Достовірність даних</w:t>
            </w:r>
          </w:p>
        </w:tc>
        <w:tc>
          <w:tcPr>
            <w:tcW w:w="223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jc w:val="center"/>
              <w:rPr>
                <w:rFonts w:ascii="Calibri" w:hAnsi="Calibri" w:cs="Calibri"/>
                <w:b/>
              </w:rPr>
            </w:pPr>
            <w:r w:rsidRPr="008E12CA">
              <w:rPr>
                <w:rFonts w:ascii="Calibri" w:hAnsi="Calibri"/>
                <w:b/>
                <w:color w:val="000000"/>
              </w:rPr>
              <w:t>Поширеність 2,5%</w:t>
            </w:r>
          </w:p>
        </w:tc>
        <w:tc>
          <w:tcPr>
            <w:tcW w:w="195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jc w:val="center"/>
              <w:rPr>
                <w:rFonts w:ascii="Calibri" w:hAnsi="Calibri" w:cs="Calibri"/>
                <w:b/>
              </w:rPr>
            </w:pPr>
            <w:r w:rsidRPr="008E12CA">
              <w:rPr>
                <w:rFonts w:ascii="Calibri" w:hAnsi="Calibri"/>
                <w:b/>
                <w:color w:val="000000"/>
              </w:rPr>
              <w:t>Поширеність 10%</w:t>
            </w:r>
          </w:p>
        </w:tc>
        <w:tc>
          <w:tcPr>
            <w:tcW w:w="261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jc w:val="center"/>
              <w:rPr>
                <w:rFonts w:ascii="Calibri" w:hAnsi="Calibri" w:cs="Calibri"/>
                <w:b/>
              </w:rPr>
            </w:pPr>
            <w:r w:rsidRPr="008E12CA">
              <w:rPr>
                <w:rFonts w:ascii="Calibri" w:hAnsi="Calibri"/>
                <w:b/>
                <w:color w:val="000000"/>
              </w:rPr>
              <w:t>Поширеність 20%</w:t>
            </w:r>
          </w:p>
        </w:tc>
      </w:tr>
      <w:tr w:rsidR="008E12CA" w:rsidRPr="00907702" w:rsidTr="008E12CA">
        <w:trPr>
          <w:trHeight w:val="340"/>
        </w:trPr>
        <w:tc>
          <w:tcPr>
            <w:tcW w:w="2976" w:type="dxa"/>
            <w:vMerge w:val="restart"/>
            <w:tcBorders>
              <w:top w:val="single" w:sz="8" w:space="0" w:color="009649"/>
              <w:left w:val="nil"/>
              <w:right w:val="nil"/>
            </w:tcBorders>
            <w:shd w:val="clear" w:color="auto" w:fill="FFFFFF"/>
            <w:vAlign w:val="center"/>
          </w:tcPr>
          <w:p w:rsidR="008E12CA" w:rsidRPr="00406A04" w:rsidRDefault="008E12CA" w:rsidP="00A12C02">
            <w:pPr>
              <w:rPr>
                <w:rFonts w:ascii="Calibri" w:hAnsi="Calibri" w:cs="Calibri"/>
                <w:b/>
              </w:rPr>
            </w:pPr>
            <w:r w:rsidRPr="00406A04">
              <w:rPr>
                <w:rFonts w:ascii="Calibri" w:hAnsi="Calibri"/>
                <w:b/>
                <w:color w:val="000000"/>
              </w:rPr>
              <w:t>LNA, СРС у дорослих</w:t>
            </w: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Se: 0,81</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4 (377)</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20/ХН: 5</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81/ХН: 19</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162/ХН: 38</w:t>
            </w:r>
          </w:p>
        </w:tc>
      </w:tr>
      <w:tr w:rsidR="008E12CA" w:rsidRPr="00907702" w:rsidTr="008E12CA">
        <w:trPr>
          <w:trHeight w:val="340"/>
        </w:trPr>
        <w:tc>
          <w:tcPr>
            <w:tcW w:w="2976" w:type="dxa"/>
            <w:vMerge/>
            <w:tcBorders>
              <w:left w:val="nil"/>
              <w:bottom w:val="single" w:sz="8" w:space="0" w:color="009649"/>
              <w:right w:val="nil"/>
            </w:tcBorders>
            <w:shd w:val="clear" w:color="auto" w:fill="FFFFFF"/>
            <w:vAlign w:val="center"/>
          </w:tcPr>
          <w:p w:rsidR="008E12CA" w:rsidRPr="00406A04"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Sp: 0,96</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4 (302)</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935 / ХП: 40</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863 / ХП: 37</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767 / ХП:33</w:t>
            </w:r>
          </w:p>
        </w:tc>
      </w:tr>
      <w:tr w:rsidR="008E12CA" w:rsidRPr="00907702" w:rsidTr="008E12CA">
        <w:trPr>
          <w:trHeight w:val="340"/>
        </w:trPr>
        <w:tc>
          <w:tcPr>
            <w:tcW w:w="2976" w:type="dxa"/>
            <w:vMerge w:val="restart"/>
            <w:tcBorders>
              <w:top w:val="single" w:sz="8" w:space="0" w:color="009649"/>
              <w:left w:val="nil"/>
              <w:right w:val="nil"/>
            </w:tcBorders>
            <w:shd w:val="clear" w:color="auto" w:fill="FFFFFF"/>
            <w:vAlign w:val="center"/>
          </w:tcPr>
          <w:p w:rsidR="008E12CA" w:rsidRPr="00406A04" w:rsidRDefault="008E12CA" w:rsidP="00A12C02">
            <w:pPr>
              <w:rPr>
                <w:rFonts w:ascii="Calibri" w:hAnsi="Calibri" w:cs="Calibri"/>
                <w:b/>
              </w:rPr>
            </w:pPr>
            <w:r w:rsidRPr="00406A04">
              <w:rPr>
                <w:rFonts w:ascii="Calibri" w:hAnsi="Calibri"/>
                <w:b/>
                <w:color w:val="000000"/>
              </w:rPr>
              <w:t>LNB, МРС у дорослих</w:t>
            </w: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Se: 0,82</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11 (220)</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21/ХН: 4</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82/ХН: 18</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164/ХН: 36</w:t>
            </w:r>
          </w:p>
        </w:tc>
      </w:tr>
      <w:tr w:rsidR="008E12CA" w:rsidRPr="00907702" w:rsidTr="008E12CA">
        <w:trPr>
          <w:trHeight w:val="340"/>
        </w:trPr>
        <w:tc>
          <w:tcPr>
            <w:tcW w:w="2976" w:type="dxa"/>
            <w:vMerge/>
            <w:tcBorders>
              <w:left w:val="nil"/>
              <w:bottom w:val="single" w:sz="8" w:space="0" w:color="009649"/>
              <w:right w:val="nil"/>
            </w:tcBorders>
            <w:shd w:val="clear" w:color="auto" w:fill="FFFFFF"/>
            <w:vAlign w:val="center"/>
          </w:tcPr>
          <w:p w:rsidR="008E12CA" w:rsidRPr="00406A04"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Sp: 0,79</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11 (566)</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773 / ХП: 202</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714 / ХП:186</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634 / ХП:166</w:t>
            </w:r>
          </w:p>
        </w:tc>
      </w:tr>
      <w:tr w:rsidR="008E12CA" w:rsidRPr="00907702" w:rsidTr="008E12CA">
        <w:trPr>
          <w:trHeight w:val="340"/>
        </w:trPr>
        <w:tc>
          <w:tcPr>
            <w:tcW w:w="2976" w:type="dxa"/>
            <w:vMerge w:val="restart"/>
            <w:tcBorders>
              <w:top w:val="single" w:sz="8" w:space="0" w:color="009649"/>
              <w:left w:val="nil"/>
              <w:right w:val="nil"/>
            </w:tcBorders>
            <w:shd w:val="clear" w:color="auto" w:fill="FFFFFF"/>
            <w:vAlign w:val="center"/>
          </w:tcPr>
          <w:p w:rsidR="008E12CA" w:rsidRPr="00406A04" w:rsidRDefault="008E12CA" w:rsidP="00A12C02">
            <w:pPr>
              <w:rPr>
                <w:rFonts w:ascii="Calibri" w:hAnsi="Calibri" w:cs="Calibri"/>
                <w:b/>
              </w:rPr>
            </w:pPr>
            <w:r w:rsidRPr="00406A04">
              <w:rPr>
                <w:rFonts w:ascii="Calibri" w:hAnsi="Calibri"/>
                <w:b/>
                <w:color w:val="000000"/>
              </w:rPr>
              <w:t>Дорослі, плевральна рідина, МРС</w:t>
            </w: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Se: 0,50</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24 (589)</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12/ХН: 13</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50/ХН: 50</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99/ХН: 101</w:t>
            </w:r>
          </w:p>
        </w:tc>
      </w:tr>
      <w:tr w:rsidR="008E12CA" w:rsidRPr="00907702" w:rsidTr="008E12CA">
        <w:trPr>
          <w:trHeight w:val="340"/>
        </w:trPr>
        <w:tc>
          <w:tcPr>
            <w:tcW w:w="2976" w:type="dxa"/>
            <w:vMerge/>
            <w:tcBorders>
              <w:left w:val="nil"/>
              <w:bottom w:val="single" w:sz="8" w:space="0" w:color="009649"/>
              <w:right w:val="nil"/>
            </w:tcBorders>
            <w:shd w:val="clear" w:color="auto" w:fill="FFFFFF"/>
            <w:vAlign w:val="center"/>
          </w:tcPr>
          <w:p w:rsidR="008E12CA" w:rsidRPr="00406A04"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Sp: 0,99</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24 (2337)</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Висока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962 / ХП: 13</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888 / ХП: 12</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790 / ХП: 10</w:t>
            </w:r>
          </w:p>
        </w:tc>
      </w:tr>
      <w:tr w:rsidR="008E12CA" w:rsidRPr="00907702" w:rsidTr="008E12CA">
        <w:trPr>
          <w:trHeight w:val="340"/>
        </w:trPr>
        <w:tc>
          <w:tcPr>
            <w:tcW w:w="2976" w:type="dxa"/>
            <w:vMerge w:val="restart"/>
            <w:tcBorders>
              <w:top w:val="single" w:sz="8" w:space="0" w:color="009649"/>
              <w:left w:val="nil"/>
              <w:right w:val="nil"/>
            </w:tcBorders>
            <w:shd w:val="clear" w:color="auto" w:fill="FFFFFF"/>
            <w:vAlign w:val="center"/>
          </w:tcPr>
          <w:p w:rsidR="008E12CA" w:rsidRPr="00406A04" w:rsidRDefault="008E12CA" w:rsidP="00A12C02">
            <w:pPr>
              <w:rPr>
                <w:rFonts w:ascii="Calibri" w:hAnsi="Calibri" w:cs="Calibri"/>
                <w:b/>
              </w:rPr>
            </w:pPr>
            <w:r w:rsidRPr="00406A04">
              <w:rPr>
                <w:rFonts w:ascii="Calibri" w:hAnsi="Calibri"/>
                <w:b/>
                <w:color w:val="000000"/>
              </w:rPr>
              <w:t>Дорослі, плевральна рідина, СРС</w:t>
            </w: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Se: 0,19</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10 (616)</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Помірна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5/ХН: 20</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19/ХН: 81</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39/ХН: 161</w:t>
            </w:r>
          </w:p>
        </w:tc>
      </w:tr>
      <w:tr w:rsidR="008E12CA" w:rsidRPr="00907702" w:rsidTr="008E12CA">
        <w:trPr>
          <w:trHeight w:val="340"/>
        </w:trPr>
        <w:tc>
          <w:tcPr>
            <w:tcW w:w="2976" w:type="dxa"/>
            <w:vMerge/>
            <w:tcBorders>
              <w:left w:val="nil"/>
              <w:bottom w:val="single" w:sz="8" w:space="0" w:color="009649"/>
              <w:right w:val="nil"/>
            </w:tcBorders>
            <w:shd w:val="clear" w:color="auto" w:fill="FFFFFF"/>
            <w:vAlign w:val="center"/>
          </w:tcPr>
          <w:p w:rsidR="008E12CA" w:rsidRPr="00406A04"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Sp: 0,99</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10 (408)</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Висока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964 / ХП: 11</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890 / ХП: 10</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791 / ХП: 9</w:t>
            </w:r>
          </w:p>
        </w:tc>
      </w:tr>
      <w:tr w:rsidR="008E12CA" w:rsidRPr="00907702" w:rsidTr="008E12CA">
        <w:trPr>
          <w:trHeight w:val="340"/>
        </w:trPr>
        <w:tc>
          <w:tcPr>
            <w:tcW w:w="2976" w:type="dxa"/>
            <w:vMerge w:val="restart"/>
            <w:tcBorders>
              <w:top w:val="single" w:sz="8" w:space="0" w:color="009649"/>
              <w:left w:val="nil"/>
              <w:right w:val="nil"/>
            </w:tcBorders>
            <w:shd w:val="clear" w:color="auto" w:fill="FFFFFF"/>
            <w:vAlign w:val="center"/>
          </w:tcPr>
          <w:p w:rsidR="008E12CA" w:rsidRPr="00406A04" w:rsidRDefault="008E12CA" w:rsidP="00A12C02">
            <w:pPr>
              <w:ind w:right="456"/>
              <w:rPr>
                <w:rFonts w:ascii="Calibri" w:hAnsi="Calibri" w:cs="Calibri"/>
                <w:b/>
              </w:rPr>
            </w:pPr>
            <w:r w:rsidRPr="00406A04">
              <w:rPr>
                <w:rFonts w:ascii="Calibri" w:hAnsi="Calibri"/>
                <w:b/>
                <w:color w:val="000000"/>
              </w:rPr>
              <w:t>Дорослі, перитонеальна рідина, МРС</w:t>
            </w: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Se: 0,59</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13 (94)</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15/ХН: 10</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59/ХН: 41</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118/ХН: 82</w:t>
            </w:r>
          </w:p>
        </w:tc>
      </w:tr>
      <w:tr w:rsidR="008E12CA" w:rsidRPr="00907702" w:rsidTr="008E12CA">
        <w:trPr>
          <w:trHeight w:val="340"/>
        </w:trPr>
        <w:tc>
          <w:tcPr>
            <w:tcW w:w="2976" w:type="dxa"/>
            <w:vMerge/>
            <w:tcBorders>
              <w:left w:val="nil"/>
              <w:bottom w:val="single" w:sz="8" w:space="0" w:color="009649"/>
              <w:right w:val="nil"/>
            </w:tcBorders>
            <w:shd w:val="clear" w:color="auto" w:fill="FFFFFF"/>
            <w:vAlign w:val="center"/>
          </w:tcPr>
          <w:p w:rsidR="008E12CA" w:rsidRPr="00406A04"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Sp: 0,97</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13 (486)</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Висока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949 / ХП: 26</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876 / ХП: 24</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778 / ХП: 22</w:t>
            </w:r>
          </w:p>
        </w:tc>
      </w:tr>
      <w:tr w:rsidR="008E12CA" w:rsidRPr="00907702" w:rsidTr="008E12CA">
        <w:trPr>
          <w:trHeight w:val="340"/>
        </w:trPr>
        <w:tc>
          <w:tcPr>
            <w:tcW w:w="2976" w:type="dxa"/>
            <w:vMerge w:val="restart"/>
            <w:tcBorders>
              <w:top w:val="single" w:sz="8" w:space="0" w:color="009649"/>
              <w:left w:val="nil"/>
              <w:right w:val="nil"/>
            </w:tcBorders>
            <w:shd w:val="clear" w:color="auto" w:fill="FFFFFF"/>
            <w:vAlign w:val="center"/>
          </w:tcPr>
          <w:p w:rsidR="008E12CA" w:rsidRPr="00406A04" w:rsidRDefault="008E12CA" w:rsidP="00A12C02">
            <w:pPr>
              <w:ind w:right="432"/>
              <w:rPr>
                <w:rFonts w:ascii="Calibri" w:hAnsi="Calibri" w:cs="Calibri"/>
                <w:b/>
              </w:rPr>
            </w:pPr>
            <w:r w:rsidRPr="00406A04">
              <w:rPr>
                <w:rFonts w:ascii="Calibri" w:hAnsi="Calibri"/>
                <w:b/>
                <w:color w:val="000000"/>
              </w:rPr>
              <w:t>Дорослі, перикардіальна рідина, МРС</w:t>
            </w: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Se: 0,60</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5 (57)</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15/ХН: 10</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60 / ХН:40</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121/ХН: 79</w:t>
            </w:r>
          </w:p>
        </w:tc>
      </w:tr>
      <w:tr w:rsidR="008E12CA" w:rsidRPr="00907702" w:rsidTr="008E12CA">
        <w:trPr>
          <w:trHeight w:val="340"/>
        </w:trPr>
        <w:tc>
          <w:tcPr>
            <w:tcW w:w="2976" w:type="dxa"/>
            <w:vMerge/>
            <w:tcBorders>
              <w:left w:val="nil"/>
              <w:bottom w:val="single" w:sz="8" w:space="0" w:color="009649"/>
              <w:right w:val="nil"/>
            </w:tcBorders>
            <w:shd w:val="clear" w:color="auto" w:fill="FFFFFF"/>
            <w:vAlign w:val="center"/>
          </w:tcPr>
          <w:p w:rsidR="008E12CA" w:rsidRPr="00406A04"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Sp: 0,88</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5 (124)</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856 / ХП: 119</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790 / ХП:110</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702 / ХП: 98</w:t>
            </w:r>
          </w:p>
        </w:tc>
      </w:tr>
      <w:tr w:rsidR="008E12CA" w:rsidRPr="00907702" w:rsidTr="008E12CA">
        <w:trPr>
          <w:trHeight w:val="340"/>
        </w:trPr>
        <w:tc>
          <w:tcPr>
            <w:tcW w:w="2976" w:type="dxa"/>
            <w:vMerge w:val="restart"/>
            <w:tcBorders>
              <w:top w:val="single" w:sz="8" w:space="0" w:color="009649"/>
              <w:left w:val="nil"/>
              <w:right w:val="nil"/>
            </w:tcBorders>
            <w:shd w:val="clear" w:color="auto" w:fill="FFFFFF"/>
            <w:vAlign w:val="center"/>
          </w:tcPr>
          <w:p w:rsidR="008E12CA" w:rsidRPr="00406A04" w:rsidRDefault="008E12CA" w:rsidP="00A12C02">
            <w:pPr>
              <w:rPr>
                <w:rFonts w:ascii="Calibri" w:hAnsi="Calibri" w:cs="Calibri"/>
                <w:b/>
              </w:rPr>
            </w:pPr>
            <w:r w:rsidRPr="00406A04">
              <w:rPr>
                <w:rFonts w:ascii="Calibri" w:hAnsi="Calibri"/>
                <w:b/>
                <w:color w:val="000000"/>
              </w:rPr>
              <w:t>Дорослі, перикардіальна рідина, СРС</w:t>
            </w: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Se: 0,66</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2 (60)</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16/ХН: 9</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66/ХН: 34</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132/ХН: 68</w:t>
            </w:r>
          </w:p>
        </w:tc>
      </w:tr>
      <w:tr w:rsidR="008E12CA" w:rsidRPr="00907702" w:rsidTr="008E12CA">
        <w:trPr>
          <w:trHeight w:val="340"/>
        </w:trPr>
        <w:tc>
          <w:tcPr>
            <w:tcW w:w="2976" w:type="dxa"/>
            <w:vMerge/>
            <w:tcBorders>
              <w:left w:val="nil"/>
              <w:bottom w:val="single" w:sz="8" w:space="0" w:color="009649"/>
              <w:right w:val="nil"/>
            </w:tcBorders>
            <w:shd w:val="clear" w:color="auto" w:fill="FFFFFF"/>
            <w:vAlign w:val="center"/>
          </w:tcPr>
          <w:p w:rsidR="008E12CA" w:rsidRPr="00406A04"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Sp: 0,96</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2 (17)</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936 / ХП:39</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864 / ХП: 36</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768 / ХП: 32</w:t>
            </w:r>
          </w:p>
        </w:tc>
      </w:tr>
      <w:tr w:rsidR="008E12CA" w:rsidRPr="00907702" w:rsidTr="008E12CA">
        <w:trPr>
          <w:trHeight w:val="340"/>
        </w:trPr>
        <w:tc>
          <w:tcPr>
            <w:tcW w:w="2976" w:type="dxa"/>
            <w:vMerge w:val="restart"/>
            <w:tcBorders>
              <w:top w:val="single" w:sz="8" w:space="0" w:color="009649"/>
              <w:left w:val="nil"/>
              <w:right w:val="nil"/>
            </w:tcBorders>
            <w:shd w:val="clear" w:color="auto" w:fill="FFFFFF"/>
            <w:vAlign w:val="center"/>
          </w:tcPr>
          <w:p w:rsidR="008E12CA" w:rsidRPr="00406A04" w:rsidRDefault="008E12CA" w:rsidP="00A12C02">
            <w:pPr>
              <w:rPr>
                <w:rFonts w:ascii="Calibri" w:hAnsi="Calibri" w:cs="Calibri"/>
                <w:b/>
              </w:rPr>
            </w:pPr>
            <w:r w:rsidRPr="00406A04">
              <w:rPr>
                <w:rFonts w:ascii="Calibri" w:hAnsi="Calibri"/>
                <w:b/>
                <w:color w:val="000000"/>
              </w:rPr>
              <w:t>Сеча, МРС у дорослих</w:t>
            </w: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Se: 0,85</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9 (72)</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21/ХН: 4</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85/ХН: 15</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169/ХН: 31</w:t>
            </w:r>
          </w:p>
        </w:tc>
      </w:tr>
      <w:tr w:rsidR="008E12CA" w:rsidRPr="00907702" w:rsidTr="008E12CA">
        <w:trPr>
          <w:trHeight w:val="340"/>
        </w:trPr>
        <w:tc>
          <w:tcPr>
            <w:tcW w:w="2976" w:type="dxa"/>
            <w:vMerge/>
            <w:tcBorders>
              <w:left w:val="nil"/>
              <w:bottom w:val="single" w:sz="8" w:space="0" w:color="009649"/>
              <w:right w:val="nil"/>
            </w:tcBorders>
            <w:shd w:val="clear" w:color="auto" w:fill="FFFFFF"/>
            <w:vAlign w:val="center"/>
          </w:tcPr>
          <w:p w:rsidR="008E12CA" w:rsidRPr="00406A04"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Sp: 0,97</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9 (871)</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Помірна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949 / ХП: 26</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876 / ХП: 24</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778 / ХП: 22</w:t>
            </w:r>
          </w:p>
        </w:tc>
      </w:tr>
      <w:tr w:rsidR="008E12CA" w:rsidRPr="00907702" w:rsidTr="008E12CA">
        <w:trPr>
          <w:trHeight w:val="340"/>
        </w:trPr>
        <w:tc>
          <w:tcPr>
            <w:tcW w:w="2976" w:type="dxa"/>
            <w:vMerge w:val="restart"/>
            <w:tcBorders>
              <w:top w:val="single" w:sz="8" w:space="0" w:color="009649"/>
              <w:left w:val="nil"/>
              <w:right w:val="nil"/>
            </w:tcBorders>
            <w:shd w:val="clear" w:color="auto" w:fill="FFFFFF"/>
            <w:vAlign w:val="center"/>
          </w:tcPr>
          <w:p w:rsidR="008E12CA" w:rsidRPr="00406A04" w:rsidRDefault="008E12CA" w:rsidP="00A12C02">
            <w:pPr>
              <w:rPr>
                <w:rFonts w:ascii="Calibri" w:hAnsi="Calibri" w:cs="Calibri"/>
                <w:b/>
              </w:rPr>
            </w:pPr>
            <w:r w:rsidRPr="00406A04">
              <w:rPr>
                <w:rFonts w:ascii="Calibri" w:hAnsi="Calibri"/>
                <w:b/>
                <w:color w:val="000000"/>
              </w:rPr>
              <w:t>Дорослі, синовіальна рідина, МРС</w:t>
            </w: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Se: 0,97</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6 (110)</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Помірна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24/ХН: 1</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97/ХН: 3</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194/ХН: 6</w:t>
            </w:r>
          </w:p>
        </w:tc>
      </w:tr>
      <w:tr w:rsidR="008E12CA" w:rsidRPr="00907702" w:rsidTr="008E12CA">
        <w:trPr>
          <w:trHeight w:val="340"/>
        </w:trPr>
        <w:tc>
          <w:tcPr>
            <w:tcW w:w="2976" w:type="dxa"/>
            <w:vMerge/>
            <w:tcBorders>
              <w:left w:val="nil"/>
              <w:bottom w:val="single" w:sz="8" w:space="0" w:color="009649"/>
              <w:right w:val="nil"/>
            </w:tcBorders>
            <w:shd w:val="clear" w:color="auto" w:fill="FFFFFF"/>
            <w:vAlign w:val="center"/>
          </w:tcPr>
          <w:p w:rsidR="008E12CA" w:rsidRPr="00406A04"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Sp: 0,94</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6 (361)</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914 / ХП: 61</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843 / ХП: 57</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750 / ХП: 50</w:t>
            </w:r>
          </w:p>
        </w:tc>
      </w:tr>
      <w:tr w:rsidR="008E12CA" w:rsidRPr="00907702" w:rsidTr="008E12CA">
        <w:trPr>
          <w:trHeight w:val="340"/>
        </w:trPr>
        <w:tc>
          <w:tcPr>
            <w:tcW w:w="2976" w:type="dxa"/>
            <w:vMerge w:val="restart"/>
            <w:tcBorders>
              <w:top w:val="single" w:sz="8" w:space="0" w:color="009649"/>
              <w:left w:val="nil"/>
              <w:right w:val="nil"/>
            </w:tcBorders>
            <w:shd w:val="clear" w:color="auto" w:fill="FFFFFF"/>
            <w:vAlign w:val="center"/>
          </w:tcPr>
          <w:p w:rsidR="008E12CA" w:rsidRPr="00406A04" w:rsidRDefault="008E12CA" w:rsidP="00A12C02">
            <w:pPr>
              <w:rPr>
                <w:rFonts w:ascii="Calibri" w:hAnsi="Calibri" w:cs="Calibri"/>
                <w:b/>
              </w:rPr>
            </w:pPr>
            <w:r w:rsidRPr="00406A04">
              <w:rPr>
                <w:rFonts w:ascii="Calibri" w:hAnsi="Calibri"/>
                <w:b/>
                <w:color w:val="000000"/>
              </w:rPr>
              <w:t>Дорослі, синовіальна рідина, СРС</w:t>
            </w: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Se: 0,88</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2 (161)</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Низькі</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22/ХН: 3</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88/ХН: 12</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177/ХН: 23</w:t>
            </w:r>
          </w:p>
        </w:tc>
      </w:tr>
      <w:tr w:rsidR="008E12CA" w:rsidRPr="00907702" w:rsidTr="008E12CA">
        <w:trPr>
          <w:trHeight w:val="340"/>
        </w:trPr>
        <w:tc>
          <w:tcPr>
            <w:tcW w:w="2976" w:type="dxa"/>
            <w:vMerge/>
            <w:tcBorders>
              <w:left w:val="nil"/>
              <w:bottom w:val="single" w:sz="8" w:space="0" w:color="009649"/>
              <w:right w:val="nil"/>
            </w:tcBorders>
            <w:shd w:val="clear" w:color="auto" w:fill="FFFFFF"/>
            <w:vAlign w:val="center"/>
          </w:tcPr>
          <w:p w:rsidR="008E12CA" w:rsidRPr="00406A04" w:rsidRDefault="008E12CA" w:rsidP="00A12C02">
            <w:pPr>
              <w:rPr>
                <w:rFonts w:ascii="Calibri" w:hAnsi="Calibri" w:cs="Calibri"/>
                <w:b/>
              </w:rPr>
            </w:pP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Sp: 0,98</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2 (44)</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955 / ХП: 20</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881 / ХП: 19</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783 / ХП: 17</w:t>
            </w:r>
          </w:p>
        </w:tc>
      </w:tr>
      <w:tr w:rsidR="008E12CA" w:rsidRPr="00907702" w:rsidTr="008E12CA">
        <w:trPr>
          <w:trHeight w:val="340"/>
        </w:trPr>
        <w:tc>
          <w:tcPr>
            <w:tcW w:w="2976" w:type="dxa"/>
            <w:vMerge w:val="restart"/>
            <w:tcBorders>
              <w:top w:val="single" w:sz="8" w:space="0" w:color="009649"/>
              <w:left w:val="nil"/>
              <w:right w:val="nil"/>
            </w:tcBorders>
            <w:shd w:val="clear" w:color="auto" w:fill="FFFFFF"/>
            <w:vAlign w:val="center"/>
          </w:tcPr>
          <w:p w:rsidR="008E12CA" w:rsidRPr="00406A04" w:rsidRDefault="008E12CA" w:rsidP="00A12C02">
            <w:pPr>
              <w:rPr>
                <w:rFonts w:ascii="Calibri" w:hAnsi="Calibri" w:cs="Calibri"/>
                <w:b/>
              </w:rPr>
            </w:pPr>
            <w:r w:rsidRPr="00406A04">
              <w:rPr>
                <w:rFonts w:ascii="Calibri" w:hAnsi="Calibri"/>
                <w:b/>
                <w:color w:val="000000"/>
              </w:rPr>
              <w:t>Дорослі, ВІЛ+, кров, МРС</w:t>
            </w: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Se: 0,56</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1 (9)</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14/ХН: 11</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56/ХН: 44</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ІП: 112/ХН: 88</w:t>
            </w:r>
          </w:p>
        </w:tc>
      </w:tr>
      <w:tr w:rsidR="008E12CA" w:rsidRPr="00907702" w:rsidTr="008E12CA">
        <w:trPr>
          <w:trHeight w:val="340"/>
        </w:trPr>
        <w:tc>
          <w:tcPr>
            <w:tcW w:w="2976" w:type="dxa"/>
            <w:vMerge/>
            <w:tcBorders>
              <w:left w:val="nil"/>
              <w:bottom w:val="single" w:sz="8" w:space="0" w:color="009649"/>
              <w:right w:val="nil"/>
            </w:tcBorders>
            <w:shd w:val="clear" w:color="auto" w:fill="FFFFFF"/>
            <w:vAlign w:val="center"/>
          </w:tcPr>
          <w:p w:rsidR="008E12CA" w:rsidRPr="00907702" w:rsidRDefault="008E12CA" w:rsidP="00A12C02">
            <w:pPr>
              <w:rPr>
                <w:rFonts w:ascii="Calibri" w:hAnsi="Calibri" w:cs="Calibri"/>
              </w:rPr>
            </w:pPr>
          </w:p>
        </w:tc>
        <w:tc>
          <w:tcPr>
            <w:tcW w:w="117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Sp: 0,94</w:t>
            </w:r>
          </w:p>
        </w:tc>
        <w:tc>
          <w:tcPr>
            <w:tcW w:w="1301"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1 (65)</w:t>
            </w:r>
          </w:p>
        </w:tc>
        <w:tc>
          <w:tcPr>
            <w:tcW w:w="176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Дуже низька</w:t>
            </w:r>
          </w:p>
        </w:tc>
        <w:tc>
          <w:tcPr>
            <w:tcW w:w="2232"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917 / ХП: 58</w:t>
            </w:r>
          </w:p>
        </w:tc>
        <w:tc>
          <w:tcPr>
            <w:tcW w:w="1954"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846 / ХП: 54</w:t>
            </w:r>
          </w:p>
        </w:tc>
        <w:tc>
          <w:tcPr>
            <w:tcW w:w="2616" w:type="dxa"/>
            <w:tcBorders>
              <w:top w:val="single" w:sz="8" w:space="0" w:color="009649"/>
              <w:left w:val="nil"/>
              <w:bottom w:val="single" w:sz="8" w:space="0" w:color="009649"/>
              <w:right w:val="nil"/>
            </w:tcBorders>
            <w:shd w:val="clear" w:color="auto" w:fill="FFFFFF"/>
            <w:vAlign w:val="center"/>
          </w:tcPr>
          <w:p w:rsidR="008E12CA" w:rsidRPr="00907702" w:rsidRDefault="008E12CA" w:rsidP="00A12C02">
            <w:pPr>
              <w:jc w:val="center"/>
              <w:rPr>
                <w:rFonts w:ascii="Calibri" w:hAnsi="Calibri" w:cs="Calibri"/>
              </w:rPr>
            </w:pPr>
            <w:r>
              <w:rPr>
                <w:rFonts w:ascii="Calibri" w:hAnsi="Calibri"/>
                <w:color w:val="000000"/>
              </w:rPr>
              <w:t>ІН: 752 / ХП: 48</w:t>
            </w:r>
          </w:p>
        </w:tc>
      </w:tr>
      <w:tr w:rsidR="00ED665B" w:rsidRPr="00907702" w:rsidTr="00D4245B">
        <w:trPr>
          <w:trHeight w:val="514"/>
        </w:trPr>
        <w:tc>
          <w:tcPr>
            <w:tcW w:w="14016" w:type="dxa"/>
            <w:gridSpan w:val="7"/>
            <w:tcBorders>
              <w:top w:val="single" w:sz="8" w:space="0" w:color="009649"/>
              <w:left w:val="nil"/>
              <w:bottom w:val="nil"/>
              <w:right w:val="nil"/>
            </w:tcBorders>
            <w:shd w:val="clear" w:color="auto" w:fill="FFFFFF"/>
            <w:vAlign w:val="center"/>
          </w:tcPr>
          <w:p w:rsidR="00ED665B" w:rsidRPr="00907702" w:rsidRDefault="006C7D2F" w:rsidP="00406A04">
            <w:pPr>
              <w:jc w:val="both"/>
              <w:rPr>
                <w:rFonts w:ascii="Calibri" w:hAnsi="Calibri" w:cs="Calibri"/>
              </w:rPr>
            </w:pPr>
            <w:r>
              <w:rPr>
                <w:rFonts w:ascii="Calibri" w:hAnsi="Calibri"/>
                <w:color w:val="000000"/>
                <w:sz w:val="16"/>
              </w:rPr>
              <w:t>СРС: складений референс стандарт; СМР: спинномозкова рідина; ХН: хибнонегативний; ХП: хибнопозитивний; ВІЛ+: позитивний ВІЛ-статус; LNA: аспірат лімфатичних вузлів; LNB: біопсія лімфатичних вузлів; МРС: мікробіологічний референс стандарт;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rsidR="00ED665B" w:rsidRPr="00907702" w:rsidRDefault="00ED665B" w:rsidP="00DC2656">
      <w:pPr>
        <w:rPr>
          <w:rFonts w:ascii="Calibri" w:hAnsi="Calibri" w:cs="Calibri"/>
        </w:rPr>
        <w:sectPr w:rsidR="00ED665B" w:rsidRPr="00907702" w:rsidSect="00670B1A">
          <w:pgSz w:w="16838" w:h="11904" w:orient="landscape"/>
          <w:pgMar w:top="1411" w:right="1406" w:bottom="284" w:left="1416" w:header="720" w:footer="113" w:gutter="0"/>
          <w:cols w:space="60"/>
          <w:noEndnote/>
          <w:docGrid w:linePitch="272"/>
        </w:sectPr>
      </w:pPr>
    </w:p>
    <w:tbl>
      <w:tblPr>
        <w:tblW w:w="0" w:type="auto"/>
        <w:tblInd w:w="40" w:type="dxa"/>
        <w:tblLayout w:type="fixed"/>
        <w:tblCellMar>
          <w:left w:w="40" w:type="dxa"/>
          <w:right w:w="40" w:type="dxa"/>
        </w:tblCellMar>
        <w:tblLook w:val="0000" w:firstRow="0" w:lastRow="0" w:firstColumn="0" w:lastColumn="0" w:noHBand="0" w:noVBand="0"/>
      </w:tblPr>
      <w:tblGrid>
        <w:gridCol w:w="3000"/>
        <w:gridCol w:w="1176"/>
        <w:gridCol w:w="1301"/>
        <w:gridCol w:w="1766"/>
        <w:gridCol w:w="2227"/>
        <w:gridCol w:w="1954"/>
        <w:gridCol w:w="2611"/>
      </w:tblGrid>
      <w:tr w:rsidR="00ED665B" w:rsidRPr="00A12C02" w:rsidTr="00A12C02">
        <w:trPr>
          <w:trHeight w:hRule="exact" w:val="758"/>
        </w:trPr>
        <w:tc>
          <w:tcPr>
            <w:tcW w:w="14035" w:type="dxa"/>
            <w:gridSpan w:val="7"/>
            <w:tcBorders>
              <w:top w:val="nil"/>
              <w:left w:val="nil"/>
              <w:bottom w:val="single" w:sz="8" w:space="0" w:color="009649"/>
              <w:right w:val="nil"/>
            </w:tcBorders>
            <w:shd w:val="clear" w:color="auto" w:fill="FFFFFF"/>
          </w:tcPr>
          <w:p w:rsidR="00ED665B" w:rsidRPr="00A12C02" w:rsidRDefault="006C7D2F" w:rsidP="00DC2656">
            <w:pPr>
              <w:ind w:right="1219"/>
              <w:rPr>
                <w:rFonts w:ascii="Calibri" w:hAnsi="Calibri" w:cs="Calibri"/>
                <w:b/>
                <w:bCs/>
              </w:rPr>
            </w:pPr>
            <w:r>
              <w:rPr>
                <w:rFonts w:ascii="Calibri" w:hAnsi="Calibri"/>
                <w:b/>
                <w:color w:val="636466"/>
                <w:sz w:val="24"/>
              </w:rPr>
              <w:lastRenderedPageBreak/>
              <w:t>Таблиця 2.1.10. PICO 3.1: Яка діагностична точність Xpert MTB/RIF щодо виявлення резистентності до рифампіцину у дорослих з позалегеневим ТБ у порівнянні з МРС?</w:t>
            </w:r>
          </w:p>
        </w:tc>
      </w:tr>
      <w:tr w:rsidR="00ED665B" w:rsidRPr="00907702" w:rsidTr="00A12C02">
        <w:trPr>
          <w:trHeight w:hRule="exact" w:val="662"/>
        </w:trPr>
        <w:tc>
          <w:tcPr>
            <w:tcW w:w="300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ind w:left="72"/>
              <w:rPr>
                <w:rFonts w:ascii="Calibri" w:hAnsi="Calibri" w:cs="Calibri"/>
                <w:b/>
              </w:rPr>
            </w:pPr>
            <w:r w:rsidRPr="008E12CA">
              <w:rPr>
                <w:rFonts w:ascii="Calibri" w:hAnsi="Calibri"/>
                <w:b/>
                <w:color w:val="000000"/>
              </w:rPr>
              <w:t>Популяція пацієнтів</w:t>
            </w:r>
          </w:p>
        </w:tc>
        <w:tc>
          <w:tcPr>
            <w:tcW w:w="117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ind w:left="67" w:right="62"/>
              <w:jc w:val="center"/>
              <w:rPr>
                <w:rFonts w:ascii="Calibri" w:hAnsi="Calibri" w:cs="Calibri"/>
                <w:b/>
              </w:rPr>
            </w:pPr>
            <w:r w:rsidRPr="008E12CA">
              <w:rPr>
                <w:rFonts w:ascii="Calibri" w:hAnsi="Calibri"/>
                <w:b/>
                <w:color w:val="000000"/>
              </w:rPr>
              <w:t>Точність тесту</w:t>
            </w:r>
          </w:p>
        </w:tc>
        <w:tc>
          <w:tcPr>
            <w:tcW w:w="1301"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ind w:left="96" w:right="96"/>
              <w:jc w:val="center"/>
              <w:rPr>
                <w:rFonts w:ascii="Calibri" w:hAnsi="Calibri" w:cs="Calibri"/>
                <w:b/>
              </w:rPr>
            </w:pPr>
            <w:r w:rsidRPr="008E12CA">
              <w:rPr>
                <w:rFonts w:ascii="Calibri" w:hAnsi="Calibri"/>
                <w:b/>
                <w:color w:val="000000"/>
              </w:rPr>
              <w:t>Дослідження (осіб)</w:t>
            </w:r>
          </w:p>
        </w:tc>
        <w:tc>
          <w:tcPr>
            <w:tcW w:w="176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ind w:left="202" w:right="197"/>
              <w:jc w:val="center"/>
              <w:rPr>
                <w:rFonts w:ascii="Calibri" w:hAnsi="Calibri" w:cs="Calibri"/>
                <w:b/>
              </w:rPr>
            </w:pPr>
            <w:r w:rsidRPr="008E12CA">
              <w:rPr>
                <w:rFonts w:ascii="Calibri" w:hAnsi="Calibri"/>
                <w:b/>
                <w:color w:val="000000"/>
              </w:rPr>
              <w:t>Достовірність даних</w:t>
            </w:r>
          </w:p>
        </w:tc>
        <w:tc>
          <w:tcPr>
            <w:tcW w:w="2227"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jc w:val="center"/>
              <w:rPr>
                <w:rFonts w:ascii="Calibri" w:hAnsi="Calibri" w:cs="Calibri"/>
                <w:b/>
              </w:rPr>
            </w:pPr>
            <w:r w:rsidRPr="008E12CA">
              <w:rPr>
                <w:rFonts w:ascii="Calibri" w:hAnsi="Calibri"/>
                <w:b/>
                <w:color w:val="000000"/>
              </w:rPr>
              <w:t>Поширеність 2%</w:t>
            </w:r>
          </w:p>
        </w:tc>
        <w:tc>
          <w:tcPr>
            <w:tcW w:w="195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jc w:val="center"/>
              <w:rPr>
                <w:rFonts w:ascii="Calibri" w:hAnsi="Calibri" w:cs="Calibri"/>
                <w:b/>
              </w:rPr>
            </w:pPr>
            <w:r w:rsidRPr="008E12CA">
              <w:rPr>
                <w:rFonts w:ascii="Calibri" w:hAnsi="Calibri"/>
                <w:b/>
                <w:color w:val="000000"/>
              </w:rPr>
              <w:t>Поширеність 10%</w:t>
            </w:r>
          </w:p>
        </w:tc>
        <w:tc>
          <w:tcPr>
            <w:tcW w:w="2611"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jc w:val="center"/>
              <w:rPr>
                <w:rFonts w:ascii="Calibri" w:hAnsi="Calibri" w:cs="Calibri"/>
                <w:b/>
              </w:rPr>
            </w:pPr>
            <w:r w:rsidRPr="008E12CA">
              <w:rPr>
                <w:rFonts w:ascii="Calibri" w:hAnsi="Calibri"/>
                <w:b/>
                <w:color w:val="000000"/>
              </w:rPr>
              <w:t>Поширеність 15%</w:t>
            </w:r>
          </w:p>
        </w:tc>
      </w:tr>
      <w:tr w:rsidR="00ED665B" w:rsidRPr="00907702" w:rsidTr="00A12C02">
        <w:trPr>
          <w:trHeight w:hRule="exact" w:val="442"/>
        </w:trPr>
        <w:tc>
          <w:tcPr>
            <w:tcW w:w="3000" w:type="dxa"/>
            <w:vMerge w:val="restart"/>
            <w:tcBorders>
              <w:top w:val="single" w:sz="8" w:space="0" w:color="009649"/>
              <w:left w:val="nil"/>
              <w:bottom w:val="single" w:sz="8" w:space="0" w:color="009649"/>
              <w:right w:val="nil"/>
            </w:tcBorders>
            <w:shd w:val="clear" w:color="auto" w:fill="FFFFFF"/>
            <w:vAlign w:val="center"/>
          </w:tcPr>
          <w:p w:rsidR="00ED665B" w:rsidRPr="00406A04" w:rsidRDefault="006C7D2F" w:rsidP="00A12C02">
            <w:pPr>
              <w:ind w:left="53"/>
              <w:rPr>
                <w:rFonts w:ascii="Calibri" w:hAnsi="Calibri" w:cs="Calibri"/>
                <w:b/>
              </w:rPr>
            </w:pPr>
            <w:r w:rsidRPr="00406A04">
              <w:rPr>
                <w:rFonts w:ascii="Calibri" w:hAnsi="Calibri"/>
                <w:b/>
                <w:color w:val="000000"/>
              </w:rPr>
              <w:t>Риф, МРС у дорослих</w:t>
            </w:r>
          </w:p>
        </w:tc>
        <w:tc>
          <w:tcPr>
            <w:tcW w:w="117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Se: 0,96</w:t>
            </w:r>
          </w:p>
        </w:tc>
        <w:tc>
          <w:tcPr>
            <w:tcW w:w="1301"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23 (165)</w:t>
            </w:r>
          </w:p>
        </w:tc>
        <w:tc>
          <w:tcPr>
            <w:tcW w:w="176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Висока</w:t>
            </w:r>
          </w:p>
        </w:tc>
        <w:tc>
          <w:tcPr>
            <w:tcW w:w="2227"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19/ХН: 1</w:t>
            </w:r>
          </w:p>
        </w:tc>
        <w:tc>
          <w:tcPr>
            <w:tcW w:w="1954"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96/ХН: 4</w:t>
            </w:r>
          </w:p>
        </w:tc>
        <w:tc>
          <w:tcPr>
            <w:tcW w:w="2611"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144/ХН: 6</w:t>
            </w:r>
          </w:p>
        </w:tc>
      </w:tr>
      <w:tr w:rsidR="00ED665B" w:rsidRPr="00907702" w:rsidTr="00A12C02">
        <w:trPr>
          <w:trHeight w:hRule="exact" w:val="437"/>
        </w:trPr>
        <w:tc>
          <w:tcPr>
            <w:tcW w:w="3000" w:type="dxa"/>
            <w:vMerge/>
            <w:tcBorders>
              <w:top w:val="single" w:sz="8" w:space="0" w:color="009649"/>
              <w:left w:val="nil"/>
              <w:bottom w:val="single" w:sz="8" w:space="0" w:color="009649"/>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17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Sp: 0,99</w:t>
            </w:r>
          </w:p>
        </w:tc>
        <w:tc>
          <w:tcPr>
            <w:tcW w:w="1301"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23 (919)</w:t>
            </w:r>
          </w:p>
        </w:tc>
        <w:tc>
          <w:tcPr>
            <w:tcW w:w="176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Висока</w:t>
            </w:r>
          </w:p>
        </w:tc>
        <w:tc>
          <w:tcPr>
            <w:tcW w:w="2227"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969 / ХП: 11</w:t>
            </w:r>
          </w:p>
        </w:tc>
        <w:tc>
          <w:tcPr>
            <w:tcW w:w="1954"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890 / ХП: 10</w:t>
            </w:r>
          </w:p>
        </w:tc>
        <w:tc>
          <w:tcPr>
            <w:tcW w:w="2611"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841 / ХП: 9</w:t>
            </w:r>
          </w:p>
        </w:tc>
      </w:tr>
      <w:tr w:rsidR="00ED665B" w:rsidRPr="00907702" w:rsidTr="00A12C02">
        <w:trPr>
          <w:trHeight w:hRule="exact" w:val="490"/>
        </w:trPr>
        <w:tc>
          <w:tcPr>
            <w:tcW w:w="14035" w:type="dxa"/>
            <w:gridSpan w:val="7"/>
            <w:tcBorders>
              <w:top w:val="single" w:sz="8" w:space="0" w:color="009649"/>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Риф: резистентність до рифампіцину; Se: чутливість; Sp: специфічність; ТБ: туберкульоз; ІН: істинно негативний; ІП: істинно позитивний.</w:t>
            </w:r>
          </w:p>
        </w:tc>
      </w:tr>
    </w:tbl>
    <w:p w:rsidR="00ED665B" w:rsidRPr="0090770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74"/>
        <w:gridCol w:w="1680"/>
        <w:gridCol w:w="1306"/>
        <w:gridCol w:w="1402"/>
        <w:gridCol w:w="2486"/>
        <w:gridCol w:w="2491"/>
        <w:gridCol w:w="2496"/>
      </w:tblGrid>
      <w:tr w:rsidR="00ED665B" w:rsidRPr="00A12C02" w:rsidTr="00D4245B">
        <w:trPr>
          <w:trHeight w:hRule="exact" w:val="458"/>
        </w:trPr>
        <w:tc>
          <w:tcPr>
            <w:tcW w:w="14035" w:type="dxa"/>
            <w:gridSpan w:val="7"/>
            <w:tcBorders>
              <w:top w:val="nil"/>
              <w:left w:val="nil"/>
              <w:bottom w:val="single" w:sz="8" w:space="0" w:color="009649"/>
              <w:right w:val="nil"/>
            </w:tcBorders>
            <w:shd w:val="clear" w:color="auto" w:fill="FFFFFF"/>
          </w:tcPr>
          <w:p w:rsidR="00ED665B" w:rsidRPr="00A12C02" w:rsidRDefault="006C7D2F" w:rsidP="00DC2656">
            <w:pPr>
              <w:ind w:right="235"/>
              <w:rPr>
                <w:rFonts w:ascii="Calibri" w:hAnsi="Calibri" w:cs="Calibri"/>
                <w:b/>
                <w:bCs/>
              </w:rPr>
            </w:pPr>
            <w:r>
              <w:rPr>
                <w:rFonts w:ascii="Calibri" w:hAnsi="Calibri"/>
                <w:b/>
                <w:color w:val="636466"/>
                <w:sz w:val="24"/>
              </w:rPr>
              <w:t>Таблиця 2.1.11. PICO 3.2: Яка діагностична точність Xpert Ultra щодо позалегеневого ТБ у дорослих порівняно з МРС та СРС?</w:t>
            </w:r>
          </w:p>
        </w:tc>
      </w:tr>
      <w:tr w:rsidR="00ED665B" w:rsidRPr="00907702" w:rsidTr="00A12C02">
        <w:trPr>
          <w:trHeight w:hRule="exact" w:val="643"/>
        </w:trPr>
        <w:tc>
          <w:tcPr>
            <w:tcW w:w="217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rPr>
                <w:rFonts w:ascii="Calibri" w:hAnsi="Calibri" w:cs="Calibri"/>
                <w:b/>
              </w:rPr>
            </w:pPr>
            <w:r w:rsidRPr="008E12CA">
              <w:rPr>
                <w:rFonts w:ascii="Calibri" w:hAnsi="Calibri"/>
                <w:b/>
                <w:color w:val="000000"/>
              </w:rPr>
              <w:t>Популяція пацієнтів</w:t>
            </w:r>
          </w:p>
        </w:tc>
        <w:tc>
          <w:tcPr>
            <w:tcW w:w="168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jc w:val="center"/>
              <w:rPr>
                <w:rFonts w:ascii="Calibri" w:hAnsi="Calibri" w:cs="Calibri"/>
                <w:b/>
              </w:rPr>
            </w:pPr>
            <w:r w:rsidRPr="008E12CA">
              <w:rPr>
                <w:rFonts w:ascii="Calibri" w:hAnsi="Calibri"/>
                <w:b/>
                <w:color w:val="000000"/>
              </w:rPr>
              <w:t>Точність тесту</w:t>
            </w:r>
          </w:p>
        </w:tc>
        <w:tc>
          <w:tcPr>
            <w:tcW w:w="130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jc w:val="center"/>
              <w:rPr>
                <w:rFonts w:ascii="Calibri" w:hAnsi="Calibri" w:cs="Calibri"/>
                <w:b/>
              </w:rPr>
            </w:pPr>
            <w:r w:rsidRPr="008E12CA">
              <w:rPr>
                <w:rFonts w:ascii="Calibri" w:hAnsi="Calibri"/>
                <w:b/>
                <w:color w:val="000000"/>
              </w:rPr>
              <w:t>Дослідження (осіб)</w:t>
            </w:r>
          </w:p>
        </w:tc>
        <w:tc>
          <w:tcPr>
            <w:tcW w:w="140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jc w:val="center"/>
              <w:rPr>
                <w:rFonts w:ascii="Calibri" w:hAnsi="Calibri" w:cs="Calibri"/>
                <w:b/>
              </w:rPr>
            </w:pPr>
            <w:r w:rsidRPr="008E12CA">
              <w:rPr>
                <w:rFonts w:ascii="Calibri" w:hAnsi="Calibri"/>
                <w:b/>
                <w:color w:val="000000"/>
              </w:rPr>
              <w:t>Достовірність даних</w:t>
            </w:r>
          </w:p>
        </w:tc>
        <w:tc>
          <w:tcPr>
            <w:tcW w:w="248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jc w:val="center"/>
              <w:rPr>
                <w:rFonts w:ascii="Calibri" w:hAnsi="Calibri" w:cs="Calibri"/>
                <w:b/>
              </w:rPr>
            </w:pPr>
            <w:r w:rsidRPr="008E12CA">
              <w:rPr>
                <w:rFonts w:ascii="Calibri" w:hAnsi="Calibri"/>
                <w:b/>
                <w:color w:val="000000"/>
              </w:rPr>
              <w:t>Поширеність 2,5%</w:t>
            </w:r>
          </w:p>
        </w:tc>
        <w:tc>
          <w:tcPr>
            <w:tcW w:w="2491"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jc w:val="center"/>
              <w:rPr>
                <w:rFonts w:ascii="Calibri" w:hAnsi="Calibri" w:cs="Calibri"/>
                <w:b/>
              </w:rPr>
            </w:pPr>
            <w:r w:rsidRPr="008E12CA">
              <w:rPr>
                <w:rFonts w:ascii="Calibri" w:hAnsi="Calibri"/>
                <w:b/>
                <w:color w:val="000000"/>
              </w:rPr>
              <w:t>Поширеність 10%</w:t>
            </w:r>
          </w:p>
        </w:tc>
        <w:tc>
          <w:tcPr>
            <w:tcW w:w="249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A12C02">
            <w:pPr>
              <w:jc w:val="center"/>
              <w:rPr>
                <w:rFonts w:ascii="Calibri" w:hAnsi="Calibri" w:cs="Calibri"/>
                <w:b/>
              </w:rPr>
            </w:pPr>
            <w:r w:rsidRPr="008E12CA">
              <w:rPr>
                <w:rFonts w:ascii="Calibri" w:hAnsi="Calibri"/>
                <w:b/>
                <w:color w:val="000000"/>
              </w:rPr>
              <w:t>Поширеність 20%</w:t>
            </w:r>
          </w:p>
        </w:tc>
      </w:tr>
      <w:tr w:rsidR="00ED665B" w:rsidRPr="00907702" w:rsidTr="00A12C02">
        <w:trPr>
          <w:trHeight w:hRule="exact" w:val="442"/>
        </w:trPr>
        <w:tc>
          <w:tcPr>
            <w:tcW w:w="2174" w:type="dxa"/>
            <w:vMerge w:val="restart"/>
            <w:tcBorders>
              <w:top w:val="single" w:sz="8" w:space="0" w:color="009649"/>
              <w:left w:val="nil"/>
              <w:bottom w:val="single" w:sz="8" w:space="0" w:color="009649"/>
              <w:right w:val="nil"/>
            </w:tcBorders>
            <w:shd w:val="clear" w:color="auto" w:fill="FFFFFF"/>
            <w:vAlign w:val="center"/>
          </w:tcPr>
          <w:p w:rsidR="00ED665B" w:rsidRPr="00406A04" w:rsidRDefault="006C7D2F" w:rsidP="00A12C02">
            <w:pPr>
              <w:ind w:left="53"/>
              <w:rPr>
                <w:rFonts w:ascii="Calibri" w:hAnsi="Calibri" w:cs="Calibri"/>
                <w:b/>
              </w:rPr>
            </w:pPr>
            <w:r w:rsidRPr="00406A04">
              <w:rPr>
                <w:rFonts w:ascii="Calibri" w:hAnsi="Calibri"/>
                <w:b/>
                <w:color w:val="000000"/>
              </w:rPr>
              <w:t>СМР, МРС у дорослих</w:t>
            </w: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Se: 0,87</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4 (40)</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Низькі</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22/ХН: 3</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87/ХН: 13</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174/ХН: 26</w:t>
            </w:r>
          </w:p>
        </w:tc>
      </w:tr>
      <w:tr w:rsidR="00ED665B" w:rsidRPr="00907702" w:rsidTr="00A12C02">
        <w:trPr>
          <w:trHeight w:hRule="exact" w:val="437"/>
        </w:trPr>
        <w:tc>
          <w:tcPr>
            <w:tcW w:w="2174" w:type="dxa"/>
            <w:vMerge/>
            <w:tcBorders>
              <w:top w:val="single" w:sz="8" w:space="0" w:color="009649"/>
              <w:left w:val="nil"/>
              <w:bottom w:val="single" w:sz="8" w:space="0" w:color="009649"/>
              <w:right w:val="nil"/>
            </w:tcBorders>
            <w:shd w:val="clear" w:color="auto" w:fill="FFFFFF"/>
            <w:vAlign w:val="center"/>
          </w:tcPr>
          <w:p w:rsidR="00ED665B" w:rsidRPr="00406A04" w:rsidRDefault="00ED665B" w:rsidP="00A12C02">
            <w:pPr>
              <w:rPr>
                <w:rFonts w:ascii="Calibri" w:hAnsi="Calibri" w:cs="Calibri"/>
                <w:b/>
              </w:rPr>
            </w:pPr>
          </w:p>
          <w:p w:rsidR="00ED665B" w:rsidRPr="00406A04" w:rsidRDefault="00ED665B" w:rsidP="00A12C02">
            <w:pPr>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Sp: 0,88</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4 (143)</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Низькі</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855 / ХП: 120</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789 / ХП:111</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702 / ХП: 98</w:t>
            </w:r>
          </w:p>
        </w:tc>
      </w:tr>
      <w:tr w:rsidR="00ED665B" w:rsidRPr="00907702" w:rsidTr="00A12C02">
        <w:trPr>
          <w:trHeight w:hRule="exact" w:val="437"/>
        </w:trPr>
        <w:tc>
          <w:tcPr>
            <w:tcW w:w="2174" w:type="dxa"/>
            <w:vMerge w:val="restart"/>
            <w:tcBorders>
              <w:top w:val="single" w:sz="8" w:space="0" w:color="009649"/>
              <w:left w:val="nil"/>
              <w:bottom w:val="single" w:sz="8" w:space="0" w:color="009649"/>
              <w:right w:val="nil"/>
            </w:tcBorders>
            <w:shd w:val="clear" w:color="auto" w:fill="FFFFFF"/>
            <w:vAlign w:val="center"/>
          </w:tcPr>
          <w:p w:rsidR="00ED665B" w:rsidRPr="00406A04" w:rsidRDefault="006C7D2F" w:rsidP="00A12C02">
            <w:pPr>
              <w:ind w:left="53"/>
              <w:rPr>
                <w:rFonts w:ascii="Calibri" w:hAnsi="Calibri" w:cs="Calibri"/>
                <w:b/>
              </w:rPr>
            </w:pPr>
            <w:r w:rsidRPr="00406A04">
              <w:rPr>
                <w:rFonts w:ascii="Calibri" w:hAnsi="Calibri"/>
                <w:b/>
                <w:color w:val="000000"/>
              </w:rPr>
              <w:t>LNA, МРС у дорослих</w:t>
            </w: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Se: 0,78</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1 (9)</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20/ХН: 5</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78/ХН: 22</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156/ХН: 44</w:t>
            </w:r>
          </w:p>
        </w:tc>
      </w:tr>
      <w:tr w:rsidR="00ED665B" w:rsidRPr="00907702" w:rsidTr="00A12C02">
        <w:trPr>
          <w:trHeight w:hRule="exact" w:val="442"/>
        </w:trPr>
        <w:tc>
          <w:tcPr>
            <w:tcW w:w="2174" w:type="dxa"/>
            <w:vMerge/>
            <w:tcBorders>
              <w:top w:val="single" w:sz="8" w:space="0" w:color="009649"/>
              <w:left w:val="nil"/>
              <w:bottom w:val="single" w:sz="8" w:space="0" w:color="009649"/>
              <w:right w:val="nil"/>
            </w:tcBorders>
            <w:shd w:val="clear" w:color="auto" w:fill="FFFFFF"/>
            <w:vAlign w:val="center"/>
          </w:tcPr>
          <w:p w:rsidR="00ED665B" w:rsidRPr="00406A04" w:rsidRDefault="00ED665B" w:rsidP="00A12C02">
            <w:pPr>
              <w:rPr>
                <w:rFonts w:ascii="Calibri" w:hAnsi="Calibri" w:cs="Calibri"/>
                <w:b/>
              </w:rPr>
            </w:pPr>
          </w:p>
          <w:p w:rsidR="00ED665B" w:rsidRPr="00406A04" w:rsidRDefault="00ED665B" w:rsidP="00A12C02">
            <w:pPr>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Sp: 0,78</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1 (64)</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761 / ХП: 214</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702 / ХП:198</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624 / ХП: 176</w:t>
            </w:r>
          </w:p>
        </w:tc>
      </w:tr>
      <w:tr w:rsidR="00ED665B" w:rsidRPr="00907702" w:rsidTr="00A12C02">
        <w:trPr>
          <w:trHeight w:hRule="exact" w:val="437"/>
        </w:trPr>
        <w:tc>
          <w:tcPr>
            <w:tcW w:w="2174" w:type="dxa"/>
            <w:vMerge w:val="restart"/>
            <w:tcBorders>
              <w:top w:val="single" w:sz="8" w:space="0" w:color="009649"/>
              <w:left w:val="nil"/>
              <w:bottom w:val="single" w:sz="8" w:space="0" w:color="009649"/>
              <w:right w:val="nil"/>
            </w:tcBorders>
            <w:shd w:val="clear" w:color="auto" w:fill="FFFFFF"/>
            <w:vAlign w:val="center"/>
          </w:tcPr>
          <w:p w:rsidR="00ED665B" w:rsidRPr="00406A04" w:rsidRDefault="006C7D2F" w:rsidP="00A12C02">
            <w:pPr>
              <w:ind w:left="53"/>
              <w:rPr>
                <w:rFonts w:ascii="Calibri" w:hAnsi="Calibri" w:cs="Calibri"/>
                <w:b/>
              </w:rPr>
            </w:pPr>
            <w:r w:rsidRPr="00406A04">
              <w:rPr>
                <w:rFonts w:ascii="Calibri" w:hAnsi="Calibri"/>
                <w:b/>
                <w:color w:val="000000"/>
              </w:rPr>
              <w:t>LNA, СРС у дорослих</w:t>
            </w: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Se: 0,70</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1 (30)</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17/ХН: 8</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70/ХН: 22</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156/ХН: 44</w:t>
            </w:r>
          </w:p>
        </w:tc>
      </w:tr>
      <w:tr w:rsidR="00ED665B" w:rsidRPr="00907702" w:rsidTr="00A12C02">
        <w:trPr>
          <w:trHeight w:hRule="exact" w:val="437"/>
        </w:trPr>
        <w:tc>
          <w:tcPr>
            <w:tcW w:w="2174" w:type="dxa"/>
            <w:vMerge/>
            <w:tcBorders>
              <w:top w:val="single" w:sz="8" w:space="0" w:color="009649"/>
              <w:left w:val="nil"/>
              <w:bottom w:val="single" w:sz="8" w:space="0" w:color="009649"/>
              <w:right w:val="nil"/>
            </w:tcBorders>
            <w:shd w:val="clear" w:color="auto" w:fill="FFFFFF"/>
            <w:vAlign w:val="center"/>
          </w:tcPr>
          <w:p w:rsidR="00ED665B" w:rsidRPr="00406A04" w:rsidRDefault="00ED665B" w:rsidP="00A12C02">
            <w:pPr>
              <w:rPr>
                <w:rFonts w:ascii="Calibri" w:hAnsi="Calibri" w:cs="Calibri"/>
                <w:b/>
              </w:rPr>
            </w:pPr>
          </w:p>
          <w:p w:rsidR="00ED665B" w:rsidRPr="00406A04" w:rsidRDefault="00ED665B" w:rsidP="00A12C02">
            <w:pPr>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Sp: 1,00</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1 (43)</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Низькі</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975 / ХП: 0</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702 / ХП:198</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624 / ХП: 176</w:t>
            </w:r>
          </w:p>
        </w:tc>
      </w:tr>
      <w:tr w:rsidR="00ED665B" w:rsidRPr="00907702" w:rsidTr="00A12C02">
        <w:trPr>
          <w:trHeight w:hRule="exact" w:val="437"/>
        </w:trPr>
        <w:tc>
          <w:tcPr>
            <w:tcW w:w="2174" w:type="dxa"/>
            <w:vMerge w:val="restart"/>
            <w:tcBorders>
              <w:top w:val="single" w:sz="8" w:space="0" w:color="009649"/>
              <w:left w:val="nil"/>
              <w:bottom w:val="single" w:sz="8" w:space="0" w:color="009649"/>
              <w:right w:val="nil"/>
            </w:tcBorders>
            <w:shd w:val="clear" w:color="auto" w:fill="FFFFFF"/>
            <w:vAlign w:val="center"/>
          </w:tcPr>
          <w:p w:rsidR="00ED665B" w:rsidRPr="00406A04" w:rsidRDefault="006C7D2F" w:rsidP="00A12C02">
            <w:pPr>
              <w:ind w:left="53"/>
              <w:rPr>
                <w:rFonts w:ascii="Calibri" w:hAnsi="Calibri" w:cs="Calibri"/>
                <w:b/>
              </w:rPr>
            </w:pPr>
            <w:r w:rsidRPr="00406A04">
              <w:rPr>
                <w:rFonts w:ascii="Calibri" w:hAnsi="Calibri"/>
                <w:b/>
                <w:color w:val="000000"/>
              </w:rPr>
              <w:t>LNB, МРС у дорослих</w:t>
            </w: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Se: 0,90-1,00</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2 (23)</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23-25 / ХН: 0-2</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90-100 / ХН: 0-10</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180-200 / ХН: 0-20</w:t>
            </w:r>
          </w:p>
        </w:tc>
      </w:tr>
      <w:tr w:rsidR="00ED665B" w:rsidRPr="00907702" w:rsidTr="00A12C02">
        <w:trPr>
          <w:trHeight w:hRule="exact" w:val="662"/>
        </w:trPr>
        <w:tc>
          <w:tcPr>
            <w:tcW w:w="2174" w:type="dxa"/>
            <w:vMerge/>
            <w:tcBorders>
              <w:top w:val="single" w:sz="8" w:space="0" w:color="009649"/>
              <w:left w:val="nil"/>
              <w:bottom w:val="single" w:sz="8" w:space="0" w:color="009649"/>
              <w:right w:val="nil"/>
            </w:tcBorders>
            <w:shd w:val="clear" w:color="auto" w:fill="FFFFFF"/>
            <w:vAlign w:val="center"/>
          </w:tcPr>
          <w:p w:rsidR="00ED665B" w:rsidRPr="00406A04" w:rsidRDefault="00ED665B" w:rsidP="00A12C02">
            <w:pPr>
              <w:rPr>
                <w:rFonts w:ascii="Calibri" w:hAnsi="Calibri" w:cs="Calibri"/>
                <w:b/>
              </w:rPr>
            </w:pPr>
          </w:p>
          <w:p w:rsidR="00ED665B" w:rsidRPr="00406A04" w:rsidRDefault="00ED665B" w:rsidP="00A12C02">
            <w:pPr>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Sp: 0,38-0,87</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2 (108)</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406A04" w:rsidRDefault="006C7D2F" w:rsidP="00A12C02">
            <w:pPr>
              <w:jc w:val="center"/>
              <w:rPr>
                <w:rFonts w:ascii="Calibri" w:hAnsi="Calibri"/>
                <w:color w:val="000000"/>
              </w:rPr>
            </w:pPr>
            <w:r>
              <w:rPr>
                <w:rFonts w:ascii="Calibri" w:hAnsi="Calibri"/>
                <w:color w:val="000000"/>
              </w:rPr>
              <w:t xml:space="preserve">ІН: 371-848 / </w:t>
            </w:r>
          </w:p>
          <w:p w:rsidR="00ED665B" w:rsidRPr="00907702" w:rsidRDefault="006C7D2F" w:rsidP="00A12C02">
            <w:pPr>
              <w:jc w:val="center"/>
              <w:rPr>
                <w:rFonts w:ascii="Calibri" w:hAnsi="Calibri" w:cs="Calibri"/>
              </w:rPr>
            </w:pPr>
            <w:r>
              <w:rPr>
                <w:rFonts w:ascii="Calibri" w:hAnsi="Calibri"/>
                <w:color w:val="000000"/>
              </w:rPr>
              <w:t>ХП: 127-604</w:t>
            </w:r>
          </w:p>
        </w:tc>
        <w:tc>
          <w:tcPr>
            <w:tcW w:w="2491" w:type="dxa"/>
            <w:tcBorders>
              <w:top w:val="single" w:sz="8" w:space="0" w:color="009649"/>
              <w:left w:val="nil"/>
              <w:bottom w:val="single" w:sz="8" w:space="0" w:color="009649"/>
              <w:right w:val="nil"/>
            </w:tcBorders>
            <w:shd w:val="clear" w:color="auto" w:fill="FFFFFF"/>
            <w:vAlign w:val="center"/>
          </w:tcPr>
          <w:p w:rsidR="00406A04" w:rsidRDefault="006C7D2F" w:rsidP="00A12C02">
            <w:pPr>
              <w:jc w:val="center"/>
              <w:rPr>
                <w:rFonts w:ascii="Calibri" w:hAnsi="Calibri"/>
                <w:color w:val="000000"/>
              </w:rPr>
            </w:pPr>
            <w:r>
              <w:rPr>
                <w:rFonts w:ascii="Calibri" w:hAnsi="Calibri"/>
                <w:color w:val="000000"/>
              </w:rPr>
              <w:t xml:space="preserve">ІН: 342-783 / </w:t>
            </w:r>
          </w:p>
          <w:p w:rsidR="00ED665B" w:rsidRPr="00907702" w:rsidRDefault="006C7D2F" w:rsidP="00A12C02">
            <w:pPr>
              <w:jc w:val="center"/>
              <w:rPr>
                <w:rFonts w:ascii="Calibri" w:hAnsi="Calibri" w:cs="Calibri"/>
              </w:rPr>
            </w:pPr>
            <w:r>
              <w:rPr>
                <w:rFonts w:ascii="Calibri" w:hAnsi="Calibri"/>
                <w:color w:val="000000"/>
              </w:rPr>
              <w:t>ХП: 117-558</w:t>
            </w:r>
          </w:p>
        </w:tc>
        <w:tc>
          <w:tcPr>
            <w:tcW w:w="2496" w:type="dxa"/>
            <w:tcBorders>
              <w:top w:val="single" w:sz="8" w:space="0" w:color="009649"/>
              <w:left w:val="nil"/>
              <w:bottom w:val="single" w:sz="8" w:space="0" w:color="009649"/>
              <w:right w:val="nil"/>
            </w:tcBorders>
            <w:shd w:val="clear" w:color="auto" w:fill="FFFFFF"/>
            <w:vAlign w:val="center"/>
          </w:tcPr>
          <w:p w:rsidR="00406A04" w:rsidRDefault="006C7D2F" w:rsidP="00A12C02">
            <w:pPr>
              <w:jc w:val="center"/>
              <w:rPr>
                <w:rFonts w:ascii="Calibri" w:hAnsi="Calibri"/>
                <w:color w:val="000000"/>
              </w:rPr>
            </w:pPr>
            <w:r>
              <w:rPr>
                <w:rFonts w:ascii="Calibri" w:hAnsi="Calibri"/>
                <w:color w:val="000000"/>
              </w:rPr>
              <w:t xml:space="preserve">ІН: 304-696 / </w:t>
            </w:r>
          </w:p>
          <w:p w:rsidR="00ED665B" w:rsidRPr="00907702" w:rsidRDefault="006C7D2F" w:rsidP="00A12C02">
            <w:pPr>
              <w:jc w:val="center"/>
              <w:rPr>
                <w:rFonts w:ascii="Calibri" w:hAnsi="Calibri" w:cs="Calibri"/>
              </w:rPr>
            </w:pPr>
            <w:r>
              <w:rPr>
                <w:rFonts w:ascii="Calibri" w:hAnsi="Calibri"/>
                <w:color w:val="000000"/>
              </w:rPr>
              <w:t>ХП: 104-496</w:t>
            </w:r>
          </w:p>
        </w:tc>
      </w:tr>
      <w:tr w:rsidR="00ED665B" w:rsidRPr="00907702" w:rsidTr="00A12C02">
        <w:trPr>
          <w:trHeight w:hRule="exact" w:val="437"/>
        </w:trPr>
        <w:tc>
          <w:tcPr>
            <w:tcW w:w="2174" w:type="dxa"/>
            <w:vMerge w:val="restart"/>
            <w:tcBorders>
              <w:top w:val="single" w:sz="8" w:space="0" w:color="009649"/>
              <w:left w:val="nil"/>
              <w:bottom w:val="single" w:sz="8" w:space="0" w:color="009649"/>
              <w:right w:val="nil"/>
            </w:tcBorders>
            <w:shd w:val="clear" w:color="auto" w:fill="FFFFFF"/>
            <w:vAlign w:val="center"/>
          </w:tcPr>
          <w:p w:rsidR="00ED665B" w:rsidRPr="00406A04" w:rsidRDefault="006C7D2F" w:rsidP="00A12C02">
            <w:pPr>
              <w:ind w:left="53"/>
              <w:rPr>
                <w:rFonts w:ascii="Calibri" w:hAnsi="Calibri" w:cs="Calibri"/>
                <w:b/>
              </w:rPr>
            </w:pPr>
            <w:r w:rsidRPr="00406A04">
              <w:rPr>
                <w:rFonts w:ascii="Calibri" w:hAnsi="Calibri"/>
                <w:b/>
                <w:color w:val="000000"/>
              </w:rPr>
              <w:t>LNB, СРС у дорослих</w:t>
            </w: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Se: 0,67</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1 (22)</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18/ХН: 7</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73/ХН: 27</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ІП: 146/ХН: 54</w:t>
            </w:r>
          </w:p>
        </w:tc>
      </w:tr>
      <w:tr w:rsidR="00ED665B" w:rsidRPr="00907702" w:rsidTr="00A12C02">
        <w:trPr>
          <w:trHeight w:hRule="exact" w:val="451"/>
        </w:trPr>
        <w:tc>
          <w:tcPr>
            <w:tcW w:w="2174" w:type="dxa"/>
            <w:vMerge/>
            <w:tcBorders>
              <w:top w:val="single" w:sz="8" w:space="0" w:color="009649"/>
              <w:left w:val="nil"/>
              <w:bottom w:val="single" w:sz="8" w:space="0" w:color="009649"/>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Sp: 0,96</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1 (57)</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936 / ХП: 39</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864 / ХП:36</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A12C02">
            <w:pPr>
              <w:jc w:val="center"/>
              <w:rPr>
                <w:rFonts w:ascii="Calibri" w:hAnsi="Calibri" w:cs="Calibri"/>
              </w:rPr>
            </w:pPr>
            <w:r>
              <w:rPr>
                <w:rFonts w:ascii="Calibri" w:hAnsi="Calibri"/>
                <w:color w:val="000000"/>
              </w:rPr>
              <w:t>ІН: 768 / ХП: 32</w:t>
            </w:r>
          </w:p>
        </w:tc>
      </w:tr>
    </w:tbl>
    <w:p w:rsidR="00ED665B" w:rsidRPr="00907702" w:rsidRDefault="00ED665B" w:rsidP="00DC2656">
      <w:pPr>
        <w:rPr>
          <w:rFonts w:ascii="Calibri" w:hAnsi="Calibri" w:cs="Calibri"/>
        </w:rPr>
        <w:sectPr w:rsidR="00ED665B" w:rsidRPr="00907702" w:rsidSect="00A12C02">
          <w:pgSz w:w="16838" w:h="11904" w:orient="landscape"/>
          <w:pgMar w:top="1397" w:right="1416" w:bottom="709"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74"/>
        <w:gridCol w:w="1680"/>
        <w:gridCol w:w="1306"/>
        <w:gridCol w:w="1402"/>
        <w:gridCol w:w="2486"/>
        <w:gridCol w:w="2491"/>
        <w:gridCol w:w="2496"/>
      </w:tblGrid>
      <w:tr w:rsidR="00ED665B" w:rsidRPr="00907702" w:rsidTr="00CA4657">
        <w:trPr>
          <w:trHeight w:hRule="exact" w:val="658"/>
        </w:trPr>
        <w:tc>
          <w:tcPr>
            <w:tcW w:w="217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rPr>
                <w:rFonts w:ascii="Calibri" w:hAnsi="Calibri" w:cs="Calibri"/>
                <w:b/>
              </w:rPr>
            </w:pPr>
            <w:r w:rsidRPr="008E12CA">
              <w:rPr>
                <w:rFonts w:ascii="Calibri" w:hAnsi="Calibri"/>
                <w:b/>
                <w:color w:val="000000"/>
              </w:rPr>
              <w:lastRenderedPageBreak/>
              <w:t>Популяція пацієнтів</w:t>
            </w:r>
          </w:p>
        </w:tc>
        <w:tc>
          <w:tcPr>
            <w:tcW w:w="168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jc w:val="center"/>
              <w:rPr>
                <w:rFonts w:ascii="Calibri" w:hAnsi="Calibri" w:cs="Calibri"/>
                <w:b/>
              </w:rPr>
            </w:pPr>
            <w:r w:rsidRPr="008E12CA">
              <w:rPr>
                <w:rFonts w:ascii="Calibri" w:hAnsi="Calibri"/>
                <w:b/>
                <w:color w:val="000000"/>
              </w:rPr>
              <w:t>Точність тесту</w:t>
            </w:r>
          </w:p>
        </w:tc>
        <w:tc>
          <w:tcPr>
            <w:tcW w:w="130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ind w:left="101" w:right="96"/>
              <w:jc w:val="center"/>
              <w:rPr>
                <w:rFonts w:ascii="Calibri" w:hAnsi="Calibri" w:cs="Calibri"/>
                <w:b/>
              </w:rPr>
            </w:pPr>
            <w:r w:rsidRPr="008E12CA">
              <w:rPr>
                <w:rFonts w:ascii="Calibri" w:hAnsi="Calibri"/>
                <w:b/>
                <w:color w:val="000000"/>
              </w:rPr>
              <w:t>Дослідження (осіб)</w:t>
            </w:r>
          </w:p>
        </w:tc>
        <w:tc>
          <w:tcPr>
            <w:tcW w:w="140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ind w:left="34" w:right="34"/>
              <w:jc w:val="center"/>
              <w:rPr>
                <w:rFonts w:ascii="Calibri" w:hAnsi="Calibri" w:cs="Calibri"/>
                <w:b/>
              </w:rPr>
            </w:pPr>
            <w:r w:rsidRPr="008E12CA">
              <w:rPr>
                <w:rFonts w:ascii="Calibri" w:hAnsi="Calibri"/>
                <w:b/>
                <w:color w:val="000000"/>
              </w:rPr>
              <w:t>Достовірність даних</w:t>
            </w:r>
          </w:p>
        </w:tc>
        <w:tc>
          <w:tcPr>
            <w:tcW w:w="248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jc w:val="center"/>
              <w:rPr>
                <w:rFonts w:ascii="Calibri" w:hAnsi="Calibri" w:cs="Calibri"/>
                <w:b/>
              </w:rPr>
            </w:pPr>
            <w:r w:rsidRPr="008E12CA">
              <w:rPr>
                <w:rFonts w:ascii="Calibri" w:hAnsi="Calibri"/>
                <w:b/>
                <w:color w:val="000000"/>
              </w:rPr>
              <w:t>Поширеність 2,5%</w:t>
            </w:r>
          </w:p>
        </w:tc>
        <w:tc>
          <w:tcPr>
            <w:tcW w:w="2491"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jc w:val="center"/>
              <w:rPr>
                <w:rFonts w:ascii="Calibri" w:hAnsi="Calibri" w:cs="Calibri"/>
                <w:b/>
              </w:rPr>
            </w:pPr>
            <w:r w:rsidRPr="008E12CA">
              <w:rPr>
                <w:rFonts w:ascii="Calibri" w:hAnsi="Calibri"/>
                <w:b/>
                <w:color w:val="000000"/>
              </w:rPr>
              <w:t>Поширеність 10%</w:t>
            </w:r>
          </w:p>
        </w:tc>
        <w:tc>
          <w:tcPr>
            <w:tcW w:w="249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jc w:val="center"/>
              <w:rPr>
                <w:rFonts w:ascii="Calibri" w:hAnsi="Calibri" w:cs="Calibri"/>
                <w:b/>
              </w:rPr>
            </w:pPr>
            <w:r w:rsidRPr="008E12CA">
              <w:rPr>
                <w:rFonts w:ascii="Calibri" w:hAnsi="Calibri"/>
                <w:b/>
                <w:color w:val="000000"/>
              </w:rPr>
              <w:t>Поширеність 20%</w:t>
            </w:r>
          </w:p>
        </w:tc>
      </w:tr>
      <w:tr w:rsidR="00ED665B" w:rsidRPr="00907702" w:rsidTr="00CA4657">
        <w:trPr>
          <w:trHeight w:hRule="exact" w:val="442"/>
        </w:trPr>
        <w:tc>
          <w:tcPr>
            <w:tcW w:w="2174" w:type="dxa"/>
            <w:vMerge w:val="restart"/>
            <w:tcBorders>
              <w:top w:val="single" w:sz="8" w:space="0" w:color="009649"/>
              <w:left w:val="nil"/>
              <w:bottom w:val="single" w:sz="8" w:space="0" w:color="009649"/>
              <w:right w:val="nil"/>
            </w:tcBorders>
            <w:shd w:val="clear" w:color="auto" w:fill="FFFFFF"/>
            <w:vAlign w:val="center"/>
          </w:tcPr>
          <w:p w:rsidR="00ED665B" w:rsidRPr="00406A04" w:rsidRDefault="006C7D2F" w:rsidP="00406A04">
            <w:pPr>
              <w:ind w:left="53" w:right="192"/>
              <w:rPr>
                <w:rFonts w:ascii="Calibri" w:hAnsi="Calibri" w:cs="Calibri"/>
                <w:b/>
              </w:rPr>
            </w:pPr>
            <w:r w:rsidRPr="00406A04">
              <w:rPr>
                <w:rFonts w:ascii="Calibri" w:hAnsi="Calibri"/>
                <w:b/>
                <w:color w:val="000000"/>
              </w:rPr>
              <w:t>Дорослі, плевральна рідина, МРС</w:t>
            </w: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Se: 0,71</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3 (101)</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18/ХН: 7</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71/ХН: 29</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142/ХН: 58</w:t>
            </w:r>
          </w:p>
        </w:tc>
      </w:tr>
      <w:tr w:rsidR="00ED665B" w:rsidRPr="00907702" w:rsidTr="00CA4657">
        <w:trPr>
          <w:trHeight w:hRule="exact" w:val="437"/>
        </w:trPr>
        <w:tc>
          <w:tcPr>
            <w:tcW w:w="2174" w:type="dxa"/>
            <w:vMerge/>
            <w:tcBorders>
              <w:top w:val="single" w:sz="8" w:space="0" w:color="009649"/>
              <w:left w:val="nil"/>
              <w:bottom w:val="single" w:sz="8" w:space="0" w:color="009649"/>
              <w:right w:val="nil"/>
            </w:tcBorders>
            <w:shd w:val="clear" w:color="auto" w:fill="FFFFFF"/>
            <w:vAlign w:val="center"/>
          </w:tcPr>
          <w:p w:rsidR="00ED665B" w:rsidRPr="00406A04" w:rsidRDefault="00ED665B" w:rsidP="00406A04">
            <w:pPr>
              <w:ind w:left="53" w:right="192"/>
              <w:rPr>
                <w:rFonts w:ascii="Calibri" w:hAnsi="Calibri" w:cs="Calibri"/>
                <w:b/>
              </w:rPr>
            </w:pPr>
          </w:p>
          <w:p w:rsidR="00ED665B" w:rsidRPr="00406A04" w:rsidRDefault="00ED665B" w:rsidP="00406A04">
            <w:pPr>
              <w:ind w:left="53" w:right="192"/>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Sp: 0,71</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3 (156)</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694 / ХП: 281</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641 / ХП:259</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570 / ХП: 230</w:t>
            </w:r>
          </w:p>
        </w:tc>
      </w:tr>
      <w:tr w:rsidR="00ED665B" w:rsidRPr="00907702" w:rsidTr="00CA4657">
        <w:trPr>
          <w:trHeight w:hRule="exact" w:val="437"/>
        </w:trPr>
        <w:tc>
          <w:tcPr>
            <w:tcW w:w="2174" w:type="dxa"/>
            <w:vMerge w:val="restart"/>
            <w:tcBorders>
              <w:top w:val="single" w:sz="8" w:space="0" w:color="009649"/>
              <w:left w:val="nil"/>
              <w:bottom w:val="single" w:sz="8" w:space="0" w:color="009649"/>
              <w:right w:val="nil"/>
            </w:tcBorders>
            <w:shd w:val="clear" w:color="auto" w:fill="FFFFFF"/>
            <w:vAlign w:val="center"/>
          </w:tcPr>
          <w:p w:rsidR="00ED665B" w:rsidRPr="00406A04" w:rsidRDefault="006C7D2F" w:rsidP="00406A04">
            <w:pPr>
              <w:ind w:left="53" w:right="192"/>
              <w:rPr>
                <w:rFonts w:ascii="Calibri" w:hAnsi="Calibri" w:cs="Calibri"/>
                <w:b/>
              </w:rPr>
            </w:pPr>
            <w:r w:rsidRPr="00406A04">
              <w:rPr>
                <w:rFonts w:ascii="Calibri" w:hAnsi="Calibri"/>
                <w:b/>
                <w:color w:val="000000"/>
              </w:rPr>
              <w:t>Дорослі, плевральна рідина, СРС</w:t>
            </w: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Se: 0,38-0,61</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2 (156)</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10-15 / ХН: 10-15</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38-61 / ХН: 39-62</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76-122 / ХН: 78-122</w:t>
            </w:r>
          </w:p>
        </w:tc>
      </w:tr>
      <w:tr w:rsidR="00ED665B" w:rsidRPr="00907702" w:rsidTr="00CA4657">
        <w:trPr>
          <w:trHeight w:hRule="exact" w:val="437"/>
        </w:trPr>
        <w:tc>
          <w:tcPr>
            <w:tcW w:w="2174" w:type="dxa"/>
            <w:vMerge/>
            <w:tcBorders>
              <w:top w:val="single" w:sz="8" w:space="0" w:color="009649"/>
              <w:left w:val="nil"/>
              <w:bottom w:val="single" w:sz="8" w:space="0" w:color="009649"/>
              <w:right w:val="nil"/>
            </w:tcBorders>
            <w:shd w:val="clear" w:color="auto" w:fill="FFFFFF"/>
            <w:vAlign w:val="center"/>
          </w:tcPr>
          <w:p w:rsidR="00ED665B" w:rsidRPr="00406A04" w:rsidRDefault="00ED665B" w:rsidP="00406A04">
            <w:pPr>
              <w:ind w:left="53" w:right="192"/>
              <w:rPr>
                <w:rFonts w:ascii="Calibri" w:hAnsi="Calibri" w:cs="Calibri"/>
                <w:b/>
              </w:rPr>
            </w:pPr>
          </w:p>
          <w:p w:rsidR="00ED665B" w:rsidRPr="00406A04" w:rsidRDefault="00ED665B" w:rsidP="00406A04">
            <w:pPr>
              <w:ind w:left="53" w:right="192"/>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Sp: 0,96-0,99</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2 (107)</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Помірна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936-965 / ХП: 10-39</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864-891 / ХП:9-36</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768-792 / ХП: 8-32</w:t>
            </w:r>
          </w:p>
        </w:tc>
      </w:tr>
      <w:tr w:rsidR="00ED665B" w:rsidRPr="00907702" w:rsidTr="00CA4657">
        <w:trPr>
          <w:trHeight w:hRule="exact" w:val="442"/>
        </w:trPr>
        <w:tc>
          <w:tcPr>
            <w:tcW w:w="2174" w:type="dxa"/>
            <w:vMerge w:val="restart"/>
            <w:tcBorders>
              <w:top w:val="single" w:sz="8" w:space="0" w:color="009649"/>
              <w:left w:val="nil"/>
              <w:bottom w:val="single" w:sz="8" w:space="0" w:color="009649"/>
              <w:right w:val="nil"/>
            </w:tcBorders>
            <w:shd w:val="clear" w:color="auto" w:fill="FFFFFF"/>
            <w:vAlign w:val="center"/>
          </w:tcPr>
          <w:p w:rsidR="00ED665B" w:rsidRPr="00406A04" w:rsidRDefault="006C7D2F" w:rsidP="00406A04">
            <w:pPr>
              <w:ind w:left="53" w:right="192"/>
              <w:rPr>
                <w:rFonts w:ascii="Calibri" w:hAnsi="Calibri" w:cs="Calibri"/>
                <w:b/>
              </w:rPr>
            </w:pPr>
            <w:r w:rsidRPr="00406A04">
              <w:rPr>
                <w:rFonts w:ascii="Calibri" w:hAnsi="Calibri"/>
                <w:b/>
                <w:color w:val="000000"/>
              </w:rPr>
              <w:t>Дорослі, синовіальна рідина, МРС</w:t>
            </w: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Se: 0,96</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1 (52)</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24/ХН: 1</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96/ХН: 4</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192/ХН: 8</w:t>
            </w:r>
          </w:p>
        </w:tc>
      </w:tr>
      <w:tr w:rsidR="00ED665B" w:rsidRPr="00907702" w:rsidTr="00CA4657">
        <w:trPr>
          <w:trHeight w:hRule="exact" w:val="437"/>
        </w:trPr>
        <w:tc>
          <w:tcPr>
            <w:tcW w:w="2174" w:type="dxa"/>
            <w:vMerge/>
            <w:tcBorders>
              <w:top w:val="single" w:sz="8" w:space="0" w:color="009649"/>
              <w:left w:val="nil"/>
              <w:bottom w:val="single" w:sz="8" w:space="0" w:color="009649"/>
              <w:right w:val="nil"/>
            </w:tcBorders>
            <w:shd w:val="clear" w:color="auto" w:fill="FFFFFF"/>
            <w:vAlign w:val="center"/>
          </w:tcPr>
          <w:p w:rsidR="00ED665B" w:rsidRPr="00406A04" w:rsidRDefault="00ED665B" w:rsidP="00406A04">
            <w:pPr>
              <w:ind w:left="53" w:right="192"/>
              <w:rPr>
                <w:rFonts w:ascii="Calibri" w:hAnsi="Calibri" w:cs="Calibri"/>
                <w:b/>
              </w:rPr>
            </w:pPr>
          </w:p>
          <w:p w:rsidR="00ED665B" w:rsidRPr="00406A04" w:rsidRDefault="00ED665B" w:rsidP="00406A04">
            <w:pPr>
              <w:ind w:left="53" w:right="192"/>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Sp: 0,97</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1 (34)</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946 / ХП: 29</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873 / ХП: 27</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776 / ХП: 24</w:t>
            </w:r>
          </w:p>
        </w:tc>
      </w:tr>
      <w:tr w:rsidR="00ED665B" w:rsidRPr="00907702" w:rsidTr="00CA4657">
        <w:trPr>
          <w:trHeight w:hRule="exact" w:val="437"/>
        </w:trPr>
        <w:tc>
          <w:tcPr>
            <w:tcW w:w="2174" w:type="dxa"/>
            <w:vMerge w:val="restart"/>
            <w:tcBorders>
              <w:top w:val="single" w:sz="8" w:space="0" w:color="009649"/>
              <w:left w:val="nil"/>
              <w:bottom w:val="single" w:sz="8" w:space="0" w:color="009649"/>
              <w:right w:val="nil"/>
            </w:tcBorders>
            <w:shd w:val="clear" w:color="auto" w:fill="FFFFFF"/>
            <w:vAlign w:val="center"/>
          </w:tcPr>
          <w:p w:rsidR="00ED665B" w:rsidRPr="00406A04" w:rsidRDefault="006C7D2F" w:rsidP="00406A04">
            <w:pPr>
              <w:ind w:left="53" w:right="192"/>
              <w:rPr>
                <w:rFonts w:ascii="Calibri" w:hAnsi="Calibri" w:cs="Calibri"/>
                <w:b/>
              </w:rPr>
            </w:pPr>
            <w:r w:rsidRPr="00406A04">
              <w:rPr>
                <w:rFonts w:ascii="Calibri" w:hAnsi="Calibri"/>
                <w:b/>
                <w:color w:val="000000"/>
              </w:rPr>
              <w:t>Дорослі, синовіальна рідина, СРС</w:t>
            </w: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Se: 0,96</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1 (111)</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Низькі</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24/ХН: 1</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96/ХН: 4</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192/ХН: 8</w:t>
            </w:r>
          </w:p>
        </w:tc>
      </w:tr>
      <w:tr w:rsidR="00ED665B" w:rsidRPr="00907702" w:rsidTr="00CA4657">
        <w:trPr>
          <w:trHeight w:hRule="exact" w:val="437"/>
        </w:trPr>
        <w:tc>
          <w:tcPr>
            <w:tcW w:w="2174" w:type="dxa"/>
            <w:vMerge/>
            <w:tcBorders>
              <w:top w:val="single" w:sz="8" w:space="0" w:color="009649"/>
              <w:left w:val="nil"/>
              <w:bottom w:val="single" w:sz="8" w:space="0" w:color="009649"/>
              <w:right w:val="nil"/>
            </w:tcBorders>
            <w:shd w:val="clear" w:color="auto" w:fill="FFFFFF"/>
            <w:vAlign w:val="center"/>
          </w:tcPr>
          <w:p w:rsidR="00ED665B" w:rsidRPr="00406A04" w:rsidRDefault="00ED665B" w:rsidP="00CA4657">
            <w:pPr>
              <w:rPr>
                <w:rFonts w:ascii="Calibri" w:hAnsi="Calibri" w:cs="Calibri"/>
                <w:b/>
              </w:rPr>
            </w:pPr>
          </w:p>
          <w:p w:rsidR="00ED665B" w:rsidRPr="00406A04" w:rsidRDefault="00ED665B" w:rsidP="00CA4657">
            <w:pPr>
              <w:rPr>
                <w:rFonts w:ascii="Calibri" w:hAnsi="Calibri" w:cs="Calibri"/>
                <w:b/>
              </w:rPr>
            </w:pP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Sp: 0,97</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1 (34)</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946 / ХП: 29</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873 / ХП: 27</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776 / ХП: 24</w:t>
            </w:r>
          </w:p>
        </w:tc>
      </w:tr>
      <w:tr w:rsidR="00ED665B" w:rsidRPr="00907702" w:rsidTr="00CA4657">
        <w:trPr>
          <w:trHeight w:hRule="exact" w:val="437"/>
        </w:trPr>
        <w:tc>
          <w:tcPr>
            <w:tcW w:w="2174" w:type="dxa"/>
            <w:tcBorders>
              <w:top w:val="single" w:sz="8" w:space="0" w:color="009649"/>
              <w:left w:val="nil"/>
              <w:right w:val="nil"/>
            </w:tcBorders>
            <w:shd w:val="clear" w:color="auto" w:fill="FFFFFF"/>
            <w:vAlign w:val="center"/>
          </w:tcPr>
          <w:p w:rsidR="00ED665B" w:rsidRPr="00406A04" w:rsidRDefault="006C7D2F" w:rsidP="00CA4657">
            <w:pPr>
              <w:ind w:left="53"/>
              <w:rPr>
                <w:rFonts w:ascii="Calibri" w:hAnsi="Calibri" w:cs="Calibri"/>
                <w:b/>
              </w:rPr>
            </w:pPr>
            <w:r w:rsidRPr="00406A04">
              <w:rPr>
                <w:rFonts w:ascii="Calibri" w:hAnsi="Calibri"/>
                <w:b/>
                <w:color w:val="000000"/>
              </w:rPr>
              <w:t>Сеча, МРС у дорослих</w:t>
            </w: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Se: 1,00</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1 (12)</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25/ХН: 0</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100/ХН: 0</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ІП: 200/ХН: 0</w:t>
            </w:r>
          </w:p>
        </w:tc>
      </w:tr>
      <w:tr w:rsidR="00ED665B" w:rsidRPr="00907702" w:rsidTr="00CA4657">
        <w:trPr>
          <w:trHeight w:hRule="exact" w:val="437"/>
        </w:trPr>
        <w:tc>
          <w:tcPr>
            <w:tcW w:w="2174" w:type="dxa"/>
            <w:tcBorders>
              <w:left w:val="nil"/>
              <w:bottom w:val="single" w:sz="8" w:space="0" w:color="009649"/>
              <w:right w:val="nil"/>
            </w:tcBorders>
            <w:shd w:val="clear" w:color="auto" w:fill="FFFFFF"/>
            <w:vAlign w:val="center"/>
          </w:tcPr>
          <w:p w:rsidR="00ED665B" w:rsidRPr="00907702" w:rsidRDefault="00ED665B" w:rsidP="00CA4657">
            <w:pPr>
              <w:rPr>
                <w:rFonts w:ascii="Calibri" w:hAnsi="Calibri" w:cs="Calibri"/>
              </w:rPr>
            </w:pPr>
          </w:p>
        </w:tc>
        <w:tc>
          <w:tcPr>
            <w:tcW w:w="1680"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Sp: 1,00</w:t>
            </w:r>
          </w:p>
        </w:tc>
        <w:tc>
          <w:tcPr>
            <w:tcW w:w="130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1 (12)</w:t>
            </w:r>
          </w:p>
        </w:tc>
        <w:tc>
          <w:tcPr>
            <w:tcW w:w="1402"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Дуже низька</w:t>
            </w:r>
          </w:p>
        </w:tc>
        <w:tc>
          <w:tcPr>
            <w:tcW w:w="248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975 / ХП: 0</w:t>
            </w:r>
          </w:p>
        </w:tc>
        <w:tc>
          <w:tcPr>
            <w:tcW w:w="2491"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900 / ХП: 0</w:t>
            </w:r>
          </w:p>
        </w:tc>
        <w:tc>
          <w:tcPr>
            <w:tcW w:w="2496" w:type="dxa"/>
            <w:tcBorders>
              <w:top w:val="single" w:sz="8" w:space="0" w:color="009649"/>
              <w:left w:val="nil"/>
              <w:bottom w:val="single" w:sz="8" w:space="0" w:color="009649"/>
              <w:right w:val="nil"/>
            </w:tcBorders>
            <w:shd w:val="clear" w:color="auto" w:fill="FFFFFF"/>
            <w:vAlign w:val="center"/>
          </w:tcPr>
          <w:p w:rsidR="00ED665B" w:rsidRPr="00907702" w:rsidRDefault="006C7D2F" w:rsidP="00CA4657">
            <w:pPr>
              <w:jc w:val="center"/>
              <w:rPr>
                <w:rFonts w:ascii="Calibri" w:hAnsi="Calibri" w:cs="Calibri"/>
              </w:rPr>
            </w:pPr>
            <w:r>
              <w:rPr>
                <w:rFonts w:ascii="Calibri" w:hAnsi="Calibri"/>
                <w:color w:val="000000"/>
              </w:rPr>
              <w:t>ІН: 800 / ХП: 0</w:t>
            </w:r>
          </w:p>
        </w:tc>
      </w:tr>
      <w:tr w:rsidR="00ED665B" w:rsidRPr="00907702" w:rsidTr="00CA4657">
        <w:trPr>
          <w:trHeight w:hRule="exact" w:val="490"/>
        </w:trPr>
        <w:tc>
          <w:tcPr>
            <w:tcW w:w="14035" w:type="dxa"/>
            <w:gridSpan w:val="7"/>
            <w:tcBorders>
              <w:top w:val="single" w:sz="8" w:space="0" w:color="009649"/>
              <w:left w:val="nil"/>
              <w:bottom w:val="nil"/>
              <w:right w:val="nil"/>
            </w:tcBorders>
            <w:shd w:val="clear" w:color="auto" w:fill="FFFFFF"/>
          </w:tcPr>
          <w:p w:rsidR="00ED665B" w:rsidRPr="00907702" w:rsidRDefault="006C7D2F" w:rsidP="00406A04">
            <w:pPr>
              <w:jc w:val="both"/>
              <w:rPr>
                <w:rFonts w:ascii="Calibri" w:hAnsi="Calibri" w:cs="Calibri"/>
              </w:rPr>
            </w:pPr>
            <w:r>
              <w:rPr>
                <w:rFonts w:ascii="Calibri" w:hAnsi="Calibri"/>
                <w:color w:val="000000"/>
                <w:sz w:val="16"/>
              </w:rPr>
              <w:t>СРС: складений референс стандарт; СМР: спинномозкова рідина; ХН: хибнонегативний; ХП: хибнопозитивний; LNA: аспірат лімфатичних вузлів; LNB: біопсія лімфатичних вузлів; МРС: мікробіологічний референс стандарт;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rsidR="00ED665B" w:rsidRPr="0090770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79"/>
        <w:gridCol w:w="1584"/>
        <w:gridCol w:w="1402"/>
        <w:gridCol w:w="1493"/>
        <w:gridCol w:w="2146"/>
        <w:gridCol w:w="2338"/>
        <w:gridCol w:w="2904"/>
      </w:tblGrid>
      <w:tr w:rsidR="00ED665B" w:rsidRPr="00CA4657" w:rsidTr="00CA4657">
        <w:trPr>
          <w:trHeight w:hRule="exact" w:val="763"/>
        </w:trPr>
        <w:tc>
          <w:tcPr>
            <w:tcW w:w="14046" w:type="dxa"/>
            <w:gridSpan w:val="7"/>
            <w:tcBorders>
              <w:top w:val="nil"/>
              <w:left w:val="nil"/>
              <w:bottom w:val="single" w:sz="8" w:space="0" w:color="009649"/>
              <w:right w:val="nil"/>
            </w:tcBorders>
            <w:shd w:val="clear" w:color="auto" w:fill="FFFFFF"/>
          </w:tcPr>
          <w:p w:rsidR="00ED665B" w:rsidRPr="00CA4657" w:rsidRDefault="006C7D2F" w:rsidP="00DC2656">
            <w:pPr>
              <w:ind w:right="1646"/>
              <w:rPr>
                <w:rFonts w:ascii="Calibri" w:hAnsi="Calibri" w:cs="Calibri"/>
                <w:b/>
                <w:bCs/>
              </w:rPr>
            </w:pPr>
            <w:r>
              <w:rPr>
                <w:rFonts w:ascii="Calibri" w:hAnsi="Calibri"/>
                <w:b/>
                <w:color w:val="636466"/>
                <w:sz w:val="24"/>
              </w:rPr>
              <w:t>Таблиця 2.1.12. PICO 3.2: Яка діагностична точність Xpert Ultra щодо виявлення резистентності до рифампіцину у дорослих з позалегеневим ТБ у порівнянні з МРС та СРС?</w:t>
            </w:r>
          </w:p>
        </w:tc>
      </w:tr>
      <w:tr w:rsidR="00ED665B" w:rsidRPr="00907702" w:rsidTr="00CA4657">
        <w:trPr>
          <w:trHeight w:hRule="exact" w:val="658"/>
        </w:trPr>
        <w:tc>
          <w:tcPr>
            <w:tcW w:w="2179"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rPr>
                <w:rFonts w:ascii="Calibri" w:hAnsi="Calibri" w:cs="Calibri"/>
                <w:b/>
              </w:rPr>
            </w:pPr>
            <w:r w:rsidRPr="008E12CA">
              <w:rPr>
                <w:rFonts w:ascii="Calibri" w:hAnsi="Calibri"/>
                <w:b/>
                <w:color w:val="000000"/>
              </w:rPr>
              <w:t>Популяція пацієнтів</w:t>
            </w:r>
          </w:p>
        </w:tc>
        <w:tc>
          <w:tcPr>
            <w:tcW w:w="158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jc w:val="center"/>
              <w:rPr>
                <w:rFonts w:ascii="Calibri" w:hAnsi="Calibri" w:cs="Calibri"/>
                <w:b/>
              </w:rPr>
            </w:pPr>
            <w:r w:rsidRPr="008E12CA">
              <w:rPr>
                <w:rFonts w:ascii="Calibri" w:hAnsi="Calibri"/>
                <w:b/>
                <w:color w:val="000000"/>
              </w:rPr>
              <w:t>Точність тесту</w:t>
            </w:r>
          </w:p>
        </w:tc>
        <w:tc>
          <w:tcPr>
            <w:tcW w:w="140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ind w:left="149" w:right="144"/>
              <w:jc w:val="center"/>
              <w:rPr>
                <w:rFonts w:ascii="Calibri" w:hAnsi="Calibri" w:cs="Calibri"/>
                <w:b/>
              </w:rPr>
            </w:pPr>
            <w:r w:rsidRPr="008E12CA">
              <w:rPr>
                <w:rFonts w:ascii="Calibri" w:hAnsi="Calibri"/>
                <w:b/>
                <w:color w:val="000000"/>
              </w:rPr>
              <w:t>Дослідження (осіб)</w:t>
            </w:r>
          </w:p>
        </w:tc>
        <w:tc>
          <w:tcPr>
            <w:tcW w:w="149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ind w:left="67" w:right="58"/>
              <w:jc w:val="center"/>
              <w:rPr>
                <w:rFonts w:ascii="Calibri" w:hAnsi="Calibri" w:cs="Calibri"/>
                <w:b/>
              </w:rPr>
            </w:pPr>
            <w:r w:rsidRPr="008E12CA">
              <w:rPr>
                <w:rFonts w:ascii="Calibri" w:hAnsi="Calibri"/>
                <w:b/>
                <w:color w:val="000000"/>
              </w:rPr>
              <w:t>Достовірність даних</w:t>
            </w:r>
          </w:p>
        </w:tc>
        <w:tc>
          <w:tcPr>
            <w:tcW w:w="214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jc w:val="center"/>
              <w:rPr>
                <w:rFonts w:ascii="Calibri" w:hAnsi="Calibri" w:cs="Calibri"/>
                <w:b/>
              </w:rPr>
            </w:pPr>
            <w:r w:rsidRPr="008E12CA">
              <w:rPr>
                <w:rFonts w:ascii="Calibri" w:hAnsi="Calibri"/>
                <w:b/>
                <w:color w:val="000000"/>
              </w:rPr>
              <w:t>Поширеність 2%</w:t>
            </w:r>
          </w:p>
        </w:tc>
        <w:tc>
          <w:tcPr>
            <w:tcW w:w="233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jc w:val="center"/>
              <w:rPr>
                <w:rFonts w:ascii="Calibri" w:hAnsi="Calibri" w:cs="Calibri"/>
                <w:b/>
              </w:rPr>
            </w:pPr>
            <w:r w:rsidRPr="008E12CA">
              <w:rPr>
                <w:rFonts w:ascii="Calibri" w:hAnsi="Calibri"/>
                <w:b/>
                <w:color w:val="000000"/>
              </w:rPr>
              <w:t>Поширеність 10%</w:t>
            </w:r>
          </w:p>
        </w:tc>
        <w:tc>
          <w:tcPr>
            <w:tcW w:w="290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CA4657">
            <w:pPr>
              <w:jc w:val="center"/>
              <w:rPr>
                <w:rFonts w:ascii="Calibri" w:hAnsi="Calibri" w:cs="Calibri"/>
                <w:b/>
              </w:rPr>
            </w:pPr>
            <w:r w:rsidRPr="008E12CA">
              <w:rPr>
                <w:rFonts w:ascii="Calibri" w:hAnsi="Calibri"/>
                <w:b/>
                <w:color w:val="000000"/>
              </w:rPr>
              <w:t>Поширеність 15%</w:t>
            </w:r>
          </w:p>
        </w:tc>
      </w:tr>
      <w:tr w:rsidR="00ED665B" w:rsidRPr="00907702" w:rsidTr="00CA4657">
        <w:trPr>
          <w:trHeight w:hRule="exact" w:val="442"/>
        </w:trPr>
        <w:tc>
          <w:tcPr>
            <w:tcW w:w="2179" w:type="dxa"/>
            <w:vMerge w:val="restart"/>
            <w:tcBorders>
              <w:top w:val="single" w:sz="8" w:space="0" w:color="009649"/>
              <w:left w:val="nil"/>
              <w:bottom w:val="nil"/>
              <w:right w:val="nil"/>
            </w:tcBorders>
            <w:shd w:val="clear" w:color="auto" w:fill="FFFFFF"/>
            <w:vAlign w:val="center"/>
          </w:tcPr>
          <w:p w:rsidR="00ED665B" w:rsidRPr="00406A04" w:rsidRDefault="006C7D2F" w:rsidP="00CA4657">
            <w:pPr>
              <w:ind w:left="53"/>
              <w:rPr>
                <w:rFonts w:ascii="Calibri" w:hAnsi="Calibri" w:cs="Calibri"/>
                <w:b/>
              </w:rPr>
            </w:pPr>
            <w:r w:rsidRPr="00406A04">
              <w:rPr>
                <w:rFonts w:ascii="Calibri" w:hAnsi="Calibri"/>
                <w:b/>
                <w:color w:val="000000"/>
              </w:rPr>
              <w:t>Риф, МРС у дорослих</w:t>
            </w:r>
          </w:p>
        </w:tc>
        <w:tc>
          <w:tcPr>
            <w:tcW w:w="1584" w:type="dxa"/>
            <w:tcBorders>
              <w:top w:val="single" w:sz="8" w:space="0" w:color="009649"/>
              <w:left w:val="nil"/>
              <w:bottom w:val="single" w:sz="8" w:space="0" w:color="009649"/>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rPr>
              <w:t>Se: 0,97</w:t>
            </w:r>
          </w:p>
        </w:tc>
        <w:tc>
          <w:tcPr>
            <w:tcW w:w="1402" w:type="dxa"/>
            <w:tcBorders>
              <w:top w:val="single" w:sz="8" w:space="0" w:color="009649"/>
              <w:left w:val="nil"/>
              <w:bottom w:val="single" w:sz="8" w:space="0" w:color="009649"/>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rPr>
              <w:t>3 (19)</w:t>
            </w:r>
          </w:p>
        </w:tc>
        <w:tc>
          <w:tcPr>
            <w:tcW w:w="1493" w:type="dxa"/>
            <w:tcBorders>
              <w:top w:val="single" w:sz="8" w:space="0" w:color="009649"/>
              <w:left w:val="nil"/>
              <w:bottom w:val="single" w:sz="8" w:space="0" w:color="009649"/>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Низькі</w:t>
            </w:r>
          </w:p>
        </w:tc>
        <w:tc>
          <w:tcPr>
            <w:tcW w:w="2146" w:type="dxa"/>
            <w:tcBorders>
              <w:top w:val="single" w:sz="8" w:space="0" w:color="009649"/>
              <w:left w:val="nil"/>
              <w:bottom w:val="single" w:sz="8" w:space="0" w:color="009649"/>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19/ХН: 1</w:t>
            </w:r>
          </w:p>
        </w:tc>
        <w:tc>
          <w:tcPr>
            <w:tcW w:w="2338" w:type="dxa"/>
            <w:tcBorders>
              <w:top w:val="single" w:sz="8" w:space="0" w:color="009649"/>
              <w:left w:val="nil"/>
              <w:bottom w:val="single" w:sz="8" w:space="0" w:color="009649"/>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97/ХН: 3</w:t>
            </w:r>
          </w:p>
        </w:tc>
        <w:tc>
          <w:tcPr>
            <w:tcW w:w="2904" w:type="dxa"/>
            <w:tcBorders>
              <w:top w:val="single" w:sz="8" w:space="0" w:color="009649"/>
              <w:left w:val="nil"/>
              <w:bottom w:val="single" w:sz="8" w:space="0" w:color="009649"/>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145/ХН: 5</w:t>
            </w:r>
          </w:p>
        </w:tc>
      </w:tr>
      <w:tr w:rsidR="00ED665B" w:rsidRPr="00907702" w:rsidTr="00CA4657">
        <w:trPr>
          <w:trHeight w:hRule="exact" w:val="437"/>
        </w:trPr>
        <w:tc>
          <w:tcPr>
            <w:tcW w:w="2179" w:type="dxa"/>
            <w:vMerge/>
            <w:tcBorders>
              <w:top w:val="nil"/>
              <w:left w:val="nil"/>
              <w:bottom w:val="single" w:sz="8" w:space="0" w:color="009649"/>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584" w:type="dxa"/>
            <w:tcBorders>
              <w:top w:val="single" w:sz="8" w:space="0" w:color="009649"/>
              <w:left w:val="nil"/>
              <w:bottom w:val="single" w:sz="8" w:space="0" w:color="009649"/>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rPr>
              <w:t>Sp: 0,99</w:t>
            </w:r>
          </w:p>
        </w:tc>
        <w:tc>
          <w:tcPr>
            <w:tcW w:w="1402" w:type="dxa"/>
            <w:tcBorders>
              <w:top w:val="single" w:sz="8" w:space="0" w:color="009649"/>
              <w:left w:val="nil"/>
              <w:bottom w:val="single" w:sz="8" w:space="0" w:color="009649"/>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rPr>
              <w:t>3 (84)</w:t>
            </w:r>
          </w:p>
        </w:tc>
        <w:tc>
          <w:tcPr>
            <w:tcW w:w="1493" w:type="dxa"/>
            <w:tcBorders>
              <w:top w:val="single" w:sz="8" w:space="0" w:color="009649"/>
              <w:left w:val="nil"/>
              <w:bottom w:val="single" w:sz="8" w:space="0" w:color="009649"/>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Помірна</w:t>
            </w:r>
          </w:p>
        </w:tc>
        <w:tc>
          <w:tcPr>
            <w:tcW w:w="2146" w:type="dxa"/>
            <w:tcBorders>
              <w:top w:val="single" w:sz="8" w:space="0" w:color="009649"/>
              <w:left w:val="nil"/>
              <w:bottom w:val="single" w:sz="8" w:space="0" w:color="009649"/>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968 / ХП: 12</w:t>
            </w:r>
          </w:p>
        </w:tc>
        <w:tc>
          <w:tcPr>
            <w:tcW w:w="2338" w:type="dxa"/>
            <w:tcBorders>
              <w:top w:val="single" w:sz="8" w:space="0" w:color="009649"/>
              <w:left w:val="nil"/>
              <w:bottom w:val="single" w:sz="8" w:space="0" w:color="009649"/>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889 / ХП: 11</w:t>
            </w:r>
          </w:p>
        </w:tc>
        <w:tc>
          <w:tcPr>
            <w:tcW w:w="2904" w:type="dxa"/>
            <w:tcBorders>
              <w:top w:val="single" w:sz="8" w:space="0" w:color="009649"/>
              <w:left w:val="nil"/>
              <w:bottom w:val="single" w:sz="8" w:space="0" w:color="009649"/>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840 / ХП: 10</w:t>
            </w:r>
          </w:p>
        </w:tc>
      </w:tr>
      <w:tr w:rsidR="00ED665B" w:rsidRPr="00907702" w:rsidTr="00CA4657">
        <w:trPr>
          <w:trHeight w:hRule="exact" w:val="485"/>
        </w:trPr>
        <w:tc>
          <w:tcPr>
            <w:tcW w:w="14046" w:type="dxa"/>
            <w:gridSpan w:val="7"/>
            <w:tcBorders>
              <w:top w:val="single" w:sz="8" w:space="0" w:color="009649"/>
              <w:left w:val="nil"/>
              <w:bottom w:val="nil"/>
              <w:right w:val="nil"/>
            </w:tcBorders>
            <w:shd w:val="clear" w:color="auto" w:fill="FFFFFF"/>
          </w:tcPr>
          <w:p w:rsidR="00ED665B" w:rsidRPr="00907702" w:rsidRDefault="006C7D2F" w:rsidP="00406A04">
            <w:pPr>
              <w:jc w:val="both"/>
              <w:rPr>
                <w:rFonts w:ascii="Calibri" w:hAnsi="Calibri" w:cs="Calibri"/>
              </w:rPr>
            </w:pPr>
            <w:r>
              <w:rPr>
                <w:rFonts w:ascii="Calibri" w:hAnsi="Calibri"/>
                <w:color w:val="000000"/>
                <w:sz w:val="16"/>
              </w:rPr>
              <w:t>СРС: складений референс стандарт; ХН: хибнонегативний; ХП: хибнопозитивний; МРС: мікробіологічний референс стандарт; PICO: кількість населення, заходи, порівняння, результат; Риф: резистентність до рифампіцину; Se: чутливість; Sp: специфічність; ТБ: туберкульоз; ІН: істинно негативний; ІП: істинно позитивний.</w:t>
            </w:r>
          </w:p>
        </w:tc>
      </w:tr>
    </w:tbl>
    <w:p w:rsidR="00ED665B" w:rsidRPr="00907702" w:rsidRDefault="00ED665B" w:rsidP="00DC2656">
      <w:pPr>
        <w:rPr>
          <w:rFonts w:ascii="Calibri" w:hAnsi="Calibri" w:cs="Calibri"/>
        </w:rPr>
        <w:sectPr w:rsidR="00ED665B" w:rsidRPr="00907702" w:rsidSect="00CA4657">
          <w:pgSz w:w="16838" w:h="11904" w:orient="landscape"/>
          <w:pgMar w:top="1416" w:right="1406" w:bottom="993"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285"/>
        <w:gridCol w:w="1694"/>
        <w:gridCol w:w="1502"/>
        <w:gridCol w:w="1690"/>
        <w:gridCol w:w="2069"/>
        <w:gridCol w:w="2160"/>
        <w:gridCol w:w="2645"/>
      </w:tblGrid>
      <w:tr w:rsidR="00ED665B" w:rsidRPr="00860142" w:rsidTr="00860142">
        <w:trPr>
          <w:trHeight w:hRule="exact" w:val="763"/>
        </w:trPr>
        <w:tc>
          <w:tcPr>
            <w:tcW w:w="14045" w:type="dxa"/>
            <w:gridSpan w:val="7"/>
            <w:tcBorders>
              <w:top w:val="nil"/>
              <w:left w:val="nil"/>
              <w:bottom w:val="single" w:sz="8" w:space="0" w:color="009649"/>
              <w:right w:val="nil"/>
            </w:tcBorders>
            <w:shd w:val="clear" w:color="auto" w:fill="FFFFFF"/>
          </w:tcPr>
          <w:p w:rsidR="00ED665B" w:rsidRPr="00860142" w:rsidRDefault="006C7D2F" w:rsidP="00DC2656">
            <w:pPr>
              <w:ind w:right="187"/>
              <w:rPr>
                <w:rFonts w:ascii="Calibri" w:hAnsi="Calibri" w:cs="Calibri"/>
                <w:b/>
                <w:bCs/>
              </w:rPr>
            </w:pPr>
            <w:r>
              <w:rPr>
                <w:rFonts w:ascii="Calibri" w:hAnsi="Calibri"/>
                <w:b/>
                <w:color w:val="636466"/>
                <w:sz w:val="24"/>
              </w:rPr>
              <w:lastRenderedPageBreak/>
              <w:t>Таблиця 2.1.13. PICO 4.1: Яка діагностична точність Xpert MTB/RIF щодо виявлення позалегеневого ТБ у дітей у порівнянні з МРС?</w:t>
            </w:r>
          </w:p>
        </w:tc>
      </w:tr>
      <w:tr w:rsidR="00ED665B" w:rsidRPr="00907702" w:rsidTr="00860142">
        <w:trPr>
          <w:trHeight w:hRule="exact" w:val="658"/>
        </w:trPr>
        <w:tc>
          <w:tcPr>
            <w:tcW w:w="228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72"/>
              <w:rPr>
                <w:rFonts w:ascii="Calibri" w:hAnsi="Calibri" w:cs="Calibri"/>
                <w:b/>
              </w:rPr>
            </w:pPr>
            <w:r w:rsidRPr="008E12CA">
              <w:rPr>
                <w:rFonts w:ascii="Calibri" w:hAnsi="Calibri"/>
                <w:b/>
                <w:color w:val="000000"/>
              </w:rPr>
              <w:t>Популяція пацієнтів</w:t>
            </w:r>
          </w:p>
        </w:tc>
        <w:tc>
          <w:tcPr>
            <w:tcW w:w="169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jc w:val="center"/>
              <w:rPr>
                <w:rFonts w:ascii="Calibri" w:hAnsi="Calibri" w:cs="Calibri"/>
                <w:b/>
              </w:rPr>
            </w:pPr>
            <w:r w:rsidRPr="008E12CA">
              <w:rPr>
                <w:rFonts w:ascii="Calibri" w:hAnsi="Calibri"/>
                <w:b/>
                <w:color w:val="000000"/>
              </w:rPr>
              <w:t>Точність тесту</w:t>
            </w:r>
          </w:p>
        </w:tc>
        <w:tc>
          <w:tcPr>
            <w:tcW w:w="150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197" w:right="197"/>
              <w:jc w:val="center"/>
              <w:rPr>
                <w:rFonts w:ascii="Calibri" w:hAnsi="Calibri" w:cs="Calibri"/>
                <w:b/>
              </w:rPr>
            </w:pPr>
            <w:r w:rsidRPr="008E12CA">
              <w:rPr>
                <w:rFonts w:ascii="Calibri" w:hAnsi="Calibri"/>
                <w:b/>
                <w:color w:val="000000"/>
              </w:rPr>
              <w:t>Дослідження (осіб)</w:t>
            </w:r>
          </w:p>
        </w:tc>
        <w:tc>
          <w:tcPr>
            <w:tcW w:w="169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163" w:right="158"/>
              <w:jc w:val="center"/>
              <w:rPr>
                <w:rFonts w:ascii="Calibri" w:hAnsi="Calibri" w:cs="Calibri"/>
                <w:b/>
              </w:rPr>
            </w:pPr>
            <w:r w:rsidRPr="008E12CA">
              <w:rPr>
                <w:rFonts w:ascii="Calibri" w:hAnsi="Calibri"/>
                <w:b/>
                <w:color w:val="000000"/>
              </w:rPr>
              <w:t>Достовірність даних</w:t>
            </w:r>
          </w:p>
        </w:tc>
        <w:tc>
          <w:tcPr>
            <w:tcW w:w="2069"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jc w:val="center"/>
              <w:rPr>
                <w:rFonts w:ascii="Calibri" w:hAnsi="Calibri" w:cs="Calibri"/>
                <w:b/>
              </w:rPr>
            </w:pPr>
            <w:r w:rsidRPr="008E12CA">
              <w:rPr>
                <w:rFonts w:ascii="Calibri" w:hAnsi="Calibri"/>
                <w:b/>
                <w:color w:val="000000"/>
              </w:rPr>
              <w:t>Поширеність 1%</w:t>
            </w:r>
          </w:p>
        </w:tc>
        <w:tc>
          <w:tcPr>
            <w:tcW w:w="216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jc w:val="center"/>
              <w:rPr>
                <w:rFonts w:ascii="Calibri" w:hAnsi="Calibri" w:cs="Calibri"/>
                <w:b/>
              </w:rPr>
            </w:pPr>
            <w:r w:rsidRPr="008E12CA">
              <w:rPr>
                <w:rFonts w:ascii="Calibri" w:hAnsi="Calibri"/>
                <w:b/>
                <w:color w:val="000000"/>
              </w:rPr>
              <w:t>Поширеність 5%</w:t>
            </w:r>
          </w:p>
        </w:tc>
        <w:tc>
          <w:tcPr>
            <w:tcW w:w="264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jc w:val="center"/>
              <w:rPr>
                <w:rFonts w:ascii="Calibri" w:hAnsi="Calibri" w:cs="Calibri"/>
                <w:b/>
              </w:rPr>
            </w:pPr>
            <w:r w:rsidRPr="008E12CA">
              <w:rPr>
                <w:rFonts w:ascii="Calibri" w:hAnsi="Calibri"/>
                <w:b/>
                <w:color w:val="000000"/>
              </w:rPr>
              <w:t>Поширеність 10%</w:t>
            </w:r>
          </w:p>
        </w:tc>
      </w:tr>
      <w:tr w:rsidR="00ED665B" w:rsidRPr="00907702" w:rsidTr="00860142">
        <w:trPr>
          <w:trHeight w:hRule="exact" w:val="442"/>
        </w:trPr>
        <w:tc>
          <w:tcPr>
            <w:tcW w:w="2285" w:type="dxa"/>
            <w:vMerge w:val="restart"/>
            <w:tcBorders>
              <w:top w:val="single" w:sz="8" w:space="0" w:color="009649"/>
            </w:tcBorders>
            <w:shd w:val="clear" w:color="auto" w:fill="FFFFFF"/>
            <w:vAlign w:val="center"/>
          </w:tcPr>
          <w:p w:rsidR="00ED665B" w:rsidRPr="00406A04" w:rsidRDefault="006C7D2F" w:rsidP="00860142">
            <w:pPr>
              <w:ind w:left="53"/>
              <w:rPr>
                <w:rFonts w:ascii="Calibri" w:hAnsi="Calibri" w:cs="Calibri"/>
                <w:b/>
              </w:rPr>
            </w:pPr>
            <w:r w:rsidRPr="00406A04">
              <w:rPr>
                <w:rFonts w:ascii="Calibri" w:hAnsi="Calibri"/>
                <w:b/>
                <w:color w:val="000000"/>
              </w:rPr>
              <w:t>СМР, МРС у дітей</w:t>
            </w:r>
          </w:p>
        </w:tc>
        <w:tc>
          <w:tcPr>
            <w:tcW w:w="1694"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Se: 0,54</w:t>
            </w:r>
          </w:p>
        </w:tc>
        <w:tc>
          <w:tcPr>
            <w:tcW w:w="1502"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6 (28)</w:t>
            </w:r>
          </w:p>
        </w:tc>
        <w:tc>
          <w:tcPr>
            <w:tcW w:w="1690"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Дуже низька</w:t>
            </w:r>
          </w:p>
        </w:tc>
        <w:tc>
          <w:tcPr>
            <w:tcW w:w="2069"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ІП: 5/ХН: 5</w:t>
            </w:r>
          </w:p>
        </w:tc>
        <w:tc>
          <w:tcPr>
            <w:tcW w:w="2160"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ІП: 27/ХН: 23</w:t>
            </w:r>
          </w:p>
        </w:tc>
        <w:tc>
          <w:tcPr>
            <w:tcW w:w="2645"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ІП: 54/ХН: 46</w:t>
            </w:r>
          </w:p>
        </w:tc>
      </w:tr>
      <w:tr w:rsidR="00ED665B" w:rsidRPr="00907702" w:rsidTr="00860142">
        <w:trPr>
          <w:trHeight w:hRule="exact" w:val="437"/>
        </w:trPr>
        <w:tc>
          <w:tcPr>
            <w:tcW w:w="2285" w:type="dxa"/>
            <w:vMerge/>
            <w:tcBorders>
              <w:bottom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694"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Sp: 0,94</w:t>
            </w:r>
          </w:p>
        </w:tc>
        <w:tc>
          <w:tcPr>
            <w:tcW w:w="1502"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6 (213)</w:t>
            </w:r>
          </w:p>
        </w:tc>
        <w:tc>
          <w:tcPr>
            <w:tcW w:w="1690"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Низькі</w:t>
            </w:r>
          </w:p>
        </w:tc>
        <w:tc>
          <w:tcPr>
            <w:tcW w:w="2069"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ІН: 929 / ХП: 61</w:t>
            </w:r>
          </w:p>
        </w:tc>
        <w:tc>
          <w:tcPr>
            <w:tcW w:w="2160"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ІН: 891 / ХП: 59</w:t>
            </w:r>
          </w:p>
        </w:tc>
        <w:tc>
          <w:tcPr>
            <w:tcW w:w="2645"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ІН: 844 / ХП: 56</w:t>
            </w:r>
          </w:p>
        </w:tc>
      </w:tr>
      <w:tr w:rsidR="00ED665B" w:rsidRPr="00907702" w:rsidTr="00860142">
        <w:trPr>
          <w:trHeight w:hRule="exact" w:val="490"/>
        </w:trPr>
        <w:tc>
          <w:tcPr>
            <w:tcW w:w="14045" w:type="dxa"/>
            <w:gridSpan w:val="7"/>
            <w:tcBorders>
              <w:top w:val="single" w:sz="8" w:space="0" w:color="009649"/>
            </w:tcBorders>
            <w:shd w:val="clear" w:color="auto" w:fill="FFFFFF"/>
          </w:tcPr>
          <w:p w:rsidR="00ED665B" w:rsidRPr="00907702" w:rsidRDefault="006C7D2F" w:rsidP="00406A04">
            <w:pPr>
              <w:jc w:val="both"/>
              <w:rPr>
                <w:rFonts w:ascii="Calibri" w:hAnsi="Calibri" w:cs="Calibri"/>
              </w:rPr>
            </w:pPr>
            <w:r>
              <w:rPr>
                <w:rFonts w:ascii="Calibri" w:hAnsi="Calibri"/>
                <w:color w:val="000000"/>
                <w:sz w:val="16"/>
              </w:rPr>
              <w:t>СМР: спинномозкова рідина; ХН: хибнонегативний; ХП: хибнопозитивний; МРС: мікробіологічний референс стандарт;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rsidR="00ED665B" w:rsidRPr="0090770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76"/>
        <w:gridCol w:w="1315"/>
        <w:gridCol w:w="1315"/>
        <w:gridCol w:w="1507"/>
        <w:gridCol w:w="2438"/>
        <w:gridCol w:w="2472"/>
        <w:gridCol w:w="2640"/>
      </w:tblGrid>
      <w:tr w:rsidR="00ED665B" w:rsidRPr="00860142" w:rsidTr="00860142">
        <w:trPr>
          <w:trHeight w:hRule="exact" w:val="763"/>
        </w:trPr>
        <w:tc>
          <w:tcPr>
            <w:tcW w:w="14063" w:type="dxa"/>
            <w:gridSpan w:val="7"/>
            <w:tcBorders>
              <w:top w:val="nil"/>
              <w:left w:val="nil"/>
              <w:bottom w:val="single" w:sz="8" w:space="0" w:color="009649"/>
              <w:right w:val="nil"/>
            </w:tcBorders>
            <w:shd w:val="clear" w:color="auto" w:fill="FFFFFF"/>
          </w:tcPr>
          <w:p w:rsidR="00ED665B" w:rsidRPr="00860142" w:rsidRDefault="006C7D2F" w:rsidP="00406A04">
            <w:pPr>
              <w:ind w:right="211"/>
              <w:jc w:val="both"/>
              <w:rPr>
                <w:rFonts w:ascii="Calibri" w:hAnsi="Calibri" w:cs="Calibri"/>
                <w:b/>
                <w:bCs/>
              </w:rPr>
            </w:pPr>
            <w:r>
              <w:rPr>
                <w:rFonts w:ascii="Calibri" w:hAnsi="Calibri"/>
                <w:b/>
                <w:color w:val="636466"/>
                <w:sz w:val="24"/>
              </w:rPr>
              <w:t>Таблиця 2.1.14. PICO 5.1: Повторний тест Xpert Ultra для діагностики легеневого ТБ у дорослих з ознаками та симптомами легеневого ТБ, які мають початковий результат тесту Ultra, порівняно з МРС?</w:t>
            </w:r>
          </w:p>
        </w:tc>
      </w:tr>
      <w:tr w:rsidR="00ED665B" w:rsidRPr="00907702" w:rsidTr="00860142">
        <w:trPr>
          <w:trHeight w:hRule="exact" w:val="653"/>
        </w:trPr>
        <w:tc>
          <w:tcPr>
            <w:tcW w:w="237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72"/>
              <w:rPr>
                <w:rFonts w:ascii="Calibri" w:hAnsi="Calibri" w:cs="Calibri"/>
                <w:b/>
              </w:rPr>
            </w:pPr>
            <w:r w:rsidRPr="008E12CA">
              <w:rPr>
                <w:rFonts w:ascii="Calibri" w:hAnsi="Calibri"/>
                <w:b/>
                <w:color w:val="000000"/>
              </w:rPr>
              <w:t>Популяція пацієнтів</w:t>
            </w:r>
          </w:p>
        </w:tc>
        <w:tc>
          <w:tcPr>
            <w:tcW w:w="131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right="130" w:firstLine="92"/>
              <w:jc w:val="center"/>
              <w:rPr>
                <w:rFonts w:ascii="Calibri" w:hAnsi="Calibri" w:cs="Calibri"/>
                <w:b/>
              </w:rPr>
            </w:pPr>
            <w:r w:rsidRPr="008E12CA">
              <w:rPr>
                <w:rFonts w:ascii="Calibri" w:hAnsi="Calibri"/>
                <w:b/>
                <w:color w:val="000000"/>
              </w:rPr>
              <w:t>Точність тесту</w:t>
            </w:r>
          </w:p>
        </w:tc>
        <w:tc>
          <w:tcPr>
            <w:tcW w:w="131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right="101"/>
              <w:jc w:val="center"/>
              <w:rPr>
                <w:rFonts w:ascii="Calibri" w:hAnsi="Calibri" w:cs="Calibri"/>
                <w:b/>
              </w:rPr>
            </w:pPr>
            <w:r w:rsidRPr="008E12CA">
              <w:rPr>
                <w:rFonts w:ascii="Calibri" w:hAnsi="Calibri"/>
                <w:b/>
                <w:color w:val="000000"/>
              </w:rPr>
              <w:t>Дослідження (осіб)</w:t>
            </w:r>
          </w:p>
        </w:tc>
        <w:tc>
          <w:tcPr>
            <w:tcW w:w="1507"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right="-11"/>
              <w:jc w:val="center"/>
              <w:rPr>
                <w:rFonts w:ascii="Calibri" w:hAnsi="Calibri" w:cs="Calibri"/>
                <w:b/>
              </w:rPr>
            </w:pPr>
            <w:r w:rsidRPr="008E12CA">
              <w:rPr>
                <w:rFonts w:ascii="Calibri" w:hAnsi="Calibri"/>
                <w:b/>
                <w:color w:val="000000"/>
              </w:rPr>
              <w:t>Достовірність даних</w:t>
            </w:r>
          </w:p>
        </w:tc>
        <w:tc>
          <w:tcPr>
            <w:tcW w:w="243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jc w:val="center"/>
              <w:rPr>
                <w:rFonts w:ascii="Calibri" w:hAnsi="Calibri" w:cs="Calibri"/>
                <w:b/>
              </w:rPr>
            </w:pPr>
            <w:r w:rsidRPr="008E12CA">
              <w:rPr>
                <w:rFonts w:ascii="Calibri" w:hAnsi="Calibri"/>
                <w:b/>
                <w:color w:val="000000"/>
              </w:rPr>
              <w:t>Поширеність 2,5%</w:t>
            </w:r>
          </w:p>
        </w:tc>
        <w:tc>
          <w:tcPr>
            <w:tcW w:w="247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jc w:val="center"/>
              <w:rPr>
                <w:rFonts w:ascii="Calibri" w:hAnsi="Calibri" w:cs="Calibri"/>
                <w:b/>
              </w:rPr>
            </w:pPr>
            <w:r w:rsidRPr="008E12CA">
              <w:rPr>
                <w:rFonts w:ascii="Calibri" w:hAnsi="Calibri"/>
                <w:b/>
                <w:color w:val="000000"/>
              </w:rPr>
              <w:t>Поширеність 10%</w:t>
            </w:r>
          </w:p>
        </w:tc>
        <w:tc>
          <w:tcPr>
            <w:tcW w:w="264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jc w:val="center"/>
              <w:rPr>
                <w:rFonts w:ascii="Calibri" w:hAnsi="Calibri" w:cs="Calibri"/>
                <w:b/>
              </w:rPr>
            </w:pPr>
            <w:r w:rsidRPr="008E12CA">
              <w:rPr>
                <w:rFonts w:ascii="Calibri" w:hAnsi="Calibri"/>
                <w:b/>
                <w:color w:val="000000"/>
              </w:rPr>
              <w:t>Поширеність 30%</w:t>
            </w:r>
          </w:p>
        </w:tc>
      </w:tr>
      <w:tr w:rsidR="00ED665B" w:rsidRPr="00907702" w:rsidTr="00860142">
        <w:trPr>
          <w:trHeight w:hRule="exact" w:val="672"/>
        </w:trPr>
        <w:tc>
          <w:tcPr>
            <w:tcW w:w="2376" w:type="dxa"/>
            <w:vMerge w:val="restart"/>
            <w:tcBorders>
              <w:top w:val="single" w:sz="8" w:space="0" w:color="009649"/>
              <w:left w:val="nil"/>
              <w:bottom w:val="nil"/>
              <w:right w:val="nil"/>
            </w:tcBorders>
            <w:shd w:val="clear" w:color="auto" w:fill="FFFFFF"/>
            <w:vAlign w:val="center"/>
          </w:tcPr>
          <w:p w:rsidR="00ED665B" w:rsidRPr="00406A04" w:rsidRDefault="006C7D2F" w:rsidP="00860142">
            <w:pPr>
              <w:ind w:left="53" w:right="298"/>
              <w:rPr>
                <w:rFonts w:ascii="Calibri" w:hAnsi="Calibri" w:cs="Calibri"/>
                <w:b/>
              </w:rPr>
            </w:pPr>
            <w:r w:rsidRPr="00406A04">
              <w:rPr>
                <w:rFonts w:ascii="Calibri" w:hAnsi="Calibri"/>
                <w:b/>
                <w:color w:val="000000"/>
              </w:rPr>
              <w:t>Повторний тест Ultra для виявлення ЛТБ у дорослих з початковим результатом, МРС</w:t>
            </w:r>
          </w:p>
        </w:tc>
        <w:tc>
          <w:tcPr>
            <w:tcW w:w="1315" w:type="dxa"/>
            <w:tcBorders>
              <w:top w:val="single" w:sz="8" w:space="0" w:color="009649"/>
              <w:left w:val="nil"/>
              <w:bottom w:val="single" w:sz="8" w:space="0" w:color="009649"/>
              <w:right w:val="nil"/>
            </w:tcBorders>
            <w:shd w:val="clear" w:color="auto" w:fill="FFFFFF"/>
            <w:vAlign w:val="center"/>
          </w:tcPr>
          <w:p w:rsidR="00860142" w:rsidRDefault="006C7D2F" w:rsidP="00860142">
            <w:pPr>
              <w:ind w:left="101" w:right="96" w:hanging="9"/>
              <w:jc w:val="center"/>
              <w:rPr>
                <w:rFonts w:ascii="Calibri" w:hAnsi="Calibri" w:cs="Calibri"/>
                <w:color w:val="000000"/>
              </w:rPr>
            </w:pPr>
            <w:r>
              <w:rPr>
                <w:rFonts w:ascii="Calibri" w:hAnsi="Calibri"/>
                <w:color w:val="000000"/>
              </w:rPr>
              <w:t>Se:</w:t>
            </w:r>
          </w:p>
          <w:p w:rsidR="00ED665B" w:rsidRPr="00907702" w:rsidRDefault="006C7D2F" w:rsidP="00860142">
            <w:pPr>
              <w:ind w:left="101" w:right="96" w:hanging="9"/>
              <w:jc w:val="center"/>
              <w:rPr>
                <w:rFonts w:ascii="Calibri" w:hAnsi="Calibri" w:cs="Calibri"/>
              </w:rPr>
            </w:pPr>
            <w:r>
              <w:rPr>
                <w:rFonts w:ascii="Calibri" w:hAnsi="Calibri"/>
                <w:color w:val="000000"/>
              </w:rPr>
              <w:t>0,69-1,00</w:t>
            </w:r>
          </w:p>
        </w:tc>
        <w:tc>
          <w:tcPr>
            <w:tcW w:w="1315" w:type="dxa"/>
            <w:tcBorders>
              <w:top w:val="single" w:sz="8" w:space="0" w:color="009649"/>
              <w:left w:val="nil"/>
              <w:bottom w:val="single" w:sz="8" w:space="0" w:color="009649"/>
              <w:right w:val="nil"/>
            </w:tcBorders>
            <w:shd w:val="clear" w:color="auto" w:fill="FFFFFF"/>
            <w:vAlign w:val="center"/>
          </w:tcPr>
          <w:p w:rsidR="00ED665B" w:rsidRPr="00907702" w:rsidRDefault="006C7D2F" w:rsidP="00860142">
            <w:pPr>
              <w:ind w:hanging="9"/>
              <w:jc w:val="center"/>
              <w:rPr>
                <w:rFonts w:ascii="Calibri" w:hAnsi="Calibri" w:cs="Calibri"/>
              </w:rPr>
            </w:pPr>
            <w:r>
              <w:rPr>
                <w:rFonts w:ascii="Calibri" w:hAnsi="Calibri"/>
                <w:color w:val="000000"/>
              </w:rPr>
              <w:t>3 (15)</w:t>
            </w:r>
          </w:p>
        </w:tc>
        <w:tc>
          <w:tcPr>
            <w:tcW w:w="1507" w:type="dxa"/>
            <w:tcBorders>
              <w:top w:val="single" w:sz="8" w:space="0" w:color="009649"/>
              <w:left w:val="nil"/>
              <w:bottom w:val="single" w:sz="8" w:space="0" w:color="009649"/>
              <w:right w:val="nil"/>
            </w:tcBorders>
            <w:shd w:val="clear" w:color="auto" w:fill="FFFFFF"/>
            <w:vAlign w:val="center"/>
          </w:tcPr>
          <w:p w:rsidR="00ED665B" w:rsidRPr="00907702" w:rsidRDefault="006C7D2F" w:rsidP="00860142">
            <w:pPr>
              <w:ind w:hanging="9"/>
              <w:jc w:val="center"/>
              <w:rPr>
                <w:rFonts w:ascii="Calibri" w:hAnsi="Calibri" w:cs="Calibri"/>
              </w:rPr>
            </w:pPr>
            <w:r>
              <w:rPr>
                <w:rFonts w:ascii="Calibri" w:hAnsi="Calibri"/>
                <w:color w:val="000000"/>
              </w:rPr>
              <w:t>Дуже низька</w:t>
            </w:r>
          </w:p>
        </w:tc>
        <w:tc>
          <w:tcPr>
            <w:tcW w:w="2438" w:type="dxa"/>
            <w:tcBorders>
              <w:top w:val="single" w:sz="8" w:space="0" w:color="009649"/>
              <w:left w:val="nil"/>
              <w:bottom w:val="single" w:sz="8" w:space="0" w:color="009649"/>
              <w:right w:val="nil"/>
            </w:tcBorders>
            <w:shd w:val="clear" w:color="auto" w:fill="FFFFFF"/>
            <w:vAlign w:val="center"/>
          </w:tcPr>
          <w:p w:rsidR="00ED665B" w:rsidRPr="00907702" w:rsidRDefault="006C7D2F" w:rsidP="00860142">
            <w:pPr>
              <w:ind w:hanging="9"/>
              <w:jc w:val="center"/>
              <w:rPr>
                <w:rFonts w:ascii="Calibri" w:hAnsi="Calibri" w:cs="Calibri"/>
              </w:rPr>
            </w:pPr>
            <w:r>
              <w:rPr>
                <w:rFonts w:ascii="Calibri" w:hAnsi="Calibri"/>
                <w:color w:val="000000"/>
              </w:rPr>
              <w:t>ІП: 17-25 / ХН: 0-8</w:t>
            </w:r>
          </w:p>
        </w:tc>
        <w:tc>
          <w:tcPr>
            <w:tcW w:w="2472" w:type="dxa"/>
            <w:tcBorders>
              <w:top w:val="single" w:sz="8" w:space="0" w:color="009649"/>
              <w:left w:val="nil"/>
              <w:bottom w:val="single" w:sz="8" w:space="0" w:color="009649"/>
              <w:right w:val="nil"/>
            </w:tcBorders>
            <w:shd w:val="clear" w:color="auto" w:fill="FFFFFF"/>
            <w:vAlign w:val="center"/>
          </w:tcPr>
          <w:p w:rsidR="00ED665B" w:rsidRPr="00907702" w:rsidRDefault="006C7D2F" w:rsidP="00860142">
            <w:pPr>
              <w:ind w:hanging="9"/>
              <w:jc w:val="center"/>
              <w:rPr>
                <w:rFonts w:ascii="Calibri" w:hAnsi="Calibri" w:cs="Calibri"/>
              </w:rPr>
            </w:pPr>
            <w:r>
              <w:rPr>
                <w:rFonts w:ascii="Calibri" w:hAnsi="Calibri"/>
                <w:color w:val="000000"/>
              </w:rPr>
              <w:t>ІП: 69-100 / ХН: 0-31</w:t>
            </w:r>
          </w:p>
        </w:tc>
        <w:tc>
          <w:tcPr>
            <w:tcW w:w="2640" w:type="dxa"/>
            <w:tcBorders>
              <w:top w:val="single" w:sz="8" w:space="0" w:color="009649"/>
              <w:left w:val="nil"/>
              <w:bottom w:val="single" w:sz="8" w:space="0" w:color="009649"/>
              <w:right w:val="nil"/>
            </w:tcBorders>
            <w:shd w:val="clear" w:color="auto" w:fill="FFFFFF"/>
            <w:vAlign w:val="center"/>
          </w:tcPr>
          <w:p w:rsidR="00ED665B" w:rsidRPr="00907702" w:rsidRDefault="006C7D2F" w:rsidP="00860142">
            <w:pPr>
              <w:ind w:hanging="9"/>
              <w:jc w:val="center"/>
              <w:rPr>
                <w:rFonts w:ascii="Calibri" w:hAnsi="Calibri" w:cs="Calibri"/>
              </w:rPr>
            </w:pPr>
            <w:r>
              <w:rPr>
                <w:rFonts w:ascii="Calibri" w:hAnsi="Calibri"/>
                <w:color w:val="000000"/>
              </w:rPr>
              <w:t>ІП: 207-300 / ХН: 0-93</w:t>
            </w:r>
          </w:p>
        </w:tc>
      </w:tr>
      <w:tr w:rsidR="00ED665B" w:rsidRPr="00907702" w:rsidTr="00860142">
        <w:trPr>
          <w:trHeight w:hRule="exact" w:val="672"/>
        </w:trPr>
        <w:tc>
          <w:tcPr>
            <w:tcW w:w="2376" w:type="dxa"/>
            <w:vMerge/>
            <w:tcBorders>
              <w:top w:val="nil"/>
              <w:left w:val="nil"/>
              <w:bottom w:val="single" w:sz="8" w:space="0" w:color="009649"/>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315" w:type="dxa"/>
            <w:tcBorders>
              <w:top w:val="single" w:sz="8" w:space="0" w:color="009649"/>
              <w:left w:val="nil"/>
              <w:bottom w:val="single" w:sz="8" w:space="0" w:color="009649"/>
              <w:right w:val="nil"/>
            </w:tcBorders>
            <w:shd w:val="clear" w:color="auto" w:fill="FFFFFF"/>
            <w:vAlign w:val="center"/>
          </w:tcPr>
          <w:p w:rsidR="00860142" w:rsidRDefault="006C7D2F" w:rsidP="00860142">
            <w:pPr>
              <w:ind w:left="101" w:right="96" w:hanging="9"/>
              <w:jc w:val="center"/>
              <w:rPr>
                <w:rFonts w:ascii="Calibri" w:hAnsi="Calibri" w:cs="Calibri"/>
                <w:color w:val="000000"/>
              </w:rPr>
            </w:pPr>
            <w:r>
              <w:rPr>
                <w:rFonts w:ascii="Calibri" w:hAnsi="Calibri"/>
                <w:color w:val="000000"/>
              </w:rPr>
              <w:t>Sp:</w:t>
            </w:r>
          </w:p>
          <w:p w:rsidR="00ED665B" w:rsidRPr="00907702" w:rsidRDefault="006C7D2F" w:rsidP="00860142">
            <w:pPr>
              <w:ind w:left="101" w:right="96" w:hanging="9"/>
              <w:jc w:val="center"/>
              <w:rPr>
                <w:rFonts w:ascii="Calibri" w:hAnsi="Calibri" w:cs="Calibri"/>
              </w:rPr>
            </w:pPr>
            <w:r>
              <w:rPr>
                <w:rFonts w:ascii="Calibri" w:hAnsi="Calibri"/>
                <w:color w:val="000000"/>
              </w:rPr>
              <w:t>0,47-1,00</w:t>
            </w:r>
          </w:p>
        </w:tc>
        <w:tc>
          <w:tcPr>
            <w:tcW w:w="1315" w:type="dxa"/>
            <w:tcBorders>
              <w:top w:val="single" w:sz="8" w:space="0" w:color="009649"/>
              <w:left w:val="nil"/>
              <w:bottom w:val="single" w:sz="8" w:space="0" w:color="009649"/>
              <w:right w:val="nil"/>
            </w:tcBorders>
            <w:shd w:val="clear" w:color="auto" w:fill="FFFFFF"/>
            <w:vAlign w:val="center"/>
          </w:tcPr>
          <w:p w:rsidR="00ED665B" w:rsidRPr="00907702" w:rsidRDefault="006C7D2F" w:rsidP="00860142">
            <w:pPr>
              <w:ind w:hanging="9"/>
              <w:jc w:val="center"/>
              <w:rPr>
                <w:rFonts w:ascii="Calibri" w:hAnsi="Calibri" w:cs="Calibri"/>
              </w:rPr>
            </w:pPr>
            <w:r>
              <w:rPr>
                <w:rFonts w:ascii="Calibri" w:hAnsi="Calibri"/>
                <w:color w:val="000000"/>
              </w:rPr>
              <w:t>3 (25)</w:t>
            </w:r>
          </w:p>
        </w:tc>
        <w:tc>
          <w:tcPr>
            <w:tcW w:w="1507" w:type="dxa"/>
            <w:tcBorders>
              <w:top w:val="single" w:sz="8" w:space="0" w:color="009649"/>
              <w:left w:val="nil"/>
              <w:bottom w:val="single" w:sz="8" w:space="0" w:color="009649"/>
              <w:right w:val="nil"/>
            </w:tcBorders>
            <w:shd w:val="clear" w:color="auto" w:fill="FFFFFF"/>
            <w:vAlign w:val="center"/>
          </w:tcPr>
          <w:p w:rsidR="00ED665B" w:rsidRPr="00907702" w:rsidRDefault="006C7D2F" w:rsidP="00860142">
            <w:pPr>
              <w:ind w:hanging="9"/>
              <w:jc w:val="center"/>
              <w:rPr>
                <w:rFonts w:ascii="Calibri" w:hAnsi="Calibri" w:cs="Calibri"/>
              </w:rPr>
            </w:pPr>
            <w:r>
              <w:rPr>
                <w:rFonts w:ascii="Calibri" w:hAnsi="Calibri"/>
                <w:color w:val="000000"/>
              </w:rPr>
              <w:t>Дуже низька</w:t>
            </w:r>
          </w:p>
        </w:tc>
        <w:tc>
          <w:tcPr>
            <w:tcW w:w="2438" w:type="dxa"/>
            <w:tcBorders>
              <w:top w:val="single" w:sz="8" w:space="0" w:color="009649"/>
              <w:left w:val="nil"/>
              <w:bottom w:val="single" w:sz="8" w:space="0" w:color="009649"/>
              <w:right w:val="nil"/>
            </w:tcBorders>
            <w:shd w:val="clear" w:color="auto" w:fill="FFFFFF"/>
            <w:vAlign w:val="center"/>
          </w:tcPr>
          <w:p w:rsidR="00860142" w:rsidRDefault="006C7D2F" w:rsidP="00860142">
            <w:pPr>
              <w:ind w:left="456" w:right="466" w:hanging="9"/>
              <w:jc w:val="center"/>
              <w:rPr>
                <w:rFonts w:ascii="Calibri" w:hAnsi="Calibri" w:cs="Calibri"/>
                <w:color w:val="000000"/>
              </w:rPr>
            </w:pPr>
            <w:r>
              <w:rPr>
                <w:rFonts w:ascii="Calibri" w:hAnsi="Calibri"/>
                <w:color w:val="000000"/>
              </w:rPr>
              <w:t xml:space="preserve">ІН: 458-975 / </w:t>
            </w:r>
          </w:p>
          <w:p w:rsidR="00ED665B" w:rsidRPr="00907702" w:rsidRDefault="006C7D2F" w:rsidP="00860142">
            <w:pPr>
              <w:ind w:left="456" w:right="466" w:hanging="9"/>
              <w:jc w:val="center"/>
              <w:rPr>
                <w:rFonts w:ascii="Calibri" w:hAnsi="Calibri" w:cs="Calibri"/>
              </w:rPr>
            </w:pPr>
            <w:r>
              <w:rPr>
                <w:rFonts w:ascii="Calibri" w:hAnsi="Calibri"/>
                <w:color w:val="000000"/>
              </w:rPr>
              <w:t>ХП: 0-571</w:t>
            </w:r>
          </w:p>
        </w:tc>
        <w:tc>
          <w:tcPr>
            <w:tcW w:w="2472" w:type="dxa"/>
            <w:tcBorders>
              <w:top w:val="single" w:sz="8" w:space="0" w:color="009649"/>
              <w:left w:val="nil"/>
              <w:bottom w:val="single" w:sz="8" w:space="0" w:color="009649"/>
              <w:right w:val="nil"/>
            </w:tcBorders>
            <w:shd w:val="clear" w:color="auto" w:fill="FFFFFF"/>
            <w:vAlign w:val="center"/>
          </w:tcPr>
          <w:p w:rsidR="00ED665B" w:rsidRPr="00907702" w:rsidRDefault="006C7D2F" w:rsidP="00860142">
            <w:pPr>
              <w:ind w:left="470" w:right="480" w:hanging="9"/>
              <w:jc w:val="center"/>
              <w:rPr>
                <w:rFonts w:ascii="Calibri" w:hAnsi="Calibri" w:cs="Calibri"/>
              </w:rPr>
            </w:pPr>
            <w:r>
              <w:rPr>
                <w:rFonts w:ascii="Calibri" w:hAnsi="Calibri"/>
                <w:color w:val="000000"/>
              </w:rPr>
              <w:t>ІН: 423-900 / ХП: 0-477</w:t>
            </w:r>
          </w:p>
        </w:tc>
        <w:tc>
          <w:tcPr>
            <w:tcW w:w="2640" w:type="dxa"/>
            <w:tcBorders>
              <w:top w:val="single" w:sz="8" w:space="0" w:color="009649"/>
              <w:left w:val="nil"/>
              <w:bottom w:val="single" w:sz="8" w:space="0" w:color="009649"/>
              <w:right w:val="nil"/>
            </w:tcBorders>
            <w:shd w:val="clear" w:color="auto" w:fill="FFFFFF"/>
            <w:vAlign w:val="center"/>
          </w:tcPr>
          <w:p w:rsidR="00860142" w:rsidRDefault="006C7D2F" w:rsidP="00860142">
            <w:pPr>
              <w:ind w:left="552" w:right="571" w:hanging="9"/>
              <w:jc w:val="center"/>
              <w:rPr>
                <w:rFonts w:ascii="Calibri" w:hAnsi="Calibri" w:cs="Calibri"/>
                <w:color w:val="000000"/>
              </w:rPr>
            </w:pPr>
            <w:r>
              <w:rPr>
                <w:rFonts w:ascii="Calibri" w:hAnsi="Calibri"/>
                <w:color w:val="000000"/>
              </w:rPr>
              <w:t xml:space="preserve">ІН: 329-700 / </w:t>
            </w:r>
          </w:p>
          <w:p w:rsidR="00ED665B" w:rsidRPr="00907702" w:rsidRDefault="006C7D2F" w:rsidP="00860142">
            <w:pPr>
              <w:ind w:left="552" w:right="571" w:hanging="9"/>
              <w:jc w:val="center"/>
              <w:rPr>
                <w:rFonts w:ascii="Calibri" w:hAnsi="Calibri" w:cs="Calibri"/>
              </w:rPr>
            </w:pPr>
            <w:r>
              <w:rPr>
                <w:rFonts w:ascii="Calibri" w:hAnsi="Calibri"/>
                <w:color w:val="000000"/>
              </w:rPr>
              <w:t>ХП: 0-371</w:t>
            </w:r>
          </w:p>
        </w:tc>
      </w:tr>
      <w:tr w:rsidR="00ED665B" w:rsidRPr="00907702" w:rsidTr="00860142">
        <w:trPr>
          <w:trHeight w:hRule="exact" w:val="480"/>
        </w:trPr>
        <w:tc>
          <w:tcPr>
            <w:tcW w:w="14063" w:type="dxa"/>
            <w:gridSpan w:val="7"/>
            <w:tcBorders>
              <w:top w:val="single" w:sz="8" w:space="0" w:color="009649"/>
              <w:left w:val="nil"/>
              <w:bottom w:val="nil"/>
              <w:right w:val="nil"/>
            </w:tcBorders>
            <w:shd w:val="clear" w:color="auto" w:fill="FFFFFF"/>
          </w:tcPr>
          <w:p w:rsidR="00ED665B" w:rsidRPr="00907702" w:rsidRDefault="006C7D2F" w:rsidP="00406A04">
            <w:pPr>
              <w:jc w:val="both"/>
              <w:rPr>
                <w:rFonts w:ascii="Calibri" w:hAnsi="Calibri" w:cs="Calibri"/>
              </w:rPr>
            </w:pPr>
            <w:r>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ТБ: туберкульоз; ІН: істинно негативний; ІП: істинно позитивний.</w:t>
            </w:r>
          </w:p>
        </w:tc>
      </w:tr>
    </w:tbl>
    <w:p w:rsidR="00ED665B" w:rsidRPr="00907702" w:rsidRDefault="00ED665B" w:rsidP="00DC2656">
      <w:pPr>
        <w:rPr>
          <w:rFonts w:ascii="Calibri" w:hAnsi="Calibri" w:cs="Calibri"/>
        </w:rPr>
        <w:sectPr w:rsidR="00ED665B" w:rsidRPr="00907702" w:rsidSect="00860142">
          <w:pgSz w:w="16838" w:h="11904" w:orient="landscape"/>
          <w:pgMar w:top="1397" w:right="1387" w:bottom="2694"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23"/>
        <w:gridCol w:w="1219"/>
        <w:gridCol w:w="1315"/>
        <w:gridCol w:w="1315"/>
        <w:gridCol w:w="1224"/>
        <w:gridCol w:w="1224"/>
        <w:gridCol w:w="1123"/>
        <w:gridCol w:w="1320"/>
        <w:gridCol w:w="1219"/>
        <w:gridCol w:w="1224"/>
        <w:gridCol w:w="1166"/>
      </w:tblGrid>
      <w:tr w:rsidR="00ED665B" w:rsidRPr="00860142" w:rsidTr="00860142">
        <w:trPr>
          <w:trHeight w:hRule="exact" w:val="763"/>
        </w:trPr>
        <w:tc>
          <w:tcPr>
            <w:tcW w:w="14072" w:type="dxa"/>
            <w:gridSpan w:val="11"/>
            <w:tcBorders>
              <w:top w:val="nil"/>
              <w:left w:val="nil"/>
              <w:bottom w:val="single" w:sz="8" w:space="0" w:color="009649"/>
              <w:right w:val="nil"/>
            </w:tcBorders>
            <w:shd w:val="clear" w:color="auto" w:fill="FFFFFF"/>
          </w:tcPr>
          <w:p w:rsidR="00ED665B" w:rsidRPr="00860142" w:rsidRDefault="006C7D2F" w:rsidP="00DC2656">
            <w:pPr>
              <w:rPr>
                <w:rFonts w:ascii="Calibri" w:hAnsi="Calibri" w:cs="Calibri"/>
                <w:b/>
                <w:bCs/>
              </w:rPr>
            </w:pPr>
            <w:r>
              <w:rPr>
                <w:rFonts w:ascii="Calibri" w:hAnsi="Calibri"/>
                <w:b/>
                <w:color w:val="636466"/>
                <w:sz w:val="24"/>
              </w:rPr>
              <w:lastRenderedPageBreak/>
              <w:t>Таблиця 2.1.15. PICO 5.2: Більше одного Xpert MTB/RIF проти одного Xpert MTB/RIF для діагностики легеневого ТБ у дітей з ознаками та симптомами легеневого ТБ порівняно з МРС?</w:t>
            </w:r>
          </w:p>
        </w:tc>
      </w:tr>
      <w:tr w:rsidR="00ED665B" w:rsidRPr="00907702" w:rsidTr="00860142">
        <w:trPr>
          <w:trHeight w:hRule="exact" w:val="576"/>
        </w:trPr>
        <w:tc>
          <w:tcPr>
            <w:tcW w:w="1723"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72"/>
              <w:rPr>
                <w:rFonts w:ascii="Calibri" w:hAnsi="Calibri" w:cs="Calibri"/>
                <w:b/>
              </w:rPr>
            </w:pPr>
            <w:r w:rsidRPr="008E12CA">
              <w:rPr>
                <w:rFonts w:ascii="Calibri" w:hAnsi="Calibri"/>
                <w:b/>
                <w:color w:val="000000"/>
              </w:rPr>
              <w:t>Пацієнт</w:t>
            </w:r>
          </w:p>
        </w:tc>
        <w:tc>
          <w:tcPr>
            <w:tcW w:w="1219"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72"/>
              <w:jc w:val="center"/>
              <w:rPr>
                <w:rFonts w:ascii="Calibri" w:hAnsi="Calibri" w:cs="Calibri"/>
                <w:b/>
              </w:rPr>
            </w:pPr>
            <w:r w:rsidRPr="008E12CA">
              <w:rPr>
                <w:rFonts w:ascii="Calibri" w:hAnsi="Calibri"/>
                <w:b/>
                <w:color w:val="000000"/>
              </w:rPr>
              <w:t>Дослідження (осіб)</w:t>
            </w:r>
          </w:p>
        </w:tc>
        <w:tc>
          <w:tcPr>
            <w:tcW w:w="1315"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72"/>
              <w:jc w:val="center"/>
              <w:rPr>
                <w:rFonts w:ascii="Calibri" w:hAnsi="Calibri" w:cs="Calibri"/>
                <w:b/>
              </w:rPr>
            </w:pPr>
            <w:r w:rsidRPr="008E12CA">
              <w:rPr>
                <w:rFonts w:ascii="Calibri" w:hAnsi="Calibri"/>
                <w:b/>
                <w:color w:val="000000"/>
              </w:rPr>
              <w:t>Точність тесту</w:t>
            </w:r>
          </w:p>
          <w:p w:rsidR="00ED665B" w:rsidRPr="008E12CA" w:rsidRDefault="006C7D2F" w:rsidP="00860142">
            <w:pPr>
              <w:ind w:left="72"/>
              <w:jc w:val="center"/>
              <w:rPr>
                <w:rFonts w:ascii="Calibri" w:hAnsi="Calibri" w:cs="Calibri"/>
                <w:b/>
              </w:rPr>
            </w:pPr>
            <w:r w:rsidRPr="008E12CA">
              <w:rPr>
                <w:rFonts w:ascii="Calibri" w:hAnsi="Calibri"/>
                <w:b/>
                <w:color w:val="000000"/>
              </w:rPr>
              <w:t>(1 MTB/RIF)</w:t>
            </w:r>
          </w:p>
        </w:tc>
        <w:tc>
          <w:tcPr>
            <w:tcW w:w="1315"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72"/>
              <w:jc w:val="center"/>
              <w:rPr>
                <w:rFonts w:ascii="Calibri" w:hAnsi="Calibri" w:cs="Calibri"/>
                <w:b/>
              </w:rPr>
            </w:pPr>
            <w:r w:rsidRPr="008E12CA">
              <w:rPr>
                <w:rFonts w:ascii="Calibri" w:hAnsi="Calibri"/>
                <w:b/>
                <w:color w:val="000000"/>
              </w:rPr>
              <w:t>Точність тесту</w:t>
            </w:r>
          </w:p>
          <w:p w:rsidR="00ED665B" w:rsidRPr="008E12CA" w:rsidRDefault="006C7D2F" w:rsidP="00860142">
            <w:pPr>
              <w:ind w:left="72"/>
              <w:jc w:val="center"/>
              <w:rPr>
                <w:rFonts w:ascii="Calibri" w:hAnsi="Calibri" w:cs="Calibri"/>
                <w:b/>
              </w:rPr>
            </w:pPr>
            <w:r w:rsidRPr="008E12CA">
              <w:rPr>
                <w:rFonts w:ascii="Calibri" w:hAnsi="Calibri"/>
                <w:b/>
                <w:color w:val="000000"/>
              </w:rPr>
              <w:t>(&gt;1 MTB/RIF)</w:t>
            </w:r>
          </w:p>
        </w:tc>
        <w:tc>
          <w:tcPr>
            <w:tcW w:w="1224"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72"/>
              <w:jc w:val="center"/>
              <w:rPr>
                <w:rFonts w:ascii="Calibri" w:hAnsi="Calibri" w:cs="Calibri"/>
                <w:b/>
              </w:rPr>
            </w:pPr>
            <w:r w:rsidRPr="008E12CA">
              <w:rPr>
                <w:rFonts w:ascii="Calibri" w:hAnsi="Calibri"/>
                <w:b/>
                <w:color w:val="000000"/>
              </w:rPr>
              <w:t>Достовірність</w:t>
            </w:r>
          </w:p>
          <w:p w:rsidR="00ED665B" w:rsidRPr="008E12CA" w:rsidRDefault="006C7D2F" w:rsidP="00860142">
            <w:pPr>
              <w:ind w:left="72"/>
              <w:jc w:val="center"/>
              <w:rPr>
                <w:rFonts w:ascii="Calibri" w:hAnsi="Calibri" w:cs="Calibri"/>
                <w:b/>
              </w:rPr>
            </w:pPr>
            <w:r w:rsidRPr="008E12CA">
              <w:rPr>
                <w:rFonts w:ascii="Calibri" w:hAnsi="Calibri"/>
                <w:b/>
                <w:color w:val="000000"/>
              </w:rPr>
              <w:t>даних</w:t>
            </w:r>
          </w:p>
        </w:tc>
        <w:tc>
          <w:tcPr>
            <w:tcW w:w="2347"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72"/>
              <w:jc w:val="center"/>
              <w:rPr>
                <w:rFonts w:ascii="Calibri" w:hAnsi="Calibri" w:cs="Calibri"/>
                <w:b/>
              </w:rPr>
            </w:pPr>
            <w:r w:rsidRPr="008E12CA">
              <w:rPr>
                <w:rFonts w:ascii="Calibri" w:hAnsi="Calibri"/>
                <w:b/>
                <w:color w:val="000000"/>
              </w:rPr>
              <w:t>Поширеність 1%</w:t>
            </w:r>
          </w:p>
        </w:tc>
        <w:tc>
          <w:tcPr>
            <w:tcW w:w="2539"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72"/>
              <w:jc w:val="center"/>
              <w:rPr>
                <w:rFonts w:ascii="Calibri" w:hAnsi="Calibri" w:cs="Calibri"/>
                <w:b/>
              </w:rPr>
            </w:pPr>
            <w:r w:rsidRPr="008E12CA">
              <w:rPr>
                <w:rFonts w:ascii="Calibri" w:hAnsi="Calibri"/>
                <w:b/>
                <w:color w:val="000000"/>
              </w:rPr>
              <w:t>Поширеність 10%</w:t>
            </w:r>
          </w:p>
        </w:tc>
        <w:tc>
          <w:tcPr>
            <w:tcW w:w="2390"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72"/>
              <w:jc w:val="center"/>
              <w:rPr>
                <w:rFonts w:ascii="Calibri" w:hAnsi="Calibri" w:cs="Calibri"/>
                <w:b/>
              </w:rPr>
            </w:pPr>
            <w:r w:rsidRPr="008E12CA">
              <w:rPr>
                <w:rFonts w:ascii="Calibri" w:hAnsi="Calibri"/>
                <w:b/>
                <w:color w:val="000000"/>
              </w:rPr>
              <w:t>Поширеність 20%</w:t>
            </w:r>
          </w:p>
        </w:tc>
      </w:tr>
      <w:tr w:rsidR="00ED665B" w:rsidRPr="00907702" w:rsidTr="00860142">
        <w:trPr>
          <w:trHeight w:hRule="exact" w:val="744"/>
        </w:trPr>
        <w:tc>
          <w:tcPr>
            <w:tcW w:w="1723"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rsidR="00ED665B" w:rsidRPr="00907702" w:rsidRDefault="00ED665B" w:rsidP="00860142">
            <w:pPr>
              <w:ind w:left="72"/>
              <w:rPr>
                <w:rFonts w:ascii="Calibri" w:hAnsi="Calibri" w:cs="Calibri"/>
              </w:rPr>
            </w:pPr>
          </w:p>
          <w:p w:rsidR="00ED665B" w:rsidRPr="00907702" w:rsidRDefault="00ED665B" w:rsidP="00860142">
            <w:pPr>
              <w:ind w:left="72"/>
              <w:rPr>
                <w:rFonts w:ascii="Calibri" w:hAnsi="Calibri" w:cs="Calibri"/>
              </w:rPr>
            </w:pPr>
          </w:p>
        </w:tc>
        <w:tc>
          <w:tcPr>
            <w:tcW w:w="1219"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rsidR="00ED665B" w:rsidRPr="00907702" w:rsidRDefault="00ED665B" w:rsidP="00860142">
            <w:pPr>
              <w:ind w:left="72"/>
              <w:jc w:val="center"/>
              <w:rPr>
                <w:rFonts w:ascii="Calibri" w:hAnsi="Calibri" w:cs="Calibri"/>
              </w:rPr>
            </w:pPr>
          </w:p>
          <w:p w:rsidR="00ED665B" w:rsidRPr="00907702" w:rsidRDefault="00ED665B" w:rsidP="00860142">
            <w:pPr>
              <w:ind w:left="72"/>
              <w:jc w:val="center"/>
              <w:rPr>
                <w:rFonts w:ascii="Calibri" w:hAnsi="Calibri" w:cs="Calibri"/>
              </w:rPr>
            </w:pPr>
          </w:p>
        </w:tc>
        <w:tc>
          <w:tcPr>
            <w:tcW w:w="1315"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rsidR="00ED665B" w:rsidRPr="00907702" w:rsidRDefault="00ED665B" w:rsidP="00860142">
            <w:pPr>
              <w:ind w:left="72"/>
              <w:jc w:val="center"/>
              <w:rPr>
                <w:rFonts w:ascii="Calibri" w:hAnsi="Calibri" w:cs="Calibri"/>
              </w:rPr>
            </w:pPr>
          </w:p>
          <w:p w:rsidR="00ED665B" w:rsidRPr="00907702" w:rsidRDefault="00ED665B" w:rsidP="00860142">
            <w:pPr>
              <w:ind w:left="72"/>
              <w:jc w:val="center"/>
              <w:rPr>
                <w:rFonts w:ascii="Calibri" w:hAnsi="Calibri" w:cs="Calibri"/>
              </w:rPr>
            </w:pPr>
          </w:p>
        </w:tc>
        <w:tc>
          <w:tcPr>
            <w:tcW w:w="1315"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rsidR="00ED665B" w:rsidRPr="00907702" w:rsidRDefault="00ED665B" w:rsidP="00860142">
            <w:pPr>
              <w:ind w:left="72"/>
              <w:jc w:val="center"/>
              <w:rPr>
                <w:rFonts w:ascii="Calibri" w:hAnsi="Calibri" w:cs="Calibri"/>
              </w:rPr>
            </w:pPr>
          </w:p>
          <w:p w:rsidR="00ED665B" w:rsidRPr="00907702" w:rsidRDefault="00ED665B" w:rsidP="00860142">
            <w:pPr>
              <w:ind w:left="72"/>
              <w:jc w:val="center"/>
              <w:rPr>
                <w:rFonts w:ascii="Calibri" w:hAnsi="Calibri" w:cs="Calibri"/>
              </w:rPr>
            </w:pPr>
          </w:p>
        </w:tc>
        <w:tc>
          <w:tcPr>
            <w:tcW w:w="1224"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rsidR="00ED665B" w:rsidRPr="00907702" w:rsidRDefault="00ED665B" w:rsidP="00860142">
            <w:pPr>
              <w:ind w:left="72"/>
              <w:jc w:val="center"/>
              <w:rPr>
                <w:rFonts w:ascii="Calibri" w:hAnsi="Calibri" w:cs="Calibri"/>
              </w:rPr>
            </w:pPr>
          </w:p>
          <w:p w:rsidR="00ED665B" w:rsidRPr="00907702" w:rsidRDefault="00ED665B" w:rsidP="00860142">
            <w:pPr>
              <w:ind w:left="72"/>
              <w:jc w:val="center"/>
              <w:rPr>
                <w:rFonts w:ascii="Calibri" w:hAnsi="Calibri" w:cs="Calibri"/>
              </w:rPr>
            </w:pPr>
          </w:p>
        </w:tc>
        <w:tc>
          <w:tcPr>
            <w:tcW w:w="1224"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406A04" w:rsidRDefault="006C7D2F" w:rsidP="00860142">
            <w:pPr>
              <w:ind w:left="72"/>
              <w:jc w:val="center"/>
              <w:rPr>
                <w:rFonts w:ascii="Calibri" w:hAnsi="Calibri"/>
                <w:b/>
                <w:color w:val="000000"/>
              </w:rPr>
            </w:pPr>
            <w:r w:rsidRPr="008E12CA">
              <w:rPr>
                <w:rFonts w:ascii="Calibri" w:hAnsi="Calibri"/>
                <w:b/>
                <w:color w:val="000000"/>
              </w:rPr>
              <w:t xml:space="preserve">1 </w:t>
            </w:r>
          </w:p>
          <w:p w:rsidR="00ED665B" w:rsidRPr="008E12CA" w:rsidRDefault="006C7D2F" w:rsidP="00860142">
            <w:pPr>
              <w:ind w:left="72"/>
              <w:jc w:val="center"/>
              <w:rPr>
                <w:rFonts w:ascii="Calibri" w:hAnsi="Calibri" w:cs="Calibri"/>
                <w:b/>
              </w:rPr>
            </w:pPr>
            <w:r w:rsidRPr="008E12CA">
              <w:rPr>
                <w:rFonts w:ascii="Calibri" w:hAnsi="Calibri"/>
                <w:b/>
                <w:color w:val="000000"/>
              </w:rPr>
              <w:t>MTB/RIF</w:t>
            </w:r>
          </w:p>
        </w:tc>
        <w:tc>
          <w:tcPr>
            <w:tcW w:w="1123"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406A04" w:rsidRDefault="006C7D2F" w:rsidP="00860142">
            <w:pPr>
              <w:ind w:left="72"/>
              <w:jc w:val="center"/>
              <w:rPr>
                <w:rFonts w:ascii="Calibri" w:hAnsi="Calibri"/>
                <w:b/>
                <w:color w:val="000000"/>
              </w:rPr>
            </w:pPr>
            <w:r w:rsidRPr="008E12CA">
              <w:rPr>
                <w:rFonts w:ascii="Calibri" w:hAnsi="Calibri"/>
                <w:b/>
                <w:color w:val="000000"/>
              </w:rPr>
              <w:t xml:space="preserve">&gt;1 </w:t>
            </w:r>
          </w:p>
          <w:p w:rsidR="00ED665B" w:rsidRPr="008E12CA" w:rsidRDefault="006C7D2F" w:rsidP="00860142">
            <w:pPr>
              <w:ind w:left="72"/>
              <w:jc w:val="center"/>
              <w:rPr>
                <w:rFonts w:ascii="Calibri" w:hAnsi="Calibri" w:cs="Calibri"/>
                <w:b/>
              </w:rPr>
            </w:pPr>
            <w:r w:rsidRPr="008E12CA">
              <w:rPr>
                <w:rFonts w:ascii="Calibri" w:hAnsi="Calibri"/>
                <w:b/>
                <w:color w:val="000000"/>
              </w:rPr>
              <w:t>MTB/RIF</w:t>
            </w:r>
          </w:p>
        </w:tc>
        <w:tc>
          <w:tcPr>
            <w:tcW w:w="1320"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406A04" w:rsidRDefault="006C7D2F" w:rsidP="00860142">
            <w:pPr>
              <w:ind w:left="72"/>
              <w:jc w:val="center"/>
              <w:rPr>
                <w:rFonts w:ascii="Calibri" w:hAnsi="Calibri"/>
                <w:b/>
                <w:color w:val="000000"/>
              </w:rPr>
            </w:pPr>
            <w:r w:rsidRPr="008E12CA">
              <w:rPr>
                <w:rFonts w:ascii="Calibri" w:hAnsi="Calibri"/>
                <w:b/>
                <w:color w:val="000000"/>
              </w:rPr>
              <w:t xml:space="preserve">1 </w:t>
            </w:r>
          </w:p>
          <w:p w:rsidR="00ED665B" w:rsidRPr="008E12CA" w:rsidRDefault="006C7D2F" w:rsidP="00860142">
            <w:pPr>
              <w:ind w:left="72"/>
              <w:jc w:val="center"/>
              <w:rPr>
                <w:rFonts w:ascii="Calibri" w:hAnsi="Calibri" w:cs="Calibri"/>
                <w:b/>
              </w:rPr>
            </w:pPr>
            <w:r w:rsidRPr="008E12CA">
              <w:rPr>
                <w:rFonts w:ascii="Calibri" w:hAnsi="Calibri"/>
                <w:b/>
                <w:color w:val="000000"/>
              </w:rPr>
              <w:t>MTB/RIF</w:t>
            </w:r>
          </w:p>
        </w:tc>
        <w:tc>
          <w:tcPr>
            <w:tcW w:w="1219"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406A04" w:rsidRDefault="006C7D2F" w:rsidP="00860142">
            <w:pPr>
              <w:ind w:left="72"/>
              <w:jc w:val="center"/>
              <w:rPr>
                <w:rFonts w:ascii="Calibri" w:hAnsi="Calibri"/>
                <w:b/>
                <w:color w:val="000000"/>
              </w:rPr>
            </w:pPr>
            <w:r w:rsidRPr="008E12CA">
              <w:rPr>
                <w:rFonts w:ascii="Calibri" w:hAnsi="Calibri"/>
                <w:b/>
                <w:color w:val="000000"/>
              </w:rPr>
              <w:t xml:space="preserve">&gt;1 </w:t>
            </w:r>
          </w:p>
          <w:p w:rsidR="00ED665B" w:rsidRPr="008E12CA" w:rsidRDefault="006C7D2F" w:rsidP="00860142">
            <w:pPr>
              <w:ind w:left="72"/>
              <w:jc w:val="center"/>
              <w:rPr>
                <w:rFonts w:ascii="Calibri" w:hAnsi="Calibri" w:cs="Calibri"/>
                <w:b/>
              </w:rPr>
            </w:pPr>
            <w:r w:rsidRPr="008E12CA">
              <w:rPr>
                <w:rFonts w:ascii="Calibri" w:hAnsi="Calibri"/>
                <w:b/>
                <w:color w:val="000000"/>
              </w:rPr>
              <w:t>MTB/RIF</w:t>
            </w:r>
          </w:p>
        </w:tc>
        <w:tc>
          <w:tcPr>
            <w:tcW w:w="1224"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406A04" w:rsidRDefault="006C7D2F" w:rsidP="00860142">
            <w:pPr>
              <w:ind w:left="72"/>
              <w:jc w:val="center"/>
              <w:rPr>
                <w:rFonts w:ascii="Calibri" w:hAnsi="Calibri"/>
                <w:b/>
                <w:color w:val="000000"/>
              </w:rPr>
            </w:pPr>
            <w:r w:rsidRPr="008E12CA">
              <w:rPr>
                <w:rFonts w:ascii="Calibri" w:hAnsi="Calibri"/>
                <w:b/>
                <w:color w:val="000000"/>
              </w:rPr>
              <w:t xml:space="preserve">1 </w:t>
            </w:r>
          </w:p>
          <w:p w:rsidR="00ED665B" w:rsidRPr="008E12CA" w:rsidRDefault="006C7D2F" w:rsidP="00860142">
            <w:pPr>
              <w:ind w:left="72"/>
              <w:jc w:val="center"/>
              <w:rPr>
                <w:rFonts w:ascii="Calibri" w:hAnsi="Calibri" w:cs="Calibri"/>
                <w:b/>
              </w:rPr>
            </w:pPr>
            <w:r w:rsidRPr="008E12CA">
              <w:rPr>
                <w:rFonts w:ascii="Calibri" w:hAnsi="Calibri"/>
                <w:b/>
                <w:color w:val="000000"/>
              </w:rPr>
              <w:t>MTB/RIF</w:t>
            </w:r>
          </w:p>
        </w:tc>
        <w:tc>
          <w:tcPr>
            <w:tcW w:w="1166" w:type="dxa"/>
            <w:tcBorders>
              <w:top w:val="single" w:sz="8" w:space="0" w:color="009649"/>
              <w:left w:val="single" w:sz="8" w:space="0" w:color="009649"/>
              <w:bottom w:val="single" w:sz="8" w:space="0" w:color="009649"/>
            </w:tcBorders>
            <w:shd w:val="clear" w:color="auto" w:fill="7ABE94"/>
            <w:vAlign w:val="center"/>
          </w:tcPr>
          <w:p w:rsidR="00406A04" w:rsidRDefault="006C7D2F" w:rsidP="00860142">
            <w:pPr>
              <w:ind w:left="72"/>
              <w:jc w:val="center"/>
              <w:rPr>
                <w:rFonts w:ascii="Calibri" w:hAnsi="Calibri"/>
                <w:b/>
                <w:color w:val="000000"/>
              </w:rPr>
            </w:pPr>
            <w:r w:rsidRPr="008E12CA">
              <w:rPr>
                <w:rFonts w:ascii="Calibri" w:hAnsi="Calibri"/>
                <w:b/>
                <w:color w:val="000000"/>
              </w:rPr>
              <w:t xml:space="preserve">&gt;1 </w:t>
            </w:r>
          </w:p>
          <w:p w:rsidR="00ED665B" w:rsidRPr="008E12CA" w:rsidRDefault="006C7D2F" w:rsidP="00860142">
            <w:pPr>
              <w:ind w:left="72"/>
              <w:jc w:val="center"/>
              <w:rPr>
                <w:rFonts w:ascii="Calibri" w:hAnsi="Calibri" w:cs="Calibri"/>
                <w:b/>
              </w:rPr>
            </w:pPr>
            <w:r w:rsidRPr="008E12CA">
              <w:rPr>
                <w:rFonts w:ascii="Calibri" w:hAnsi="Calibri"/>
                <w:b/>
                <w:color w:val="000000"/>
              </w:rPr>
              <w:t>MTB/RIF</w:t>
            </w:r>
          </w:p>
        </w:tc>
      </w:tr>
      <w:tr w:rsidR="00ED665B" w:rsidRPr="00907702" w:rsidTr="00860142">
        <w:trPr>
          <w:trHeight w:hRule="exact" w:val="754"/>
        </w:trPr>
        <w:tc>
          <w:tcPr>
            <w:tcW w:w="1723" w:type="dxa"/>
            <w:vMerge w:val="restart"/>
            <w:tcBorders>
              <w:top w:val="single" w:sz="8" w:space="0" w:color="009649"/>
              <w:bottom w:val="single" w:sz="8" w:space="0" w:color="009649"/>
            </w:tcBorders>
            <w:shd w:val="clear" w:color="auto" w:fill="FFFFFF"/>
            <w:vAlign w:val="center"/>
          </w:tcPr>
          <w:p w:rsidR="00ED665B" w:rsidRPr="00406A04" w:rsidRDefault="006C7D2F" w:rsidP="00860142">
            <w:pPr>
              <w:ind w:left="53" w:right="53"/>
              <w:rPr>
                <w:rFonts w:ascii="Calibri" w:hAnsi="Calibri" w:cs="Calibri"/>
                <w:b/>
              </w:rPr>
            </w:pPr>
            <w:r w:rsidRPr="00406A04">
              <w:rPr>
                <w:rFonts w:ascii="Calibri" w:hAnsi="Calibri"/>
                <w:b/>
                <w:color w:val="000000"/>
              </w:rPr>
              <w:t>1 порівняно з 1+ MTB/RIF для виявлення ЛТБ у мокротинні дітей, МРС</w:t>
            </w:r>
          </w:p>
        </w:tc>
        <w:tc>
          <w:tcPr>
            <w:tcW w:w="1219"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5 (180)</w:t>
            </w:r>
          </w:p>
        </w:tc>
        <w:tc>
          <w:tcPr>
            <w:tcW w:w="1315"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Se: 0,46</w:t>
            </w:r>
          </w:p>
        </w:tc>
        <w:tc>
          <w:tcPr>
            <w:tcW w:w="1315"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Se: 0,59</w:t>
            </w:r>
          </w:p>
        </w:tc>
        <w:tc>
          <w:tcPr>
            <w:tcW w:w="1224"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Низькі</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283" w:right="283"/>
              <w:jc w:val="center"/>
              <w:rPr>
                <w:rFonts w:ascii="Calibri" w:hAnsi="Calibri" w:cs="Calibri"/>
              </w:rPr>
            </w:pPr>
            <w:r>
              <w:rPr>
                <w:rFonts w:ascii="Calibri" w:hAnsi="Calibri"/>
                <w:color w:val="000000"/>
              </w:rPr>
              <w:t>ІП: 5 ХН: 5</w:t>
            </w:r>
          </w:p>
        </w:tc>
        <w:tc>
          <w:tcPr>
            <w:tcW w:w="1123"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230" w:right="221"/>
              <w:jc w:val="center"/>
              <w:rPr>
                <w:rFonts w:ascii="Calibri" w:hAnsi="Calibri" w:cs="Calibri"/>
              </w:rPr>
            </w:pPr>
            <w:r>
              <w:rPr>
                <w:rFonts w:ascii="Calibri" w:hAnsi="Calibri"/>
                <w:color w:val="000000"/>
              </w:rPr>
              <w:t>ІП: 6 ХН: 4</w:t>
            </w:r>
          </w:p>
        </w:tc>
        <w:tc>
          <w:tcPr>
            <w:tcW w:w="1320" w:type="dxa"/>
            <w:tcBorders>
              <w:top w:val="single" w:sz="8" w:space="0" w:color="009649"/>
              <w:bottom w:val="single" w:sz="8" w:space="0" w:color="009649"/>
            </w:tcBorders>
            <w:shd w:val="clear" w:color="auto" w:fill="FFFFFF"/>
            <w:vAlign w:val="center"/>
          </w:tcPr>
          <w:p w:rsidR="00ED665B" w:rsidRPr="00907702" w:rsidRDefault="006C7D2F" w:rsidP="00860142">
            <w:pPr>
              <w:ind w:left="274" w:right="259"/>
              <w:jc w:val="center"/>
              <w:rPr>
                <w:rFonts w:ascii="Calibri" w:hAnsi="Calibri" w:cs="Calibri"/>
              </w:rPr>
            </w:pPr>
            <w:r>
              <w:rPr>
                <w:rFonts w:ascii="Calibri" w:hAnsi="Calibri"/>
                <w:color w:val="000000"/>
              </w:rPr>
              <w:t>ІП: 46 ХН: 54</w:t>
            </w:r>
          </w:p>
        </w:tc>
        <w:tc>
          <w:tcPr>
            <w:tcW w:w="1219"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221" w:right="230"/>
              <w:jc w:val="center"/>
              <w:rPr>
                <w:rFonts w:ascii="Calibri" w:hAnsi="Calibri" w:cs="Calibri"/>
              </w:rPr>
            </w:pPr>
            <w:r>
              <w:rPr>
                <w:rFonts w:ascii="Calibri" w:hAnsi="Calibri"/>
                <w:color w:val="000000"/>
              </w:rPr>
              <w:t>ІП: 59 ХН: 41</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163" w:right="158"/>
              <w:jc w:val="center"/>
              <w:rPr>
                <w:rFonts w:ascii="Calibri" w:hAnsi="Calibri" w:cs="Calibri"/>
              </w:rPr>
            </w:pPr>
            <w:r>
              <w:rPr>
                <w:rFonts w:ascii="Calibri" w:hAnsi="Calibri"/>
                <w:color w:val="000000"/>
              </w:rPr>
              <w:t>ІП: 92 ХН: 108</w:t>
            </w:r>
          </w:p>
        </w:tc>
        <w:tc>
          <w:tcPr>
            <w:tcW w:w="1166"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115" w:right="163"/>
              <w:jc w:val="center"/>
              <w:rPr>
                <w:rFonts w:ascii="Calibri" w:hAnsi="Calibri" w:cs="Calibri"/>
              </w:rPr>
            </w:pPr>
            <w:r>
              <w:rPr>
                <w:rFonts w:ascii="Calibri" w:hAnsi="Calibri"/>
                <w:color w:val="000000"/>
              </w:rPr>
              <w:t>ІП: 118 ХН: 82</w:t>
            </w:r>
          </w:p>
        </w:tc>
      </w:tr>
      <w:tr w:rsidR="00ED665B" w:rsidRPr="00907702" w:rsidTr="00860142">
        <w:trPr>
          <w:trHeight w:hRule="exact" w:val="749"/>
        </w:trPr>
        <w:tc>
          <w:tcPr>
            <w:tcW w:w="1723" w:type="dxa"/>
            <w:vMerge/>
            <w:tcBorders>
              <w:top w:val="single" w:sz="8" w:space="0" w:color="009649"/>
              <w:bottom w:val="single" w:sz="8" w:space="0" w:color="009649"/>
            </w:tcBorders>
            <w:shd w:val="clear" w:color="auto" w:fill="FFFFFF"/>
            <w:vAlign w:val="center"/>
          </w:tcPr>
          <w:p w:rsidR="00ED665B" w:rsidRPr="00406A04" w:rsidRDefault="00ED665B" w:rsidP="00860142">
            <w:pPr>
              <w:rPr>
                <w:rFonts w:ascii="Calibri" w:hAnsi="Calibri" w:cs="Calibri"/>
                <w:b/>
              </w:rPr>
            </w:pPr>
          </w:p>
          <w:p w:rsidR="00ED665B" w:rsidRPr="00406A04" w:rsidRDefault="00ED665B" w:rsidP="00860142">
            <w:pPr>
              <w:rPr>
                <w:rFonts w:ascii="Calibri" w:hAnsi="Calibri" w:cs="Calibri"/>
                <w:b/>
              </w:rPr>
            </w:pPr>
          </w:p>
        </w:tc>
        <w:tc>
          <w:tcPr>
            <w:tcW w:w="1219"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5 (1939)</w:t>
            </w:r>
          </w:p>
        </w:tc>
        <w:tc>
          <w:tcPr>
            <w:tcW w:w="1315"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Sp: 1,00</w:t>
            </w:r>
          </w:p>
        </w:tc>
        <w:tc>
          <w:tcPr>
            <w:tcW w:w="1315"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Sp: 0,99</w:t>
            </w:r>
          </w:p>
        </w:tc>
        <w:tc>
          <w:tcPr>
            <w:tcW w:w="1224"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Висока</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144" w:right="154"/>
              <w:jc w:val="center"/>
              <w:rPr>
                <w:rFonts w:ascii="Calibri" w:hAnsi="Calibri" w:cs="Calibri"/>
              </w:rPr>
            </w:pPr>
            <w:r>
              <w:rPr>
                <w:rFonts w:ascii="Calibri" w:hAnsi="Calibri"/>
                <w:color w:val="000000"/>
              </w:rPr>
              <w:t>ІН: 989 ХП: 1</w:t>
            </w:r>
          </w:p>
        </w:tc>
        <w:tc>
          <w:tcPr>
            <w:tcW w:w="1123"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96" w:right="106"/>
              <w:jc w:val="center"/>
              <w:rPr>
                <w:rFonts w:ascii="Calibri" w:hAnsi="Calibri" w:cs="Calibri"/>
              </w:rPr>
            </w:pPr>
            <w:r>
              <w:rPr>
                <w:rFonts w:ascii="Calibri" w:hAnsi="Calibri"/>
                <w:color w:val="000000"/>
              </w:rPr>
              <w:t>ІН: 980 ХП: 10</w:t>
            </w:r>
          </w:p>
        </w:tc>
        <w:tc>
          <w:tcPr>
            <w:tcW w:w="1320" w:type="dxa"/>
            <w:tcBorders>
              <w:top w:val="single" w:sz="8" w:space="0" w:color="009649"/>
              <w:bottom w:val="single" w:sz="8" w:space="0" w:color="009649"/>
            </w:tcBorders>
            <w:shd w:val="clear" w:color="auto" w:fill="FFFFFF"/>
            <w:vAlign w:val="center"/>
          </w:tcPr>
          <w:p w:rsidR="00ED665B" w:rsidRPr="00907702" w:rsidRDefault="006C7D2F" w:rsidP="00860142">
            <w:pPr>
              <w:ind w:left="197" w:right="202"/>
              <w:jc w:val="center"/>
              <w:rPr>
                <w:rFonts w:ascii="Calibri" w:hAnsi="Calibri" w:cs="Calibri"/>
              </w:rPr>
            </w:pPr>
            <w:r>
              <w:rPr>
                <w:rFonts w:ascii="Calibri" w:hAnsi="Calibri"/>
                <w:color w:val="000000"/>
              </w:rPr>
              <w:t>ІН: 899 ХП: 1</w:t>
            </w:r>
          </w:p>
        </w:tc>
        <w:tc>
          <w:tcPr>
            <w:tcW w:w="1219"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144" w:right="187"/>
              <w:jc w:val="center"/>
              <w:rPr>
                <w:rFonts w:ascii="Calibri" w:hAnsi="Calibri" w:cs="Calibri"/>
              </w:rPr>
            </w:pPr>
            <w:r>
              <w:rPr>
                <w:rFonts w:ascii="Calibri" w:hAnsi="Calibri"/>
                <w:color w:val="000000"/>
              </w:rPr>
              <w:t>ІН: 891 ХП: 9</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144" w:right="154"/>
              <w:jc w:val="center"/>
              <w:rPr>
                <w:rFonts w:ascii="Calibri" w:hAnsi="Calibri" w:cs="Calibri"/>
              </w:rPr>
            </w:pPr>
            <w:r>
              <w:rPr>
                <w:rFonts w:ascii="Calibri" w:hAnsi="Calibri"/>
                <w:color w:val="000000"/>
              </w:rPr>
              <w:t>ІН: 799 ХП: 1</w:t>
            </w:r>
          </w:p>
        </w:tc>
        <w:tc>
          <w:tcPr>
            <w:tcW w:w="1166"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96" w:right="149"/>
              <w:jc w:val="center"/>
              <w:rPr>
                <w:rFonts w:ascii="Calibri" w:hAnsi="Calibri" w:cs="Calibri"/>
              </w:rPr>
            </w:pPr>
            <w:r>
              <w:rPr>
                <w:rFonts w:ascii="Calibri" w:hAnsi="Calibri"/>
                <w:color w:val="000000"/>
              </w:rPr>
              <w:t>ІН: 792 ХП: 8</w:t>
            </w:r>
          </w:p>
        </w:tc>
      </w:tr>
      <w:tr w:rsidR="00ED665B" w:rsidRPr="00907702" w:rsidTr="00860142">
        <w:trPr>
          <w:trHeight w:hRule="exact" w:val="749"/>
        </w:trPr>
        <w:tc>
          <w:tcPr>
            <w:tcW w:w="1723" w:type="dxa"/>
            <w:vMerge w:val="restart"/>
            <w:tcBorders>
              <w:top w:val="single" w:sz="8" w:space="0" w:color="009649"/>
              <w:bottom w:val="single" w:sz="8" w:space="0" w:color="009649"/>
            </w:tcBorders>
            <w:shd w:val="clear" w:color="auto" w:fill="FFFFFF"/>
            <w:vAlign w:val="center"/>
          </w:tcPr>
          <w:p w:rsidR="00ED665B" w:rsidRPr="00406A04" w:rsidRDefault="006C7D2F" w:rsidP="00860142">
            <w:pPr>
              <w:ind w:left="53" w:right="115"/>
              <w:rPr>
                <w:rFonts w:ascii="Calibri" w:hAnsi="Calibri" w:cs="Calibri"/>
                <w:b/>
              </w:rPr>
            </w:pPr>
            <w:r w:rsidRPr="00406A04">
              <w:rPr>
                <w:rFonts w:ascii="Calibri" w:hAnsi="Calibri"/>
                <w:b/>
                <w:color w:val="000000"/>
              </w:rPr>
              <w:t>1 порівняно з 1+ MTB/RIF для виявлення ЛТБ у ША дітей, МРС</w:t>
            </w:r>
          </w:p>
        </w:tc>
        <w:tc>
          <w:tcPr>
            <w:tcW w:w="1219"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1 (32)</w:t>
            </w:r>
          </w:p>
        </w:tc>
        <w:tc>
          <w:tcPr>
            <w:tcW w:w="1315"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Se: 0,09</w:t>
            </w:r>
          </w:p>
        </w:tc>
        <w:tc>
          <w:tcPr>
            <w:tcW w:w="1315"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Se: 0,23</w:t>
            </w:r>
          </w:p>
        </w:tc>
        <w:tc>
          <w:tcPr>
            <w:tcW w:w="1224"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Дуже низька</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283" w:right="278"/>
              <w:jc w:val="center"/>
              <w:rPr>
                <w:rFonts w:ascii="Calibri" w:hAnsi="Calibri" w:cs="Calibri"/>
              </w:rPr>
            </w:pPr>
            <w:r>
              <w:rPr>
                <w:rFonts w:ascii="Calibri" w:hAnsi="Calibri"/>
                <w:color w:val="000000"/>
              </w:rPr>
              <w:t>ІП: 1 ХН: 9</w:t>
            </w:r>
          </w:p>
        </w:tc>
        <w:tc>
          <w:tcPr>
            <w:tcW w:w="1123"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230" w:right="226"/>
              <w:jc w:val="center"/>
              <w:rPr>
                <w:rFonts w:ascii="Calibri" w:hAnsi="Calibri" w:cs="Calibri"/>
              </w:rPr>
            </w:pPr>
            <w:r>
              <w:rPr>
                <w:rFonts w:ascii="Calibri" w:hAnsi="Calibri"/>
                <w:color w:val="000000"/>
              </w:rPr>
              <w:t>ІП: 2 ХН: 8</w:t>
            </w:r>
          </w:p>
        </w:tc>
        <w:tc>
          <w:tcPr>
            <w:tcW w:w="1320" w:type="dxa"/>
            <w:tcBorders>
              <w:top w:val="single" w:sz="8" w:space="0" w:color="009649"/>
              <w:bottom w:val="single" w:sz="8" w:space="0" w:color="009649"/>
            </w:tcBorders>
            <w:shd w:val="clear" w:color="auto" w:fill="FFFFFF"/>
            <w:vAlign w:val="center"/>
          </w:tcPr>
          <w:p w:rsidR="00ED665B" w:rsidRPr="00907702" w:rsidRDefault="006C7D2F" w:rsidP="00860142">
            <w:pPr>
              <w:ind w:left="274" w:right="298"/>
              <w:jc w:val="center"/>
              <w:rPr>
                <w:rFonts w:ascii="Calibri" w:hAnsi="Calibri" w:cs="Calibri"/>
              </w:rPr>
            </w:pPr>
            <w:r>
              <w:rPr>
                <w:rFonts w:ascii="Calibri" w:hAnsi="Calibri"/>
                <w:color w:val="000000"/>
              </w:rPr>
              <w:t>ІП: 9 ХН: 91</w:t>
            </w:r>
          </w:p>
        </w:tc>
        <w:tc>
          <w:tcPr>
            <w:tcW w:w="1219"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221" w:right="221"/>
              <w:jc w:val="center"/>
              <w:rPr>
                <w:rFonts w:ascii="Calibri" w:hAnsi="Calibri" w:cs="Calibri"/>
              </w:rPr>
            </w:pPr>
            <w:r>
              <w:rPr>
                <w:rFonts w:ascii="Calibri" w:hAnsi="Calibri"/>
                <w:color w:val="000000"/>
              </w:rPr>
              <w:t>ІП: 23 ХН: 77</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163" w:right="192"/>
              <w:jc w:val="center"/>
              <w:rPr>
                <w:rFonts w:ascii="Calibri" w:hAnsi="Calibri" w:cs="Calibri"/>
              </w:rPr>
            </w:pPr>
            <w:r>
              <w:rPr>
                <w:rFonts w:ascii="Calibri" w:hAnsi="Calibri"/>
                <w:color w:val="000000"/>
              </w:rPr>
              <w:t>ІП: 19 ХН: 181</w:t>
            </w:r>
          </w:p>
        </w:tc>
        <w:tc>
          <w:tcPr>
            <w:tcW w:w="1166"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115" w:right="144"/>
              <w:jc w:val="center"/>
              <w:rPr>
                <w:rFonts w:ascii="Calibri" w:hAnsi="Calibri" w:cs="Calibri"/>
              </w:rPr>
            </w:pPr>
            <w:r>
              <w:rPr>
                <w:rFonts w:ascii="Calibri" w:hAnsi="Calibri"/>
                <w:color w:val="000000"/>
              </w:rPr>
              <w:t>ІП: 46 ХН: 154</w:t>
            </w:r>
          </w:p>
        </w:tc>
      </w:tr>
      <w:tr w:rsidR="00ED665B" w:rsidRPr="00907702" w:rsidTr="00860142">
        <w:trPr>
          <w:trHeight w:hRule="exact" w:val="744"/>
        </w:trPr>
        <w:tc>
          <w:tcPr>
            <w:tcW w:w="1723" w:type="dxa"/>
            <w:vMerge/>
            <w:tcBorders>
              <w:top w:val="single" w:sz="8" w:space="0" w:color="009649"/>
              <w:bottom w:val="single" w:sz="8" w:space="0" w:color="009649"/>
            </w:tcBorders>
            <w:shd w:val="clear" w:color="auto" w:fill="FFFFFF"/>
            <w:vAlign w:val="center"/>
          </w:tcPr>
          <w:p w:rsidR="00ED665B" w:rsidRPr="00406A04" w:rsidRDefault="00ED665B" w:rsidP="00860142">
            <w:pPr>
              <w:rPr>
                <w:rFonts w:ascii="Calibri" w:hAnsi="Calibri" w:cs="Calibri"/>
                <w:b/>
              </w:rPr>
            </w:pPr>
          </w:p>
          <w:p w:rsidR="00ED665B" w:rsidRPr="00406A04" w:rsidRDefault="00ED665B" w:rsidP="00860142">
            <w:pPr>
              <w:rPr>
                <w:rFonts w:ascii="Calibri" w:hAnsi="Calibri" w:cs="Calibri"/>
                <w:b/>
              </w:rPr>
            </w:pPr>
          </w:p>
        </w:tc>
        <w:tc>
          <w:tcPr>
            <w:tcW w:w="1219"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1 (903)</w:t>
            </w:r>
          </w:p>
        </w:tc>
        <w:tc>
          <w:tcPr>
            <w:tcW w:w="1315"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Sp: 0,99</w:t>
            </w:r>
          </w:p>
        </w:tc>
        <w:tc>
          <w:tcPr>
            <w:tcW w:w="1315"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Sp: 0,99</w:t>
            </w:r>
          </w:p>
        </w:tc>
        <w:tc>
          <w:tcPr>
            <w:tcW w:w="1224"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Низькі</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144" w:right="154"/>
              <w:jc w:val="center"/>
              <w:rPr>
                <w:rFonts w:ascii="Calibri" w:hAnsi="Calibri" w:cs="Calibri"/>
              </w:rPr>
            </w:pPr>
            <w:r>
              <w:rPr>
                <w:rFonts w:ascii="Calibri" w:hAnsi="Calibri"/>
                <w:color w:val="000000"/>
              </w:rPr>
              <w:t>ІН: 980 ХП: 10</w:t>
            </w:r>
          </w:p>
        </w:tc>
        <w:tc>
          <w:tcPr>
            <w:tcW w:w="1123"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96" w:right="106"/>
              <w:jc w:val="center"/>
              <w:rPr>
                <w:rFonts w:ascii="Calibri" w:hAnsi="Calibri" w:cs="Calibri"/>
              </w:rPr>
            </w:pPr>
            <w:r>
              <w:rPr>
                <w:rFonts w:ascii="Calibri" w:hAnsi="Calibri"/>
                <w:color w:val="000000"/>
              </w:rPr>
              <w:t>ІН: 980 ХП: 10</w:t>
            </w:r>
          </w:p>
        </w:tc>
        <w:tc>
          <w:tcPr>
            <w:tcW w:w="1320" w:type="dxa"/>
            <w:tcBorders>
              <w:top w:val="single" w:sz="8" w:space="0" w:color="009649"/>
              <w:bottom w:val="single" w:sz="8" w:space="0" w:color="009649"/>
            </w:tcBorders>
            <w:shd w:val="clear" w:color="auto" w:fill="FFFFFF"/>
            <w:vAlign w:val="center"/>
          </w:tcPr>
          <w:p w:rsidR="00ED665B" w:rsidRPr="00907702" w:rsidRDefault="006C7D2F" w:rsidP="00860142">
            <w:pPr>
              <w:ind w:left="197" w:right="235"/>
              <w:jc w:val="center"/>
              <w:rPr>
                <w:rFonts w:ascii="Calibri" w:hAnsi="Calibri" w:cs="Calibri"/>
              </w:rPr>
            </w:pPr>
            <w:r>
              <w:rPr>
                <w:rFonts w:ascii="Calibri" w:hAnsi="Calibri"/>
                <w:color w:val="000000"/>
              </w:rPr>
              <w:t>ІН: 891 ХП: 9</w:t>
            </w:r>
          </w:p>
        </w:tc>
        <w:tc>
          <w:tcPr>
            <w:tcW w:w="1219"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144" w:right="187"/>
              <w:jc w:val="center"/>
              <w:rPr>
                <w:rFonts w:ascii="Calibri" w:hAnsi="Calibri" w:cs="Calibri"/>
              </w:rPr>
            </w:pPr>
            <w:r>
              <w:rPr>
                <w:rFonts w:ascii="Calibri" w:hAnsi="Calibri"/>
                <w:color w:val="000000"/>
              </w:rPr>
              <w:t>ІН: 891 ХП: 9</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144" w:right="158"/>
              <w:jc w:val="center"/>
              <w:rPr>
                <w:rFonts w:ascii="Calibri" w:hAnsi="Calibri" w:cs="Calibri"/>
              </w:rPr>
            </w:pPr>
            <w:r>
              <w:rPr>
                <w:rFonts w:ascii="Calibri" w:hAnsi="Calibri"/>
                <w:color w:val="000000"/>
              </w:rPr>
              <w:t>ІН: 792 ХП: 8</w:t>
            </w:r>
          </w:p>
        </w:tc>
        <w:tc>
          <w:tcPr>
            <w:tcW w:w="1166"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96" w:right="149"/>
              <w:jc w:val="center"/>
              <w:rPr>
                <w:rFonts w:ascii="Calibri" w:hAnsi="Calibri" w:cs="Calibri"/>
              </w:rPr>
            </w:pPr>
            <w:r>
              <w:rPr>
                <w:rFonts w:ascii="Calibri" w:hAnsi="Calibri"/>
                <w:color w:val="000000"/>
              </w:rPr>
              <w:t>ІН: 792 ХП: 8</w:t>
            </w:r>
          </w:p>
        </w:tc>
      </w:tr>
      <w:tr w:rsidR="00ED665B" w:rsidRPr="00907702" w:rsidTr="00860142">
        <w:trPr>
          <w:trHeight w:hRule="exact" w:val="749"/>
        </w:trPr>
        <w:tc>
          <w:tcPr>
            <w:tcW w:w="1723" w:type="dxa"/>
            <w:vMerge w:val="restart"/>
            <w:tcBorders>
              <w:top w:val="single" w:sz="8" w:space="0" w:color="009649"/>
              <w:bottom w:val="single" w:sz="8" w:space="0" w:color="009649"/>
            </w:tcBorders>
            <w:shd w:val="clear" w:color="auto" w:fill="FFFFFF"/>
            <w:vAlign w:val="center"/>
          </w:tcPr>
          <w:p w:rsidR="00ED665B" w:rsidRPr="00406A04" w:rsidRDefault="006C7D2F" w:rsidP="00860142">
            <w:pPr>
              <w:ind w:left="53" w:right="115"/>
              <w:rPr>
                <w:rFonts w:ascii="Calibri" w:hAnsi="Calibri" w:cs="Calibri"/>
                <w:b/>
              </w:rPr>
            </w:pPr>
            <w:r w:rsidRPr="00406A04">
              <w:rPr>
                <w:rFonts w:ascii="Calibri" w:hAnsi="Calibri"/>
                <w:b/>
                <w:color w:val="000000"/>
              </w:rPr>
              <w:t>1 порівняно з 1+ MTB/RIF для виявлення ЛТБ у НФА дітей, МРС</w:t>
            </w:r>
          </w:p>
        </w:tc>
        <w:tc>
          <w:tcPr>
            <w:tcW w:w="1219"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2 (91)</w:t>
            </w:r>
          </w:p>
        </w:tc>
        <w:tc>
          <w:tcPr>
            <w:tcW w:w="1315"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Se: 0,41</w:t>
            </w:r>
          </w:p>
        </w:tc>
        <w:tc>
          <w:tcPr>
            <w:tcW w:w="1315"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Se: 0,54</w:t>
            </w:r>
          </w:p>
        </w:tc>
        <w:tc>
          <w:tcPr>
            <w:tcW w:w="1224"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Дуже низька</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283" w:right="278"/>
              <w:jc w:val="center"/>
              <w:rPr>
                <w:rFonts w:ascii="Calibri" w:hAnsi="Calibri" w:cs="Calibri"/>
              </w:rPr>
            </w:pPr>
            <w:r>
              <w:rPr>
                <w:rFonts w:ascii="Calibri" w:hAnsi="Calibri"/>
                <w:color w:val="000000"/>
              </w:rPr>
              <w:t>ІП: 4 ХН: 6</w:t>
            </w:r>
          </w:p>
        </w:tc>
        <w:tc>
          <w:tcPr>
            <w:tcW w:w="1123"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230" w:right="230"/>
              <w:jc w:val="center"/>
              <w:rPr>
                <w:rFonts w:ascii="Calibri" w:hAnsi="Calibri" w:cs="Calibri"/>
              </w:rPr>
            </w:pPr>
            <w:r>
              <w:rPr>
                <w:rFonts w:ascii="Calibri" w:hAnsi="Calibri"/>
                <w:color w:val="000000"/>
              </w:rPr>
              <w:t>ІП: 5 ХН: 5</w:t>
            </w:r>
          </w:p>
        </w:tc>
        <w:tc>
          <w:tcPr>
            <w:tcW w:w="1320" w:type="dxa"/>
            <w:tcBorders>
              <w:top w:val="single" w:sz="8" w:space="0" w:color="009649"/>
              <w:bottom w:val="single" w:sz="8" w:space="0" w:color="009649"/>
            </w:tcBorders>
            <w:shd w:val="clear" w:color="auto" w:fill="FFFFFF"/>
            <w:vAlign w:val="center"/>
          </w:tcPr>
          <w:p w:rsidR="00ED665B" w:rsidRPr="00907702" w:rsidRDefault="006C7D2F" w:rsidP="00860142">
            <w:pPr>
              <w:ind w:left="274" w:right="264"/>
              <w:jc w:val="center"/>
              <w:rPr>
                <w:rFonts w:ascii="Calibri" w:hAnsi="Calibri" w:cs="Calibri"/>
              </w:rPr>
            </w:pPr>
            <w:r>
              <w:rPr>
                <w:rFonts w:ascii="Calibri" w:hAnsi="Calibri"/>
                <w:color w:val="000000"/>
              </w:rPr>
              <w:t>ІП: 41 ХН: 59</w:t>
            </w:r>
          </w:p>
        </w:tc>
        <w:tc>
          <w:tcPr>
            <w:tcW w:w="1219"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221" w:right="216"/>
              <w:jc w:val="center"/>
              <w:rPr>
                <w:rFonts w:ascii="Calibri" w:hAnsi="Calibri" w:cs="Calibri"/>
              </w:rPr>
            </w:pPr>
            <w:r>
              <w:rPr>
                <w:rFonts w:ascii="Calibri" w:hAnsi="Calibri"/>
                <w:color w:val="000000"/>
              </w:rPr>
              <w:t>ІП: 54 ХН: 46</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163" w:right="158"/>
              <w:jc w:val="center"/>
              <w:rPr>
                <w:rFonts w:ascii="Calibri" w:hAnsi="Calibri" w:cs="Calibri"/>
              </w:rPr>
            </w:pPr>
            <w:r>
              <w:rPr>
                <w:rFonts w:ascii="Calibri" w:hAnsi="Calibri"/>
                <w:color w:val="000000"/>
              </w:rPr>
              <w:t>ІП: 82 ХН: 118</w:t>
            </w:r>
          </w:p>
        </w:tc>
        <w:tc>
          <w:tcPr>
            <w:tcW w:w="1166"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115" w:right="163"/>
              <w:jc w:val="center"/>
              <w:rPr>
                <w:rFonts w:ascii="Calibri" w:hAnsi="Calibri" w:cs="Calibri"/>
              </w:rPr>
            </w:pPr>
            <w:r>
              <w:rPr>
                <w:rFonts w:ascii="Calibri" w:hAnsi="Calibri"/>
                <w:color w:val="000000"/>
              </w:rPr>
              <w:t>ІП: 108 ХН: 92</w:t>
            </w:r>
          </w:p>
        </w:tc>
      </w:tr>
      <w:tr w:rsidR="00ED665B" w:rsidRPr="00907702" w:rsidTr="00860142">
        <w:trPr>
          <w:trHeight w:hRule="exact" w:val="749"/>
        </w:trPr>
        <w:tc>
          <w:tcPr>
            <w:tcW w:w="1723" w:type="dxa"/>
            <w:vMerge/>
            <w:tcBorders>
              <w:top w:val="single" w:sz="8" w:space="0" w:color="009649"/>
              <w:bottom w:val="single" w:sz="8" w:space="0" w:color="009649"/>
            </w:tcBorders>
            <w:shd w:val="clear" w:color="auto" w:fill="FFFFFF"/>
            <w:vAlign w:val="center"/>
          </w:tcPr>
          <w:p w:rsidR="00ED665B" w:rsidRPr="00406A04" w:rsidRDefault="00ED665B" w:rsidP="00860142">
            <w:pPr>
              <w:rPr>
                <w:rFonts w:ascii="Calibri" w:hAnsi="Calibri" w:cs="Calibri"/>
                <w:b/>
              </w:rPr>
            </w:pPr>
          </w:p>
          <w:p w:rsidR="00ED665B" w:rsidRPr="00406A04" w:rsidRDefault="00ED665B" w:rsidP="00860142">
            <w:pPr>
              <w:rPr>
                <w:rFonts w:ascii="Calibri" w:hAnsi="Calibri" w:cs="Calibri"/>
                <w:b/>
              </w:rPr>
            </w:pPr>
          </w:p>
        </w:tc>
        <w:tc>
          <w:tcPr>
            <w:tcW w:w="1219"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2 (614)</w:t>
            </w:r>
          </w:p>
        </w:tc>
        <w:tc>
          <w:tcPr>
            <w:tcW w:w="1315"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Sp: 0,99</w:t>
            </w:r>
          </w:p>
        </w:tc>
        <w:tc>
          <w:tcPr>
            <w:tcW w:w="1315"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Sp: 0,98</w:t>
            </w:r>
          </w:p>
        </w:tc>
        <w:tc>
          <w:tcPr>
            <w:tcW w:w="1224"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Помірна</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144" w:right="154"/>
              <w:jc w:val="center"/>
              <w:rPr>
                <w:rFonts w:ascii="Calibri" w:hAnsi="Calibri" w:cs="Calibri"/>
              </w:rPr>
            </w:pPr>
            <w:r>
              <w:rPr>
                <w:rFonts w:ascii="Calibri" w:hAnsi="Calibri"/>
                <w:color w:val="000000"/>
              </w:rPr>
              <w:t>ІН: 980 ХП: 10</w:t>
            </w:r>
          </w:p>
        </w:tc>
        <w:tc>
          <w:tcPr>
            <w:tcW w:w="1123"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96" w:right="106"/>
              <w:jc w:val="center"/>
              <w:rPr>
                <w:rFonts w:ascii="Calibri" w:hAnsi="Calibri" w:cs="Calibri"/>
              </w:rPr>
            </w:pPr>
            <w:r>
              <w:rPr>
                <w:rFonts w:ascii="Calibri" w:hAnsi="Calibri"/>
                <w:color w:val="000000"/>
              </w:rPr>
              <w:t>ІН: 970 ХП: 20</w:t>
            </w:r>
          </w:p>
        </w:tc>
        <w:tc>
          <w:tcPr>
            <w:tcW w:w="1320" w:type="dxa"/>
            <w:tcBorders>
              <w:top w:val="single" w:sz="8" w:space="0" w:color="009649"/>
              <w:bottom w:val="single" w:sz="8" w:space="0" w:color="009649"/>
            </w:tcBorders>
            <w:shd w:val="clear" w:color="auto" w:fill="FFFFFF"/>
            <w:vAlign w:val="center"/>
          </w:tcPr>
          <w:p w:rsidR="00ED665B" w:rsidRPr="00907702" w:rsidRDefault="006C7D2F" w:rsidP="00860142">
            <w:pPr>
              <w:ind w:left="216" w:right="259"/>
              <w:jc w:val="center"/>
              <w:rPr>
                <w:rFonts w:ascii="Calibri" w:hAnsi="Calibri" w:cs="Calibri"/>
              </w:rPr>
            </w:pPr>
            <w:r>
              <w:rPr>
                <w:rFonts w:ascii="Calibri" w:hAnsi="Calibri"/>
                <w:color w:val="000000"/>
              </w:rPr>
              <w:t>ІН: 891 ХП: 9</w:t>
            </w:r>
          </w:p>
        </w:tc>
        <w:tc>
          <w:tcPr>
            <w:tcW w:w="1219"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144" w:right="158"/>
              <w:jc w:val="center"/>
              <w:rPr>
                <w:rFonts w:ascii="Calibri" w:hAnsi="Calibri" w:cs="Calibri"/>
              </w:rPr>
            </w:pPr>
            <w:r>
              <w:rPr>
                <w:rFonts w:ascii="Calibri" w:hAnsi="Calibri"/>
                <w:color w:val="000000"/>
              </w:rPr>
              <w:t>ІН: 882 ХП: 18</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168" w:right="182"/>
              <w:jc w:val="center"/>
              <w:rPr>
                <w:rFonts w:ascii="Calibri" w:hAnsi="Calibri" w:cs="Calibri"/>
              </w:rPr>
            </w:pPr>
            <w:r>
              <w:rPr>
                <w:rFonts w:ascii="Calibri" w:hAnsi="Calibri"/>
                <w:color w:val="000000"/>
              </w:rPr>
              <w:t>ІН: 792 ХП: 8</w:t>
            </w:r>
          </w:p>
        </w:tc>
        <w:tc>
          <w:tcPr>
            <w:tcW w:w="1166"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96" w:right="139"/>
              <w:jc w:val="center"/>
              <w:rPr>
                <w:rFonts w:ascii="Calibri" w:hAnsi="Calibri" w:cs="Calibri"/>
              </w:rPr>
            </w:pPr>
            <w:r>
              <w:rPr>
                <w:rFonts w:ascii="Calibri" w:hAnsi="Calibri"/>
                <w:color w:val="000000"/>
              </w:rPr>
              <w:t>ІН: 784 ХП: 16</w:t>
            </w:r>
          </w:p>
        </w:tc>
      </w:tr>
      <w:tr w:rsidR="00ED665B" w:rsidRPr="00907702" w:rsidTr="00860142">
        <w:trPr>
          <w:trHeight w:hRule="exact" w:val="749"/>
        </w:trPr>
        <w:tc>
          <w:tcPr>
            <w:tcW w:w="1723" w:type="dxa"/>
            <w:vMerge w:val="restart"/>
            <w:tcBorders>
              <w:top w:val="single" w:sz="8" w:space="0" w:color="009649"/>
              <w:bottom w:val="single" w:sz="8" w:space="0" w:color="009649"/>
            </w:tcBorders>
            <w:shd w:val="clear" w:color="auto" w:fill="FFFFFF"/>
            <w:vAlign w:val="center"/>
          </w:tcPr>
          <w:p w:rsidR="00ED665B" w:rsidRPr="00406A04" w:rsidRDefault="006C7D2F" w:rsidP="00860142">
            <w:pPr>
              <w:ind w:left="53" w:right="77"/>
              <w:rPr>
                <w:rFonts w:ascii="Calibri" w:hAnsi="Calibri" w:cs="Calibri"/>
                <w:b/>
              </w:rPr>
            </w:pPr>
            <w:r w:rsidRPr="00406A04">
              <w:rPr>
                <w:rFonts w:ascii="Calibri" w:hAnsi="Calibri"/>
                <w:b/>
                <w:color w:val="000000"/>
              </w:rPr>
              <w:t>1 порівняно з 1+ MTB/RIF для виявлення ЛТБ у калі дітей, МРС</w:t>
            </w:r>
          </w:p>
        </w:tc>
        <w:tc>
          <w:tcPr>
            <w:tcW w:w="1219"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1 (17)</w:t>
            </w:r>
          </w:p>
        </w:tc>
        <w:tc>
          <w:tcPr>
            <w:tcW w:w="1315"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Se: 0,25</w:t>
            </w:r>
          </w:p>
        </w:tc>
        <w:tc>
          <w:tcPr>
            <w:tcW w:w="1315"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Se: 0,35</w:t>
            </w:r>
          </w:p>
        </w:tc>
        <w:tc>
          <w:tcPr>
            <w:tcW w:w="1224"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Низькі</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283" w:right="283"/>
              <w:jc w:val="center"/>
              <w:rPr>
                <w:rFonts w:ascii="Calibri" w:hAnsi="Calibri" w:cs="Calibri"/>
              </w:rPr>
            </w:pPr>
            <w:r>
              <w:rPr>
                <w:rFonts w:ascii="Calibri" w:hAnsi="Calibri"/>
                <w:color w:val="000000"/>
              </w:rPr>
              <w:t>ІП: 3 ХН: 7</w:t>
            </w:r>
          </w:p>
        </w:tc>
        <w:tc>
          <w:tcPr>
            <w:tcW w:w="1123"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230" w:right="230"/>
              <w:jc w:val="center"/>
              <w:rPr>
                <w:rFonts w:ascii="Calibri" w:hAnsi="Calibri" w:cs="Calibri"/>
              </w:rPr>
            </w:pPr>
            <w:r>
              <w:rPr>
                <w:rFonts w:ascii="Calibri" w:hAnsi="Calibri"/>
                <w:color w:val="000000"/>
              </w:rPr>
              <w:t>ІП: 3 ХН: 7</w:t>
            </w:r>
          </w:p>
        </w:tc>
        <w:tc>
          <w:tcPr>
            <w:tcW w:w="1320" w:type="dxa"/>
            <w:tcBorders>
              <w:top w:val="single" w:sz="8" w:space="0" w:color="009649"/>
              <w:bottom w:val="single" w:sz="8" w:space="0" w:color="009649"/>
            </w:tcBorders>
            <w:shd w:val="clear" w:color="auto" w:fill="FFFFFF"/>
            <w:vAlign w:val="center"/>
          </w:tcPr>
          <w:p w:rsidR="00ED665B" w:rsidRPr="00907702" w:rsidRDefault="006C7D2F" w:rsidP="00860142">
            <w:pPr>
              <w:ind w:left="274" w:right="269"/>
              <w:jc w:val="center"/>
              <w:rPr>
                <w:rFonts w:ascii="Calibri" w:hAnsi="Calibri" w:cs="Calibri"/>
              </w:rPr>
            </w:pPr>
            <w:r>
              <w:rPr>
                <w:rFonts w:ascii="Calibri" w:hAnsi="Calibri"/>
                <w:color w:val="000000"/>
              </w:rPr>
              <w:t>ІП: 25 ХН: 75</w:t>
            </w:r>
          </w:p>
        </w:tc>
        <w:tc>
          <w:tcPr>
            <w:tcW w:w="1219"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221" w:right="221"/>
              <w:jc w:val="center"/>
              <w:rPr>
                <w:rFonts w:ascii="Calibri" w:hAnsi="Calibri" w:cs="Calibri"/>
              </w:rPr>
            </w:pPr>
            <w:r>
              <w:rPr>
                <w:rFonts w:ascii="Calibri" w:hAnsi="Calibri"/>
                <w:color w:val="000000"/>
              </w:rPr>
              <w:t>ІП: 35 ХН: 65</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163" w:right="158"/>
              <w:jc w:val="center"/>
              <w:rPr>
                <w:rFonts w:ascii="Calibri" w:hAnsi="Calibri" w:cs="Calibri"/>
              </w:rPr>
            </w:pPr>
            <w:r>
              <w:rPr>
                <w:rFonts w:ascii="Calibri" w:hAnsi="Calibri"/>
                <w:color w:val="000000"/>
              </w:rPr>
              <w:t>ІП: 50 ХН: 150</w:t>
            </w:r>
          </w:p>
        </w:tc>
        <w:tc>
          <w:tcPr>
            <w:tcW w:w="1166"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115" w:right="149"/>
              <w:jc w:val="center"/>
              <w:rPr>
                <w:rFonts w:ascii="Calibri" w:hAnsi="Calibri" w:cs="Calibri"/>
              </w:rPr>
            </w:pPr>
            <w:r>
              <w:rPr>
                <w:rFonts w:ascii="Calibri" w:hAnsi="Calibri"/>
                <w:color w:val="000000"/>
              </w:rPr>
              <w:t>ІП: 70 ХН: 130</w:t>
            </w:r>
          </w:p>
        </w:tc>
      </w:tr>
      <w:tr w:rsidR="00ED665B" w:rsidRPr="00907702" w:rsidTr="00860142">
        <w:trPr>
          <w:trHeight w:hRule="exact" w:val="749"/>
        </w:trPr>
        <w:tc>
          <w:tcPr>
            <w:tcW w:w="1723" w:type="dxa"/>
            <w:vMerge/>
            <w:tcBorders>
              <w:top w:val="single" w:sz="8" w:space="0" w:color="009649"/>
              <w:bottom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219"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1 (230)</w:t>
            </w:r>
          </w:p>
        </w:tc>
        <w:tc>
          <w:tcPr>
            <w:tcW w:w="1315"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Sp: 0,99</w:t>
            </w:r>
          </w:p>
        </w:tc>
        <w:tc>
          <w:tcPr>
            <w:tcW w:w="1315"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Sp: 0,99</w:t>
            </w:r>
          </w:p>
        </w:tc>
        <w:tc>
          <w:tcPr>
            <w:tcW w:w="1224"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Низькі</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144" w:right="154"/>
              <w:jc w:val="center"/>
              <w:rPr>
                <w:rFonts w:ascii="Calibri" w:hAnsi="Calibri" w:cs="Calibri"/>
              </w:rPr>
            </w:pPr>
            <w:r>
              <w:rPr>
                <w:rFonts w:ascii="Calibri" w:hAnsi="Calibri"/>
                <w:color w:val="000000"/>
              </w:rPr>
              <w:t>ІН: 980 ХП: 10</w:t>
            </w:r>
          </w:p>
        </w:tc>
        <w:tc>
          <w:tcPr>
            <w:tcW w:w="1123"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96" w:right="106"/>
              <w:jc w:val="center"/>
              <w:rPr>
                <w:rFonts w:ascii="Calibri" w:hAnsi="Calibri" w:cs="Calibri"/>
              </w:rPr>
            </w:pPr>
            <w:r>
              <w:rPr>
                <w:rFonts w:ascii="Calibri" w:hAnsi="Calibri"/>
                <w:color w:val="000000"/>
              </w:rPr>
              <w:t>ІН: 980 ХП: 10</w:t>
            </w:r>
          </w:p>
        </w:tc>
        <w:tc>
          <w:tcPr>
            <w:tcW w:w="1320" w:type="dxa"/>
            <w:tcBorders>
              <w:top w:val="single" w:sz="8" w:space="0" w:color="009649"/>
              <w:bottom w:val="single" w:sz="8" w:space="0" w:color="009649"/>
            </w:tcBorders>
            <w:shd w:val="clear" w:color="auto" w:fill="FFFFFF"/>
            <w:vAlign w:val="center"/>
          </w:tcPr>
          <w:p w:rsidR="00ED665B" w:rsidRPr="00907702" w:rsidRDefault="006C7D2F" w:rsidP="00860142">
            <w:pPr>
              <w:ind w:left="197" w:right="235"/>
              <w:jc w:val="center"/>
              <w:rPr>
                <w:rFonts w:ascii="Calibri" w:hAnsi="Calibri" w:cs="Calibri"/>
              </w:rPr>
            </w:pPr>
            <w:r>
              <w:rPr>
                <w:rFonts w:ascii="Calibri" w:hAnsi="Calibri"/>
                <w:color w:val="000000"/>
              </w:rPr>
              <w:t>ІН: 891 ХП: 9</w:t>
            </w:r>
          </w:p>
        </w:tc>
        <w:tc>
          <w:tcPr>
            <w:tcW w:w="1219"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144" w:right="187"/>
              <w:jc w:val="center"/>
              <w:rPr>
                <w:rFonts w:ascii="Calibri" w:hAnsi="Calibri" w:cs="Calibri"/>
              </w:rPr>
            </w:pPr>
            <w:r>
              <w:rPr>
                <w:rFonts w:ascii="Calibri" w:hAnsi="Calibri"/>
                <w:color w:val="000000"/>
              </w:rPr>
              <w:t>ІН: 891 ХП: 9</w:t>
            </w:r>
          </w:p>
        </w:tc>
        <w:tc>
          <w:tcPr>
            <w:tcW w:w="1224" w:type="dxa"/>
            <w:tcBorders>
              <w:top w:val="single" w:sz="8" w:space="0" w:color="009649"/>
              <w:bottom w:val="single" w:sz="8" w:space="0" w:color="009649"/>
            </w:tcBorders>
            <w:shd w:val="clear" w:color="auto" w:fill="FFFFFF"/>
            <w:vAlign w:val="center"/>
          </w:tcPr>
          <w:p w:rsidR="00ED665B" w:rsidRPr="00907702" w:rsidRDefault="006C7D2F" w:rsidP="00860142">
            <w:pPr>
              <w:ind w:left="144" w:right="158"/>
              <w:jc w:val="center"/>
              <w:rPr>
                <w:rFonts w:ascii="Calibri" w:hAnsi="Calibri" w:cs="Calibri"/>
              </w:rPr>
            </w:pPr>
            <w:r>
              <w:rPr>
                <w:rFonts w:ascii="Calibri" w:hAnsi="Calibri"/>
                <w:color w:val="000000"/>
              </w:rPr>
              <w:t>ІН: 792 ХП: 8</w:t>
            </w:r>
          </w:p>
        </w:tc>
        <w:tc>
          <w:tcPr>
            <w:tcW w:w="1166"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96" w:right="149"/>
              <w:jc w:val="center"/>
              <w:rPr>
                <w:rFonts w:ascii="Calibri" w:hAnsi="Calibri" w:cs="Calibri"/>
              </w:rPr>
            </w:pPr>
            <w:r>
              <w:rPr>
                <w:rFonts w:ascii="Calibri" w:hAnsi="Calibri"/>
                <w:color w:val="000000"/>
              </w:rPr>
              <w:t>ІН: 792 ХП: 8</w:t>
            </w:r>
          </w:p>
        </w:tc>
      </w:tr>
      <w:tr w:rsidR="00ED665B" w:rsidRPr="00907702" w:rsidTr="00860142">
        <w:trPr>
          <w:trHeight w:hRule="exact" w:val="490"/>
        </w:trPr>
        <w:tc>
          <w:tcPr>
            <w:tcW w:w="14072" w:type="dxa"/>
            <w:gridSpan w:val="11"/>
            <w:tcBorders>
              <w:top w:val="single" w:sz="8" w:space="0" w:color="009649"/>
              <w:left w:val="nil"/>
              <w:bottom w:val="nil"/>
              <w:right w:val="nil"/>
            </w:tcBorders>
            <w:shd w:val="clear" w:color="auto" w:fill="FFFFFF"/>
          </w:tcPr>
          <w:p w:rsidR="00ED665B" w:rsidRPr="00907702" w:rsidRDefault="006C7D2F" w:rsidP="00406A04">
            <w:pPr>
              <w:jc w:val="both"/>
              <w:rPr>
                <w:rFonts w:ascii="Calibri" w:hAnsi="Calibri" w:cs="Calibri"/>
              </w:rPr>
            </w:pPr>
            <w:r>
              <w:rPr>
                <w:rFonts w:ascii="Calibri" w:hAnsi="Calibri"/>
                <w:color w:val="000000"/>
                <w:sz w:val="16"/>
              </w:rPr>
              <w:t>ХН: хибнонегативний; ХП: хибнопозитивний; ША: шлунковий аспірат; МРС: мікробіологічний референс стандарт; НФА: аспірат носоглотки; PICO: кількість населення, заходи, порівняння, результат; Se: чутливість; Sp: специфічність; ТБ: туберкульоз; ІН: істинно негативний; ІП: істинно позитивний.</w:t>
            </w:r>
          </w:p>
        </w:tc>
      </w:tr>
    </w:tbl>
    <w:p w:rsidR="00ED665B" w:rsidRPr="00907702" w:rsidRDefault="00ED665B" w:rsidP="00DC2656">
      <w:pPr>
        <w:rPr>
          <w:rFonts w:ascii="Calibri" w:hAnsi="Calibri" w:cs="Calibri"/>
        </w:rPr>
        <w:sectPr w:rsidR="00ED665B" w:rsidRPr="00907702" w:rsidSect="00860142">
          <w:pgSz w:w="16838" w:h="11904" w:orient="landscape"/>
          <w:pgMar w:top="1397" w:right="1378" w:bottom="851"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714"/>
        <w:gridCol w:w="1526"/>
        <w:gridCol w:w="1522"/>
        <w:gridCol w:w="1526"/>
        <w:gridCol w:w="1522"/>
        <w:gridCol w:w="1027"/>
        <w:gridCol w:w="1037"/>
        <w:gridCol w:w="1109"/>
        <w:gridCol w:w="960"/>
        <w:gridCol w:w="1046"/>
        <w:gridCol w:w="1075"/>
      </w:tblGrid>
      <w:tr w:rsidR="00ED665B" w:rsidRPr="00860142" w:rsidTr="00860142">
        <w:trPr>
          <w:trHeight w:hRule="exact" w:val="768"/>
        </w:trPr>
        <w:tc>
          <w:tcPr>
            <w:tcW w:w="14064" w:type="dxa"/>
            <w:gridSpan w:val="11"/>
            <w:tcBorders>
              <w:top w:val="nil"/>
              <w:left w:val="nil"/>
              <w:bottom w:val="single" w:sz="8" w:space="0" w:color="009649"/>
              <w:right w:val="nil"/>
            </w:tcBorders>
            <w:shd w:val="clear" w:color="auto" w:fill="FFFFFF"/>
          </w:tcPr>
          <w:p w:rsidR="00ED665B" w:rsidRPr="00860142" w:rsidRDefault="006C7D2F" w:rsidP="00DC2656">
            <w:pPr>
              <w:ind w:right="139"/>
              <w:rPr>
                <w:rFonts w:ascii="Calibri" w:hAnsi="Calibri" w:cs="Calibri"/>
                <w:b/>
                <w:bCs/>
              </w:rPr>
            </w:pPr>
            <w:r>
              <w:rPr>
                <w:rFonts w:ascii="Calibri" w:hAnsi="Calibri"/>
                <w:b/>
                <w:color w:val="636466"/>
                <w:sz w:val="24"/>
              </w:rPr>
              <w:lastRenderedPageBreak/>
              <w:t>Таблиця 2.1.16. PICO 5.3: Більше одного тесту Xpert Ultra порівняно з одним Xpert Ultra для діагностики легеневого ТБ у дітей з ознаками та симптомами легеневого ТБ порівняно з МРС?</w:t>
            </w:r>
          </w:p>
        </w:tc>
      </w:tr>
      <w:tr w:rsidR="00ED665B" w:rsidRPr="008E12CA" w:rsidTr="00860142">
        <w:trPr>
          <w:trHeight w:hRule="exact" w:val="470"/>
        </w:trPr>
        <w:tc>
          <w:tcPr>
            <w:tcW w:w="1714"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67" w:right="365"/>
              <w:jc w:val="center"/>
              <w:rPr>
                <w:rFonts w:ascii="Calibri" w:hAnsi="Calibri" w:cs="Calibri"/>
                <w:b/>
              </w:rPr>
            </w:pPr>
            <w:r w:rsidRPr="008E12CA">
              <w:rPr>
                <w:rFonts w:ascii="Calibri" w:hAnsi="Calibri"/>
                <w:b/>
                <w:color w:val="000000"/>
              </w:rPr>
              <w:t>Популяція пацієнтів</w:t>
            </w:r>
          </w:p>
        </w:tc>
        <w:tc>
          <w:tcPr>
            <w:tcW w:w="1526"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206" w:right="211"/>
              <w:jc w:val="center"/>
              <w:rPr>
                <w:rFonts w:ascii="Calibri" w:hAnsi="Calibri" w:cs="Calibri"/>
                <w:b/>
              </w:rPr>
            </w:pPr>
            <w:r w:rsidRPr="008E12CA">
              <w:rPr>
                <w:rFonts w:ascii="Calibri" w:hAnsi="Calibri"/>
                <w:b/>
                <w:color w:val="000000"/>
              </w:rPr>
              <w:t>Дослідження (осіб)</w:t>
            </w:r>
          </w:p>
        </w:tc>
        <w:tc>
          <w:tcPr>
            <w:tcW w:w="1522"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240" w:right="235"/>
              <w:jc w:val="center"/>
              <w:rPr>
                <w:rFonts w:ascii="Calibri" w:hAnsi="Calibri" w:cs="Calibri"/>
                <w:b/>
              </w:rPr>
            </w:pPr>
            <w:r w:rsidRPr="008E12CA">
              <w:rPr>
                <w:rFonts w:ascii="Calibri" w:hAnsi="Calibri"/>
                <w:b/>
                <w:color w:val="000000"/>
              </w:rPr>
              <w:t>Точність тесту (1 Ultra)</w:t>
            </w:r>
          </w:p>
        </w:tc>
        <w:tc>
          <w:tcPr>
            <w:tcW w:w="1526"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197" w:right="202"/>
              <w:jc w:val="center"/>
              <w:rPr>
                <w:rFonts w:ascii="Calibri" w:hAnsi="Calibri" w:cs="Calibri"/>
                <w:b/>
              </w:rPr>
            </w:pPr>
            <w:r w:rsidRPr="008E12CA">
              <w:rPr>
                <w:rFonts w:ascii="Calibri" w:hAnsi="Calibri"/>
                <w:b/>
                <w:color w:val="000000"/>
              </w:rPr>
              <w:t>Точність тесту (&gt;1 Ultra)</w:t>
            </w:r>
          </w:p>
        </w:tc>
        <w:tc>
          <w:tcPr>
            <w:tcW w:w="1522"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91" w:right="96"/>
              <w:jc w:val="center"/>
              <w:rPr>
                <w:rFonts w:ascii="Calibri" w:hAnsi="Calibri" w:cs="Calibri"/>
                <w:b/>
              </w:rPr>
            </w:pPr>
            <w:r w:rsidRPr="008E12CA">
              <w:rPr>
                <w:rFonts w:ascii="Calibri" w:hAnsi="Calibri"/>
                <w:b/>
                <w:color w:val="000000"/>
              </w:rPr>
              <w:t>Достовірність даних</w:t>
            </w:r>
          </w:p>
        </w:tc>
        <w:tc>
          <w:tcPr>
            <w:tcW w:w="2064"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jc w:val="center"/>
              <w:rPr>
                <w:rFonts w:ascii="Calibri" w:hAnsi="Calibri" w:cs="Calibri"/>
                <w:b/>
              </w:rPr>
            </w:pPr>
            <w:r w:rsidRPr="008E12CA">
              <w:rPr>
                <w:rFonts w:ascii="Calibri" w:hAnsi="Calibri"/>
                <w:b/>
                <w:color w:val="000000"/>
              </w:rPr>
              <w:t>Поширеність 1%</w:t>
            </w:r>
          </w:p>
        </w:tc>
        <w:tc>
          <w:tcPr>
            <w:tcW w:w="2069"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jc w:val="center"/>
              <w:rPr>
                <w:rFonts w:ascii="Calibri" w:hAnsi="Calibri" w:cs="Calibri"/>
                <w:b/>
              </w:rPr>
            </w:pPr>
            <w:r w:rsidRPr="008E12CA">
              <w:rPr>
                <w:rFonts w:ascii="Calibri" w:hAnsi="Calibri"/>
                <w:b/>
                <w:color w:val="000000"/>
              </w:rPr>
              <w:t>Поширеність 10%</w:t>
            </w:r>
          </w:p>
        </w:tc>
        <w:tc>
          <w:tcPr>
            <w:tcW w:w="2121"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jc w:val="center"/>
              <w:rPr>
                <w:rFonts w:ascii="Calibri" w:hAnsi="Calibri" w:cs="Calibri"/>
                <w:b/>
              </w:rPr>
            </w:pPr>
            <w:r w:rsidRPr="008E12CA">
              <w:rPr>
                <w:rFonts w:ascii="Calibri" w:hAnsi="Calibri"/>
                <w:b/>
                <w:color w:val="000000"/>
              </w:rPr>
              <w:t>Поширеність 20%</w:t>
            </w:r>
          </w:p>
        </w:tc>
      </w:tr>
      <w:tr w:rsidR="00ED665B" w:rsidRPr="008E12CA" w:rsidTr="00860142">
        <w:trPr>
          <w:trHeight w:hRule="exact" w:val="739"/>
        </w:trPr>
        <w:tc>
          <w:tcPr>
            <w:tcW w:w="1714" w:type="dxa"/>
            <w:vMerge/>
            <w:tcBorders>
              <w:top w:val="single" w:sz="8" w:space="0" w:color="009649"/>
              <w:left w:val="single" w:sz="8" w:space="0" w:color="009649"/>
              <w:bottom w:val="single" w:sz="8" w:space="0" w:color="009649"/>
              <w:right w:val="single" w:sz="8" w:space="0" w:color="009649"/>
            </w:tcBorders>
            <w:shd w:val="clear" w:color="auto" w:fill="FFFFFF"/>
          </w:tcPr>
          <w:p w:rsidR="00ED665B" w:rsidRPr="008E12CA" w:rsidRDefault="00ED665B" w:rsidP="00DC2656">
            <w:pPr>
              <w:rPr>
                <w:rFonts w:ascii="Calibri" w:hAnsi="Calibri" w:cs="Calibri"/>
                <w:b/>
              </w:rPr>
            </w:pPr>
          </w:p>
          <w:p w:rsidR="00ED665B" w:rsidRPr="008E12CA" w:rsidRDefault="00ED665B" w:rsidP="00DC2656">
            <w:pPr>
              <w:rPr>
                <w:rFonts w:ascii="Calibri" w:hAnsi="Calibri" w:cs="Calibri"/>
                <w:b/>
              </w:rPr>
            </w:pPr>
          </w:p>
        </w:tc>
        <w:tc>
          <w:tcPr>
            <w:tcW w:w="1526" w:type="dxa"/>
            <w:vMerge/>
            <w:tcBorders>
              <w:top w:val="single" w:sz="8" w:space="0" w:color="009649"/>
              <w:left w:val="single" w:sz="8" w:space="0" w:color="009649"/>
              <w:bottom w:val="single" w:sz="8" w:space="0" w:color="009649"/>
              <w:right w:val="single" w:sz="8" w:space="0" w:color="009649"/>
            </w:tcBorders>
            <w:shd w:val="clear" w:color="auto" w:fill="FFFFFF"/>
          </w:tcPr>
          <w:p w:rsidR="00ED665B" w:rsidRPr="008E12CA" w:rsidRDefault="00ED665B" w:rsidP="00DC2656">
            <w:pPr>
              <w:rPr>
                <w:rFonts w:ascii="Calibri" w:hAnsi="Calibri" w:cs="Calibri"/>
                <w:b/>
              </w:rPr>
            </w:pPr>
          </w:p>
          <w:p w:rsidR="00ED665B" w:rsidRPr="008E12CA" w:rsidRDefault="00ED665B" w:rsidP="00DC2656">
            <w:pPr>
              <w:rPr>
                <w:rFonts w:ascii="Calibri" w:hAnsi="Calibri" w:cs="Calibri"/>
                <w:b/>
              </w:rPr>
            </w:pPr>
          </w:p>
        </w:tc>
        <w:tc>
          <w:tcPr>
            <w:tcW w:w="1522" w:type="dxa"/>
            <w:vMerge/>
            <w:tcBorders>
              <w:top w:val="single" w:sz="8" w:space="0" w:color="009649"/>
              <w:left w:val="single" w:sz="8" w:space="0" w:color="009649"/>
              <w:bottom w:val="single" w:sz="8" w:space="0" w:color="009649"/>
              <w:right w:val="single" w:sz="8" w:space="0" w:color="009649"/>
            </w:tcBorders>
            <w:shd w:val="clear" w:color="auto" w:fill="FFFFFF"/>
          </w:tcPr>
          <w:p w:rsidR="00ED665B" w:rsidRPr="008E12CA" w:rsidRDefault="00ED665B" w:rsidP="00DC2656">
            <w:pPr>
              <w:rPr>
                <w:rFonts w:ascii="Calibri" w:hAnsi="Calibri" w:cs="Calibri"/>
                <w:b/>
              </w:rPr>
            </w:pPr>
          </w:p>
          <w:p w:rsidR="00ED665B" w:rsidRPr="008E12CA" w:rsidRDefault="00ED665B" w:rsidP="00DC2656">
            <w:pPr>
              <w:rPr>
                <w:rFonts w:ascii="Calibri" w:hAnsi="Calibri" w:cs="Calibri"/>
                <w:b/>
              </w:rPr>
            </w:pPr>
          </w:p>
        </w:tc>
        <w:tc>
          <w:tcPr>
            <w:tcW w:w="1526" w:type="dxa"/>
            <w:vMerge/>
            <w:tcBorders>
              <w:top w:val="single" w:sz="8" w:space="0" w:color="009649"/>
              <w:left w:val="single" w:sz="8" w:space="0" w:color="009649"/>
              <w:bottom w:val="single" w:sz="8" w:space="0" w:color="009649"/>
              <w:right w:val="single" w:sz="8" w:space="0" w:color="009649"/>
            </w:tcBorders>
            <w:shd w:val="clear" w:color="auto" w:fill="FFFFFF"/>
          </w:tcPr>
          <w:p w:rsidR="00ED665B" w:rsidRPr="008E12CA" w:rsidRDefault="00ED665B" w:rsidP="00DC2656">
            <w:pPr>
              <w:rPr>
                <w:rFonts w:ascii="Calibri" w:hAnsi="Calibri" w:cs="Calibri"/>
                <w:b/>
              </w:rPr>
            </w:pPr>
          </w:p>
          <w:p w:rsidR="00ED665B" w:rsidRPr="008E12CA" w:rsidRDefault="00ED665B" w:rsidP="00DC2656">
            <w:pPr>
              <w:rPr>
                <w:rFonts w:ascii="Calibri" w:hAnsi="Calibri" w:cs="Calibri"/>
                <w:b/>
              </w:rPr>
            </w:pPr>
          </w:p>
        </w:tc>
        <w:tc>
          <w:tcPr>
            <w:tcW w:w="1522" w:type="dxa"/>
            <w:vMerge/>
            <w:tcBorders>
              <w:top w:val="single" w:sz="8" w:space="0" w:color="009649"/>
              <w:left w:val="single" w:sz="8" w:space="0" w:color="009649"/>
              <w:bottom w:val="single" w:sz="8" w:space="0" w:color="009649"/>
              <w:right w:val="single" w:sz="8" w:space="0" w:color="009649"/>
            </w:tcBorders>
            <w:shd w:val="clear" w:color="auto" w:fill="FFFFFF"/>
          </w:tcPr>
          <w:p w:rsidR="00ED665B" w:rsidRPr="008E12CA" w:rsidRDefault="00ED665B" w:rsidP="00DC2656">
            <w:pPr>
              <w:rPr>
                <w:rFonts w:ascii="Calibri" w:hAnsi="Calibri" w:cs="Calibri"/>
                <w:b/>
              </w:rPr>
            </w:pPr>
          </w:p>
          <w:p w:rsidR="00ED665B" w:rsidRPr="008E12CA" w:rsidRDefault="00ED665B" w:rsidP="00DC2656">
            <w:pPr>
              <w:rPr>
                <w:rFonts w:ascii="Calibri" w:hAnsi="Calibri" w:cs="Calibri"/>
                <w:b/>
              </w:rPr>
            </w:pPr>
          </w:p>
        </w:tc>
        <w:tc>
          <w:tcPr>
            <w:tcW w:w="1027"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406A04" w:rsidRDefault="006C7D2F" w:rsidP="00406A04">
            <w:pPr>
              <w:ind w:firstLine="53"/>
              <w:jc w:val="center"/>
              <w:rPr>
                <w:rFonts w:ascii="Calibri" w:hAnsi="Calibri"/>
                <w:b/>
                <w:color w:val="000000"/>
              </w:rPr>
            </w:pPr>
            <w:r w:rsidRPr="008E12CA">
              <w:rPr>
                <w:rFonts w:ascii="Calibri" w:hAnsi="Calibri"/>
                <w:b/>
                <w:color w:val="000000"/>
              </w:rPr>
              <w:t xml:space="preserve">1 </w:t>
            </w:r>
          </w:p>
          <w:p w:rsidR="00ED665B" w:rsidRPr="008E12CA" w:rsidRDefault="006C7D2F" w:rsidP="00406A04">
            <w:pPr>
              <w:ind w:firstLine="53"/>
              <w:jc w:val="center"/>
              <w:rPr>
                <w:rFonts w:ascii="Calibri" w:hAnsi="Calibri" w:cs="Calibri"/>
                <w:b/>
              </w:rPr>
            </w:pPr>
            <w:r w:rsidRPr="008E12CA">
              <w:rPr>
                <w:rFonts w:ascii="Calibri" w:hAnsi="Calibri"/>
                <w:b/>
                <w:color w:val="000000"/>
              </w:rPr>
              <w:t>Ultra</w:t>
            </w:r>
          </w:p>
        </w:tc>
        <w:tc>
          <w:tcPr>
            <w:tcW w:w="1037"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406A04" w:rsidRDefault="006C7D2F" w:rsidP="00406A04">
            <w:pPr>
              <w:ind w:firstLine="53"/>
              <w:jc w:val="center"/>
              <w:rPr>
                <w:rFonts w:ascii="Calibri" w:hAnsi="Calibri"/>
                <w:b/>
                <w:color w:val="000000"/>
              </w:rPr>
            </w:pPr>
            <w:r w:rsidRPr="008E12CA">
              <w:rPr>
                <w:rFonts w:ascii="Calibri" w:hAnsi="Calibri"/>
                <w:b/>
                <w:color w:val="000000"/>
              </w:rPr>
              <w:t xml:space="preserve">&gt;1 </w:t>
            </w:r>
          </w:p>
          <w:p w:rsidR="00ED665B" w:rsidRPr="008E12CA" w:rsidRDefault="006C7D2F" w:rsidP="00406A04">
            <w:pPr>
              <w:ind w:firstLine="53"/>
              <w:jc w:val="center"/>
              <w:rPr>
                <w:rFonts w:ascii="Calibri" w:hAnsi="Calibri" w:cs="Calibri"/>
                <w:b/>
              </w:rPr>
            </w:pPr>
            <w:r w:rsidRPr="008E12CA">
              <w:rPr>
                <w:rFonts w:ascii="Calibri" w:hAnsi="Calibri"/>
                <w:b/>
                <w:color w:val="000000"/>
              </w:rPr>
              <w:t>Ultra</w:t>
            </w:r>
          </w:p>
        </w:tc>
        <w:tc>
          <w:tcPr>
            <w:tcW w:w="1109"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406A04" w:rsidRDefault="006C7D2F" w:rsidP="00406A04">
            <w:pPr>
              <w:ind w:firstLine="53"/>
              <w:jc w:val="center"/>
              <w:rPr>
                <w:rFonts w:ascii="Calibri" w:hAnsi="Calibri"/>
                <w:b/>
                <w:color w:val="000000"/>
              </w:rPr>
            </w:pPr>
            <w:r w:rsidRPr="008E12CA">
              <w:rPr>
                <w:rFonts w:ascii="Calibri" w:hAnsi="Calibri"/>
                <w:b/>
                <w:color w:val="000000"/>
              </w:rPr>
              <w:t xml:space="preserve">1 </w:t>
            </w:r>
          </w:p>
          <w:p w:rsidR="00ED665B" w:rsidRPr="008E12CA" w:rsidRDefault="006C7D2F" w:rsidP="00406A04">
            <w:pPr>
              <w:ind w:firstLine="53"/>
              <w:jc w:val="center"/>
              <w:rPr>
                <w:rFonts w:ascii="Calibri" w:hAnsi="Calibri" w:cs="Calibri"/>
                <w:b/>
              </w:rPr>
            </w:pPr>
            <w:r w:rsidRPr="008E12CA">
              <w:rPr>
                <w:rFonts w:ascii="Calibri" w:hAnsi="Calibri"/>
                <w:b/>
                <w:color w:val="000000"/>
              </w:rPr>
              <w:t>Ultra</w:t>
            </w:r>
          </w:p>
        </w:tc>
        <w:tc>
          <w:tcPr>
            <w:tcW w:w="960"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406A04" w:rsidRDefault="006C7D2F" w:rsidP="00406A04">
            <w:pPr>
              <w:ind w:firstLine="53"/>
              <w:jc w:val="center"/>
              <w:rPr>
                <w:rFonts w:ascii="Calibri" w:hAnsi="Calibri"/>
                <w:b/>
                <w:color w:val="000000"/>
              </w:rPr>
            </w:pPr>
            <w:r w:rsidRPr="008E12CA">
              <w:rPr>
                <w:rFonts w:ascii="Calibri" w:hAnsi="Calibri"/>
                <w:b/>
                <w:color w:val="000000"/>
              </w:rPr>
              <w:t xml:space="preserve">&gt;1 </w:t>
            </w:r>
          </w:p>
          <w:p w:rsidR="00ED665B" w:rsidRPr="008E12CA" w:rsidRDefault="006C7D2F" w:rsidP="00406A04">
            <w:pPr>
              <w:ind w:firstLine="53"/>
              <w:jc w:val="center"/>
              <w:rPr>
                <w:rFonts w:ascii="Calibri" w:hAnsi="Calibri" w:cs="Calibri"/>
                <w:b/>
              </w:rPr>
            </w:pPr>
            <w:r w:rsidRPr="008E12CA">
              <w:rPr>
                <w:rFonts w:ascii="Calibri" w:hAnsi="Calibri"/>
                <w:b/>
                <w:color w:val="000000"/>
              </w:rPr>
              <w:t>Ultra</w:t>
            </w:r>
          </w:p>
        </w:tc>
        <w:tc>
          <w:tcPr>
            <w:tcW w:w="1046"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406A04" w:rsidRDefault="006C7D2F" w:rsidP="00406A04">
            <w:pPr>
              <w:ind w:firstLine="53"/>
              <w:jc w:val="center"/>
              <w:rPr>
                <w:rFonts w:ascii="Calibri" w:hAnsi="Calibri"/>
                <w:b/>
                <w:color w:val="000000"/>
              </w:rPr>
            </w:pPr>
            <w:r w:rsidRPr="008E12CA">
              <w:rPr>
                <w:rFonts w:ascii="Calibri" w:hAnsi="Calibri"/>
                <w:b/>
                <w:color w:val="000000"/>
              </w:rPr>
              <w:t xml:space="preserve">1 </w:t>
            </w:r>
          </w:p>
          <w:p w:rsidR="00ED665B" w:rsidRPr="008E12CA" w:rsidRDefault="006C7D2F" w:rsidP="00406A04">
            <w:pPr>
              <w:ind w:firstLine="53"/>
              <w:jc w:val="center"/>
              <w:rPr>
                <w:rFonts w:ascii="Calibri" w:hAnsi="Calibri" w:cs="Calibri"/>
                <w:b/>
              </w:rPr>
            </w:pPr>
            <w:r w:rsidRPr="008E12CA">
              <w:rPr>
                <w:rFonts w:ascii="Calibri" w:hAnsi="Calibri"/>
                <w:b/>
                <w:color w:val="000000"/>
              </w:rPr>
              <w:t>Ultra</w:t>
            </w:r>
          </w:p>
        </w:tc>
        <w:tc>
          <w:tcPr>
            <w:tcW w:w="1075"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406A04" w:rsidRDefault="006C7D2F" w:rsidP="00406A04">
            <w:pPr>
              <w:ind w:firstLine="53"/>
              <w:jc w:val="center"/>
              <w:rPr>
                <w:rFonts w:ascii="Calibri" w:hAnsi="Calibri"/>
                <w:b/>
                <w:color w:val="000000"/>
              </w:rPr>
            </w:pPr>
            <w:r w:rsidRPr="008E12CA">
              <w:rPr>
                <w:rFonts w:ascii="Calibri" w:hAnsi="Calibri"/>
                <w:b/>
                <w:color w:val="000000"/>
              </w:rPr>
              <w:t xml:space="preserve">&gt;1 </w:t>
            </w:r>
          </w:p>
          <w:p w:rsidR="00ED665B" w:rsidRPr="008E12CA" w:rsidRDefault="006C7D2F" w:rsidP="00406A04">
            <w:pPr>
              <w:ind w:firstLine="53"/>
              <w:jc w:val="center"/>
              <w:rPr>
                <w:rFonts w:ascii="Calibri" w:hAnsi="Calibri" w:cs="Calibri"/>
                <w:b/>
              </w:rPr>
            </w:pPr>
            <w:r w:rsidRPr="008E12CA">
              <w:rPr>
                <w:rFonts w:ascii="Calibri" w:hAnsi="Calibri"/>
                <w:b/>
                <w:color w:val="000000"/>
              </w:rPr>
              <w:t>Ultra</w:t>
            </w:r>
          </w:p>
        </w:tc>
      </w:tr>
      <w:tr w:rsidR="00ED665B" w:rsidRPr="00907702" w:rsidTr="00860142">
        <w:trPr>
          <w:trHeight w:hRule="exact" w:val="749"/>
        </w:trPr>
        <w:tc>
          <w:tcPr>
            <w:tcW w:w="1714" w:type="dxa"/>
            <w:vMerge w:val="restart"/>
            <w:tcBorders>
              <w:top w:val="single" w:sz="8" w:space="0" w:color="009649"/>
              <w:bottom w:val="single" w:sz="8" w:space="0" w:color="009649"/>
            </w:tcBorders>
            <w:shd w:val="clear" w:color="auto" w:fill="FFFFFF"/>
            <w:vAlign w:val="center"/>
          </w:tcPr>
          <w:p w:rsidR="00ED665B" w:rsidRPr="00907702" w:rsidRDefault="006C7D2F" w:rsidP="00860142">
            <w:pPr>
              <w:ind w:left="53" w:right="202"/>
              <w:rPr>
                <w:rFonts w:ascii="Calibri" w:hAnsi="Calibri" w:cs="Calibri"/>
              </w:rPr>
            </w:pPr>
            <w:r>
              <w:rPr>
                <w:rFonts w:ascii="Calibri" w:hAnsi="Calibri"/>
                <w:color w:val="000000"/>
              </w:rPr>
              <w:t>1 порівняно з 1+ Ultra для виявлення ЛТБ у дітей, МРС</w:t>
            </w:r>
          </w:p>
        </w:tc>
        <w:tc>
          <w:tcPr>
            <w:tcW w:w="1526"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1 (28)</w:t>
            </w:r>
          </w:p>
        </w:tc>
        <w:tc>
          <w:tcPr>
            <w:tcW w:w="1522"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Se: 0,64</w:t>
            </w:r>
          </w:p>
        </w:tc>
        <w:tc>
          <w:tcPr>
            <w:tcW w:w="1526"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Se: 0,75</w:t>
            </w:r>
          </w:p>
        </w:tc>
        <w:tc>
          <w:tcPr>
            <w:tcW w:w="1522"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Дуже низька</w:t>
            </w:r>
          </w:p>
        </w:tc>
        <w:tc>
          <w:tcPr>
            <w:tcW w:w="1027" w:type="dxa"/>
            <w:tcBorders>
              <w:top w:val="single" w:sz="8" w:space="0" w:color="009649"/>
              <w:bottom w:val="single" w:sz="8" w:space="0" w:color="009649"/>
            </w:tcBorders>
            <w:shd w:val="clear" w:color="auto" w:fill="FFFFFF"/>
            <w:vAlign w:val="center"/>
          </w:tcPr>
          <w:p w:rsidR="00ED665B" w:rsidRPr="00907702" w:rsidRDefault="006C7D2F" w:rsidP="00860142">
            <w:pPr>
              <w:ind w:left="187" w:right="168" w:firstLine="5"/>
              <w:jc w:val="center"/>
              <w:rPr>
                <w:rFonts w:ascii="Calibri" w:hAnsi="Calibri" w:cs="Calibri"/>
              </w:rPr>
            </w:pPr>
            <w:r>
              <w:rPr>
                <w:rFonts w:ascii="Calibri" w:hAnsi="Calibri"/>
                <w:color w:val="000000"/>
              </w:rPr>
              <w:t>ІП: 6 ХН: 4</w:t>
            </w:r>
          </w:p>
        </w:tc>
        <w:tc>
          <w:tcPr>
            <w:tcW w:w="1037"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197" w:right="178" w:firstLine="19"/>
              <w:jc w:val="center"/>
              <w:rPr>
                <w:rFonts w:ascii="Calibri" w:hAnsi="Calibri" w:cs="Calibri"/>
              </w:rPr>
            </w:pPr>
            <w:r>
              <w:rPr>
                <w:rFonts w:ascii="Calibri" w:hAnsi="Calibri"/>
                <w:color w:val="000000"/>
              </w:rPr>
              <w:t>ІП: 8 ХН: 2</w:t>
            </w:r>
          </w:p>
        </w:tc>
        <w:tc>
          <w:tcPr>
            <w:tcW w:w="1109" w:type="dxa"/>
            <w:tcBorders>
              <w:top w:val="single" w:sz="8" w:space="0" w:color="009649"/>
              <w:bottom w:val="single" w:sz="8" w:space="0" w:color="009649"/>
            </w:tcBorders>
            <w:shd w:val="clear" w:color="auto" w:fill="FFFFFF"/>
            <w:vAlign w:val="center"/>
          </w:tcPr>
          <w:p w:rsidR="00ED665B" w:rsidRPr="00907702" w:rsidRDefault="006C7D2F" w:rsidP="00860142">
            <w:pPr>
              <w:ind w:left="168" w:right="187" w:hanging="29"/>
              <w:jc w:val="center"/>
              <w:rPr>
                <w:rFonts w:ascii="Calibri" w:hAnsi="Calibri" w:cs="Calibri"/>
              </w:rPr>
            </w:pPr>
            <w:r>
              <w:rPr>
                <w:rFonts w:ascii="Calibri" w:hAnsi="Calibri"/>
                <w:color w:val="000000"/>
              </w:rPr>
              <w:t>ІП: 64 ХН: 36</w:t>
            </w:r>
          </w:p>
        </w:tc>
        <w:tc>
          <w:tcPr>
            <w:tcW w:w="960"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82" w:right="115" w:hanging="19"/>
              <w:jc w:val="center"/>
              <w:rPr>
                <w:rFonts w:ascii="Calibri" w:hAnsi="Calibri" w:cs="Calibri"/>
              </w:rPr>
            </w:pPr>
            <w:r>
              <w:rPr>
                <w:rFonts w:ascii="Calibri" w:hAnsi="Calibri"/>
                <w:color w:val="000000"/>
              </w:rPr>
              <w:t>ІП: 75 ХН: 25</w:t>
            </w:r>
          </w:p>
        </w:tc>
        <w:tc>
          <w:tcPr>
            <w:tcW w:w="1046" w:type="dxa"/>
            <w:tcBorders>
              <w:top w:val="single" w:sz="8" w:space="0" w:color="009649"/>
              <w:bottom w:val="single" w:sz="8" w:space="0" w:color="009649"/>
            </w:tcBorders>
            <w:shd w:val="clear" w:color="auto" w:fill="FFFFFF"/>
            <w:vAlign w:val="center"/>
          </w:tcPr>
          <w:p w:rsidR="00ED665B" w:rsidRPr="00907702" w:rsidRDefault="006C7D2F" w:rsidP="00860142">
            <w:pPr>
              <w:ind w:left="82" w:right="77"/>
              <w:jc w:val="center"/>
              <w:rPr>
                <w:rFonts w:ascii="Calibri" w:hAnsi="Calibri" w:cs="Calibri"/>
              </w:rPr>
            </w:pPr>
            <w:r>
              <w:rPr>
                <w:rFonts w:ascii="Calibri" w:hAnsi="Calibri"/>
                <w:color w:val="000000"/>
              </w:rPr>
              <w:t>ІП: 128 ХН: 72</w:t>
            </w:r>
          </w:p>
        </w:tc>
        <w:tc>
          <w:tcPr>
            <w:tcW w:w="1075" w:type="dxa"/>
            <w:tcBorders>
              <w:top w:val="single" w:sz="8" w:space="0" w:color="009649"/>
              <w:bottom w:val="single" w:sz="8" w:space="0" w:color="009649"/>
              <w:right w:val="single" w:sz="8" w:space="0" w:color="009649"/>
            </w:tcBorders>
            <w:shd w:val="clear" w:color="auto" w:fill="FFFFFF"/>
            <w:vAlign w:val="center"/>
          </w:tcPr>
          <w:p w:rsidR="00ED665B" w:rsidRPr="00907702" w:rsidRDefault="006C7D2F" w:rsidP="00860142">
            <w:pPr>
              <w:ind w:left="72" w:right="115"/>
              <w:jc w:val="center"/>
              <w:rPr>
                <w:rFonts w:ascii="Calibri" w:hAnsi="Calibri" w:cs="Calibri"/>
              </w:rPr>
            </w:pPr>
            <w:r>
              <w:rPr>
                <w:rFonts w:ascii="Calibri" w:hAnsi="Calibri"/>
                <w:color w:val="000000"/>
              </w:rPr>
              <w:t>ІП: 150 ХН: 50</w:t>
            </w:r>
          </w:p>
        </w:tc>
      </w:tr>
      <w:tr w:rsidR="00ED665B" w:rsidRPr="00907702" w:rsidTr="00860142">
        <w:trPr>
          <w:trHeight w:hRule="exact" w:val="749"/>
        </w:trPr>
        <w:tc>
          <w:tcPr>
            <w:tcW w:w="1714" w:type="dxa"/>
            <w:vMerge/>
            <w:tcBorders>
              <w:top w:val="single" w:sz="8" w:space="0" w:color="009649"/>
              <w:bottom w:val="single" w:sz="8" w:space="0" w:color="009649"/>
            </w:tcBorders>
            <w:shd w:val="clear" w:color="auto" w:fill="FFFFFF"/>
            <w:vAlign w:val="center"/>
          </w:tcPr>
          <w:p w:rsidR="00ED665B" w:rsidRPr="00907702" w:rsidRDefault="00ED665B" w:rsidP="00860142">
            <w:pPr>
              <w:rPr>
                <w:rFonts w:ascii="Calibri" w:hAnsi="Calibri" w:cs="Calibri"/>
              </w:rPr>
            </w:pPr>
          </w:p>
          <w:p w:rsidR="00ED665B" w:rsidRPr="00907702" w:rsidRDefault="00ED665B" w:rsidP="00860142">
            <w:pPr>
              <w:rPr>
                <w:rFonts w:ascii="Calibri" w:hAnsi="Calibri" w:cs="Calibri"/>
              </w:rPr>
            </w:pPr>
          </w:p>
        </w:tc>
        <w:tc>
          <w:tcPr>
            <w:tcW w:w="1526"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1 (135)</w:t>
            </w:r>
          </w:p>
        </w:tc>
        <w:tc>
          <w:tcPr>
            <w:tcW w:w="1522"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Sp: 1,0</w:t>
            </w:r>
          </w:p>
        </w:tc>
        <w:tc>
          <w:tcPr>
            <w:tcW w:w="1526"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Sp: 0,98</w:t>
            </w:r>
          </w:p>
        </w:tc>
        <w:tc>
          <w:tcPr>
            <w:tcW w:w="1522"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Дуже низька</w:t>
            </w:r>
          </w:p>
        </w:tc>
        <w:tc>
          <w:tcPr>
            <w:tcW w:w="1027" w:type="dxa"/>
            <w:tcBorders>
              <w:top w:val="single" w:sz="8" w:space="0" w:color="009649"/>
              <w:bottom w:val="single" w:sz="8" w:space="0" w:color="009649"/>
            </w:tcBorders>
            <w:shd w:val="clear" w:color="auto" w:fill="FFFFFF"/>
            <w:vAlign w:val="center"/>
          </w:tcPr>
          <w:p w:rsidR="00ED665B" w:rsidRPr="00907702" w:rsidRDefault="006C7D2F" w:rsidP="00860142">
            <w:pPr>
              <w:ind w:left="182" w:right="53" w:hanging="130"/>
              <w:jc w:val="center"/>
              <w:rPr>
                <w:rFonts w:ascii="Calibri" w:hAnsi="Calibri" w:cs="Calibri"/>
              </w:rPr>
            </w:pPr>
            <w:r>
              <w:rPr>
                <w:rFonts w:ascii="Calibri" w:hAnsi="Calibri"/>
                <w:color w:val="000000"/>
              </w:rPr>
              <w:t>ІН: 990 ХП: 0</w:t>
            </w:r>
          </w:p>
        </w:tc>
        <w:tc>
          <w:tcPr>
            <w:tcW w:w="1037"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178" w:right="53" w:hanging="115"/>
              <w:jc w:val="center"/>
              <w:rPr>
                <w:rFonts w:ascii="Calibri" w:hAnsi="Calibri" w:cs="Calibri"/>
              </w:rPr>
            </w:pPr>
            <w:r>
              <w:rPr>
                <w:rFonts w:ascii="Calibri" w:hAnsi="Calibri"/>
                <w:color w:val="000000"/>
              </w:rPr>
              <w:t>ІН: 970 ХП: 20</w:t>
            </w:r>
          </w:p>
        </w:tc>
        <w:tc>
          <w:tcPr>
            <w:tcW w:w="1109" w:type="dxa"/>
            <w:tcBorders>
              <w:top w:val="single" w:sz="8" w:space="0" w:color="009649"/>
              <w:bottom w:val="single" w:sz="8" w:space="0" w:color="009649"/>
            </w:tcBorders>
            <w:shd w:val="clear" w:color="auto" w:fill="FFFFFF"/>
            <w:vAlign w:val="center"/>
          </w:tcPr>
          <w:p w:rsidR="00ED665B" w:rsidRPr="00907702" w:rsidRDefault="006C7D2F" w:rsidP="00860142">
            <w:pPr>
              <w:ind w:left="168" w:right="125" w:hanging="106"/>
              <w:jc w:val="center"/>
              <w:rPr>
                <w:rFonts w:ascii="Calibri" w:hAnsi="Calibri" w:cs="Calibri"/>
              </w:rPr>
            </w:pPr>
            <w:r>
              <w:rPr>
                <w:rFonts w:ascii="Calibri" w:hAnsi="Calibri"/>
                <w:color w:val="000000"/>
              </w:rPr>
              <w:t>ІН: 900 ХП: 0</w:t>
            </w:r>
          </w:p>
        </w:tc>
        <w:tc>
          <w:tcPr>
            <w:tcW w:w="960"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82" w:right="53" w:hanging="96"/>
              <w:jc w:val="center"/>
              <w:rPr>
                <w:rFonts w:ascii="Calibri" w:hAnsi="Calibri" w:cs="Calibri"/>
              </w:rPr>
            </w:pPr>
            <w:r>
              <w:rPr>
                <w:rFonts w:ascii="Calibri" w:hAnsi="Calibri"/>
                <w:color w:val="000000"/>
              </w:rPr>
              <w:t>ІН: 882 ХП: 18</w:t>
            </w:r>
          </w:p>
        </w:tc>
        <w:tc>
          <w:tcPr>
            <w:tcW w:w="1046" w:type="dxa"/>
            <w:tcBorders>
              <w:top w:val="single" w:sz="8" w:space="0" w:color="009649"/>
              <w:bottom w:val="single" w:sz="8" w:space="0" w:color="009649"/>
            </w:tcBorders>
            <w:shd w:val="clear" w:color="auto" w:fill="FFFFFF"/>
            <w:vAlign w:val="center"/>
          </w:tcPr>
          <w:p w:rsidR="00ED665B" w:rsidRPr="00907702" w:rsidRDefault="006C7D2F" w:rsidP="00860142">
            <w:pPr>
              <w:ind w:left="62" w:right="58"/>
              <w:jc w:val="center"/>
              <w:rPr>
                <w:rFonts w:ascii="Calibri" w:hAnsi="Calibri" w:cs="Calibri"/>
              </w:rPr>
            </w:pPr>
            <w:r>
              <w:rPr>
                <w:rFonts w:ascii="Calibri" w:hAnsi="Calibri"/>
                <w:color w:val="000000"/>
              </w:rPr>
              <w:t>ІН: 800 ХП: 0</w:t>
            </w:r>
          </w:p>
        </w:tc>
        <w:tc>
          <w:tcPr>
            <w:tcW w:w="1075" w:type="dxa"/>
            <w:tcBorders>
              <w:top w:val="single" w:sz="8" w:space="0" w:color="009649"/>
              <w:bottom w:val="single" w:sz="8" w:space="0" w:color="009649"/>
              <w:right w:val="single" w:sz="8" w:space="0" w:color="009649"/>
            </w:tcBorders>
            <w:shd w:val="clear" w:color="auto" w:fill="FFFFFF"/>
            <w:vAlign w:val="center"/>
          </w:tcPr>
          <w:p w:rsidR="00ED665B" w:rsidRPr="00907702" w:rsidRDefault="006C7D2F" w:rsidP="00860142">
            <w:pPr>
              <w:ind w:left="53" w:right="91"/>
              <w:jc w:val="center"/>
              <w:rPr>
                <w:rFonts w:ascii="Calibri" w:hAnsi="Calibri" w:cs="Calibri"/>
              </w:rPr>
            </w:pPr>
            <w:r>
              <w:rPr>
                <w:rFonts w:ascii="Calibri" w:hAnsi="Calibri"/>
                <w:color w:val="000000"/>
              </w:rPr>
              <w:t>ІН: 784 ХП: 16</w:t>
            </w:r>
          </w:p>
        </w:tc>
      </w:tr>
      <w:tr w:rsidR="00ED665B" w:rsidRPr="00907702" w:rsidTr="00860142">
        <w:trPr>
          <w:trHeight w:hRule="exact" w:val="749"/>
        </w:trPr>
        <w:tc>
          <w:tcPr>
            <w:tcW w:w="1714" w:type="dxa"/>
            <w:vMerge w:val="restart"/>
            <w:tcBorders>
              <w:top w:val="single" w:sz="8" w:space="0" w:color="009649"/>
              <w:bottom w:val="single" w:sz="8" w:space="0" w:color="009649"/>
            </w:tcBorders>
            <w:shd w:val="clear" w:color="auto" w:fill="FFFFFF"/>
            <w:vAlign w:val="center"/>
          </w:tcPr>
          <w:p w:rsidR="00ED665B" w:rsidRPr="00907702" w:rsidRDefault="006C7D2F" w:rsidP="00860142">
            <w:pPr>
              <w:ind w:left="53" w:right="106"/>
              <w:rPr>
                <w:rFonts w:ascii="Calibri" w:hAnsi="Calibri" w:cs="Calibri"/>
              </w:rPr>
            </w:pPr>
            <w:r>
              <w:rPr>
                <w:rFonts w:ascii="Calibri" w:hAnsi="Calibri"/>
                <w:color w:val="000000"/>
              </w:rPr>
              <w:t>1 порівняно з 1+ Ultra для виявлення ЛТБ у НФА дітей, МРС</w:t>
            </w:r>
          </w:p>
        </w:tc>
        <w:tc>
          <w:tcPr>
            <w:tcW w:w="1526"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1 (24)</w:t>
            </w:r>
          </w:p>
        </w:tc>
        <w:tc>
          <w:tcPr>
            <w:tcW w:w="1522"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Se: 0,38</w:t>
            </w:r>
          </w:p>
        </w:tc>
        <w:tc>
          <w:tcPr>
            <w:tcW w:w="1526"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Se: 0,54</w:t>
            </w:r>
          </w:p>
        </w:tc>
        <w:tc>
          <w:tcPr>
            <w:tcW w:w="1522"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Дуже низька</w:t>
            </w:r>
          </w:p>
        </w:tc>
        <w:tc>
          <w:tcPr>
            <w:tcW w:w="1027" w:type="dxa"/>
            <w:tcBorders>
              <w:top w:val="single" w:sz="8" w:space="0" w:color="009649"/>
              <w:bottom w:val="single" w:sz="8" w:space="0" w:color="009649"/>
            </w:tcBorders>
            <w:shd w:val="clear" w:color="auto" w:fill="FFFFFF"/>
            <w:vAlign w:val="center"/>
          </w:tcPr>
          <w:p w:rsidR="00ED665B" w:rsidRPr="00907702" w:rsidRDefault="006C7D2F" w:rsidP="00860142">
            <w:pPr>
              <w:ind w:left="187" w:right="173" w:firstLine="5"/>
              <w:jc w:val="center"/>
              <w:rPr>
                <w:rFonts w:ascii="Calibri" w:hAnsi="Calibri" w:cs="Calibri"/>
              </w:rPr>
            </w:pPr>
            <w:r>
              <w:rPr>
                <w:rFonts w:ascii="Calibri" w:hAnsi="Calibri"/>
                <w:color w:val="000000"/>
              </w:rPr>
              <w:t>ІП: 4 ХН: 6</w:t>
            </w:r>
          </w:p>
        </w:tc>
        <w:tc>
          <w:tcPr>
            <w:tcW w:w="1037"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197" w:right="178" w:firstLine="19"/>
              <w:jc w:val="center"/>
              <w:rPr>
                <w:rFonts w:ascii="Calibri" w:hAnsi="Calibri" w:cs="Calibri"/>
              </w:rPr>
            </w:pPr>
            <w:r>
              <w:rPr>
                <w:rFonts w:ascii="Calibri" w:hAnsi="Calibri"/>
                <w:color w:val="000000"/>
              </w:rPr>
              <w:t>ІП: 5 ХН: 5</w:t>
            </w:r>
          </w:p>
        </w:tc>
        <w:tc>
          <w:tcPr>
            <w:tcW w:w="1109" w:type="dxa"/>
            <w:tcBorders>
              <w:top w:val="single" w:sz="8" w:space="0" w:color="009649"/>
              <w:bottom w:val="single" w:sz="8" w:space="0" w:color="009649"/>
            </w:tcBorders>
            <w:shd w:val="clear" w:color="auto" w:fill="FFFFFF"/>
            <w:vAlign w:val="center"/>
          </w:tcPr>
          <w:p w:rsidR="00ED665B" w:rsidRPr="00907702" w:rsidRDefault="006C7D2F" w:rsidP="00860142">
            <w:pPr>
              <w:ind w:left="168" w:right="192" w:hanging="29"/>
              <w:jc w:val="center"/>
              <w:rPr>
                <w:rFonts w:ascii="Calibri" w:hAnsi="Calibri" w:cs="Calibri"/>
              </w:rPr>
            </w:pPr>
            <w:r>
              <w:rPr>
                <w:rFonts w:ascii="Calibri" w:hAnsi="Calibri"/>
                <w:color w:val="000000"/>
              </w:rPr>
              <w:t>ІП: 38 ХН: 62</w:t>
            </w:r>
          </w:p>
        </w:tc>
        <w:tc>
          <w:tcPr>
            <w:tcW w:w="960"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82" w:right="110" w:hanging="19"/>
              <w:jc w:val="center"/>
              <w:rPr>
                <w:rFonts w:ascii="Calibri" w:hAnsi="Calibri" w:cs="Calibri"/>
              </w:rPr>
            </w:pPr>
            <w:r>
              <w:rPr>
                <w:rFonts w:ascii="Calibri" w:hAnsi="Calibri"/>
                <w:color w:val="000000"/>
              </w:rPr>
              <w:t>ІП: 54 ХН: 46</w:t>
            </w:r>
          </w:p>
        </w:tc>
        <w:tc>
          <w:tcPr>
            <w:tcW w:w="1046" w:type="dxa"/>
            <w:tcBorders>
              <w:top w:val="single" w:sz="8" w:space="0" w:color="009649"/>
              <w:bottom w:val="single" w:sz="8" w:space="0" w:color="009649"/>
            </w:tcBorders>
            <w:shd w:val="clear" w:color="auto" w:fill="FFFFFF"/>
            <w:vAlign w:val="center"/>
          </w:tcPr>
          <w:p w:rsidR="00ED665B" w:rsidRPr="00907702" w:rsidRDefault="006C7D2F" w:rsidP="00860142">
            <w:pPr>
              <w:ind w:left="82" w:right="58"/>
              <w:jc w:val="center"/>
              <w:rPr>
                <w:rFonts w:ascii="Calibri" w:hAnsi="Calibri" w:cs="Calibri"/>
              </w:rPr>
            </w:pPr>
            <w:r>
              <w:rPr>
                <w:rFonts w:ascii="Calibri" w:hAnsi="Calibri"/>
                <w:color w:val="000000"/>
              </w:rPr>
              <w:t>ІП: 76 ХН: 124</w:t>
            </w:r>
          </w:p>
        </w:tc>
        <w:tc>
          <w:tcPr>
            <w:tcW w:w="1075" w:type="dxa"/>
            <w:tcBorders>
              <w:top w:val="single" w:sz="8" w:space="0" w:color="009649"/>
              <w:bottom w:val="single" w:sz="8" w:space="0" w:color="009649"/>
              <w:right w:val="single" w:sz="8" w:space="0" w:color="009649"/>
            </w:tcBorders>
            <w:shd w:val="clear" w:color="auto" w:fill="FFFFFF"/>
            <w:vAlign w:val="center"/>
          </w:tcPr>
          <w:p w:rsidR="00ED665B" w:rsidRPr="00907702" w:rsidRDefault="006C7D2F" w:rsidP="00860142">
            <w:pPr>
              <w:ind w:left="72" w:right="115"/>
              <w:jc w:val="center"/>
              <w:rPr>
                <w:rFonts w:ascii="Calibri" w:hAnsi="Calibri" w:cs="Calibri"/>
              </w:rPr>
            </w:pPr>
            <w:r>
              <w:rPr>
                <w:rFonts w:ascii="Calibri" w:hAnsi="Calibri"/>
                <w:color w:val="000000"/>
              </w:rPr>
              <w:t>ІП: 108 ХН: 92</w:t>
            </w:r>
          </w:p>
        </w:tc>
      </w:tr>
      <w:tr w:rsidR="00ED665B" w:rsidRPr="00907702" w:rsidTr="00860142">
        <w:trPr>
          <w:trHeight w:hRule="exact" w:val="749"/>
        </w:trPr>
        <w:tc>
          <w:tcPr>
            <w:tcW w:w="1714" w:type="dxa"/>
            <w:vMerge/>
            <w:tcBorders>
              <w:top w:val="single" w:sz="8" w:space="0" w:color="009649"/>
              <w:bottom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526"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1 (106)</w:t>
            </w:r>
          </w:p>
        </w:tc>
        <w:tc>
          <w:tcPr>
            <w:tcW w:w="1522"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Sp: 0,98</w:t>
            </w:r>
          </w:p>
        </w:tc>
        <w:tc>
          <w:tcPr>
            <w:tcW w:w="1526" w:type="dxa"/>
            <w:tcBorders>
              <w:top w:val="single" w:sz="8" w:space="0" w:color="009649"/>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Sp: 0,96</w:t>
            </w:r>
          </w:p>
        </w:tc>
        <w:tc>
          <w:tcPr>
            <w:tcW w:w="1522" w:type="dxa"/>
            <w:tcBorders>
              <w:top w:val="single" w:sz="8" w:space="0" w:color="009649"/>
              <w:left w:val="nil"/>
              <w:bottom w:val="single" w:sz="8" w:space="0" w:color="009649"/>
            </w:tcBorders>
            <w:shd w:val="clear" w:color="auto" w:fill="FFFFFF"/>
            <w:vAlign w:val="center"/>
          </w:tcPr>
          <w:p w:rsidR="00ED665B" w:rsidRPr="00907702" w:rsidRDefault="006C7D2F" w:rsidP="00860142">
            <w:pPr>
              <w:jc w:val="center"/>
              <w:rPr>
                <w:rFonts w:ascii="Calibri" w:hAnsi="Calibri" w:cs="Calibri"/>
              </w:rPr>
            </w:pPr>
            <w:r>
              <w:rPr>
                <w:rFonts w:ascii="Calibri" w:hAnsi="Calibri"/>
                <w:color w:val="000000"/>
              </w:rPr>
              <w:t>Низькі</w:t>
            </w:r>
          </w:p>
        </w:tc>
        <w:tc>
          <w:tcPr>
            <w:tcW w:w="1027" w:type="dxa"/>
            <w:tcBorders>
              <w:top w:val="single" w:sz="8" w:space="0" w:color="009649"/>
              <w:bottom w:val="single" w:sz="8" w:space="0" w:color="009649"/>
            </w:tcBorders>
            <w:shd w:val="clear" w:color="auto" w:fill="FFFFFF"/>
            <w:vAlign w:val="center"/>
          </w:tcPr>
          <w:p w:rsidR="00ED665B" w:rsidRPr="00907702" w:rsidRDefault="006C7D2F" w:rsidP="00860142">
            <w:pPr>
              <w:ind w:left="182" w:right="53" w:hanging="130"/>
              <w:jc w:val="center"/>
              <w:rPr>
                <w:rFonts w:ascii="Calibri" w:hAnsi="Calibri" w:cs="Calibri"/>
              </w:rPr>
            </w:pPr>
            <w:r>
              <w:rPr>
                <w:rFonts w:ascii="Calibri" w:hAnsi="Calibri"/>
                <w:color w:val="000000"/>
              </w:rPr>
              <w:t>ІН: 970 ХП: 20</w:t>
            </w:r>
          </w:p>
        </w:tc>
        <w:tc>
          <w:tcPr>
            <w:tcW w:w="1037"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178" w:right="53" w:hanging="115"/>
              <w:jc w:val="center"/>
              <w:rPr>
                <w:rFonts w:ascii="Calibri" w:hAnsi="Calibri" w:cs="Calibri"/>
              </w:rPr>
            </w:pPr>
            <w:r>
              <w:rPr>
                <w:rFonts w:ascii="Calibri" w:hAnsi="Calibri"/>
                <w:color w:val="000000"/>
              </w:rPr>
              <w:t>ІН: 950 ХП: 40</w:t>
            </w:r>
          </w:p>
        </w:tc>
        <w:tc>
          <w:tcPr>
            <w:tcW w:w="1109" w:type="dxa"/>
            <w:tcBorders>
              <w:top w:val="single" w:sz="8" w:space="0" w:color="009649"/>
              <w:bottom w:val="single" w:sz="8" w:space="0" w:color="009649"/>
            </w:tcBorders>
            <w:shd w:val="clear" w:color="auto" w:fill="FFFFFF"/>
            <w:vAlign w:val="center"/>
          </w:tcPr>
          <w:p w:rsidR="00ED665B" w:rsidRPr="00907702" w:rsidRDefault="006C7D2F" w:rsidP="00860142">
            <w:pPr>
              <w:ind w:left="168" w:right="130" w:hanging="106"/>
              <w:jc w:val="center"/>
              <w:rPr>
                <w:rFonts w:ascii="Calibri" w:hAnsi="Calibri" w:cs="Calibri"/>
              </w:rPr>
            </w:pPr>
            <w:r>
              <w:rPr>
                <w:rFonts w:ascii="Calibri" w:hAnsi="Calibri"/>
                <w:color w:val="000000"/>
              </w:rPr>
              <w:t>ІН: 882 ХП: 18</w:t>
            </w:r>
          </w:p>
        </w:tc>
        <w:tc>
          <w:tcPr>
            <w:tcW w:w="960"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82" w:right="43" w:hanging="96"/>
              <w:jc w:val="center"/>
              <w:rPr>
                <w:rFonts w:ascii="Calibri" w:hAnsi="Calibri" w:cs="Calibri"/>
              </w:rPr>
            </w:pPr>
            <w:r>
              <w:rPr>
                <w:rFonts w:ascii="Calibri" w:hAnsi="Calibri"/>
                <w:color w:val="000000"/>
              </w:rPr>
              <w:t>ІН: 864 ХП: 36</w:t>
            </w:r>
          </w:p>
        </w:tc>
        <w:tc>
          <w:tcPr>
            <w:tcW w:w="1046" w:type="dxa"/>
            <w:tcBorders>
              <w:top w:val="single" w:sz="8" w:space="0" w:color="009649"/>
              <w:bottom w:val="single" w:sz="8" w:space="0" w:color="009649"/>
            </w:tcBorders>
            <w:shd w:val="clear" w:color="auto" w:fill="FFFFFF"/>
            <w:vAlign w:val="center"/>
          </w:tcPr>
          <w:p w:rsidR="00ED665B" w:rsidRPr="00907702" w:rsidRDefault="006C7D2F" w:rsidP="00860142">
            <w:pPr>
              <w:ind w:left="62" w:right="53"/>
              <w:jc w:val="center"/>
              <w:rPr>
                <w:rFonts w:ascii="Calibri" w:hAnsi="Calibri" w:cs="Calibri"/>
              </w:rPr>
            </w:pPr>
            <w:r>
              <w:rPr>
                <w:rFonts w:ascii="Calibri" w:hAnsi="Calibri"/>
                <w:color w:val="000000"/>
              </w:rPr>
              <w:t>ІН: 784 ХП: 16</w:t>
            </w:r>
          </w:p>
        </w:tc>
        <w:tc>
          <w:tcPr>
            <w:tcW w:w="1075" w:type="dxa"/>
            <w:tcBorders>
              <w:top w:val="single" w:sz="8" w:space="0" w:color="009649"/>
              <w:bottom w:val="single" w:sz="8" w:space="0" w:color="009649"/>
              <w:right w:val="single" w:sz="8" w:space="0" w:color="009649"/>
            </w:tcBorders>
            <w:shd w:val="clear" w:color="auto" w:fill="FFFFFF"/>
            <w:vAlign w:val="center"/>
          </w:tcPr>
          <w:p w:rsidR="00ED665B" w:rsidRPr="00907702" w:rsidRDefault="006C7D2F" w:rsidP="00860142">
            <w:pPr>
              <w:ind w:left="53" w:right="96"/>
              <w:jc w:val="center"/>
              <w:rPr>
                <w:rFonts w:ascii="Calibri" w:hAnsi="Calibri" w:cs="Calibri"/>
              </w:rPr>
            </w:pPr>
            <w:r>
              <w:rPr>
                <w:rFonts w:ascii="Calibri" w:hAnsi="Calibri"/>
                <w:color w:val="000000"/>
              </w:rPr>
              <w:t>ІН: 768 ХП: 32</w:t>
            </w:r>
          </w:p>
        </w:tc>
      </w:tr>
      <w:tr w:rsidR="00ED665B" w:rsidRPr="00907702" w:rsidTr="00860142">
        <w:trPr>
          <w:trHeight w:hRule="exact" w:val="490"/>
        </w:trPr>
        <w:tc>
          <w:tcPr>
            <w:tcW w:w="14064" w:type="dxa"/>
            <w:gridSpan w:val="11"/>
            <w:tcBorders>
              <w:top w:val="single" w:sz="8" w:space="0" w:color="009649"/>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6"/>
              </w:rPr>
              <w:t>ХН: хибнонегативний; ХП: хибнопозитивний; МРС: мікробіологічний референс стандарт; НФА: аспірат носоглотки; PICO: кількість населення, заходи, порівняння, результат; ЛТБ: легеневий ТБ; Se: чутливість; Sp: специфічність; ТБ: туберкульоз; ІН: істинно негативний; ІП: істинно позитивний.</w:t>
            </w:r>
          </w:p>
        </w:tc>
      </w:tr>
    </w:tbl>
    <w:p w:rsidR="00ED665B" w:rsidRPr="00907702" w:rsidRDefault="00ED665B" w:rsidP="00DC2656">
      <w:pPr>
        <w:rPr>
          <w:rFonts w:ascii="Calibri" w:hAnsi="Calibri" w:cs="Calibri"/>
        </w:rPr>
        <w:sectPr w:rsidR="00ED665B" w:rsidRPr="00907702" w:rsidSect="00860142">
          <w:pgSz w:w="16838" w:h="11904" w:orient="landscape"/>
          <w:pgMar w:top="1397" w:right="1387" w:bottom="3828"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41"/>
        <w:gridCol w:w="1229"/>
        <w:gridCol w:w="1416"/>
        <w:gridCol w:w="1608"/>
        <w:gridCol w:w="2174"/>
        <w:gridCol w:w="2083"/>
        <w:gridCol w:w="2184"/>
      </w:tblGrid>
      <w:tr w:rsidR="00ED665B" w:rsidRPr="00860142" w:rsidTr="00860142">
        <w:trPr>
          <w:trHeight w:hRule="exact" w:val="1056"/>
        </w:trPr>
        <w:tc>
          <w:tcPr>
            <w:tcW w:w="14035" w:type="dxa"/>
            <w:gridSpan w:val="7"/>
            <w:tcBorders>
              <w:top w:val="nil"/>
              <w:left w:val="nil"/>
              <w:bottom w:val="single" w:sz="8" w:space="0" w:color="009649"/>
              <w:right w:val="nil"/>
            </w:tcBorders>
            <w:shd w:val="clear" w:color="auto" w:fill="FFFFFF"/>
          </w:tcPr>
          <w:p w:rsidR="00ED665B" w:rsidRPr="00860142" w:rsidRDefault="006C7D2F" w:rsidP="00DC2656">
            <w:pPr>
              <w:ind w:right="106"/>
              <w:rPr>
                <w:rFonts w:ascii="Calibri" w:hAnsi="Calibri" w:cs="Calibri"/>
                <w:b/>
                <w:bCs/>
              </w:rPr>
            </w:pPr>
            <w:r>
              <w:rPr>
                <w:rFonts w:ascii="Calibri" w:hAnsi="Calibri"/>
                <w:b/>
                <w:color w:val="636466"/>
                <w:sz w:val="24"/>
              </w:rPr>
              <w:lastRenderedPageBreak/>
              <w:t>Таблиця 2.1.17. PICO 6.1–6.2: Чи слід застосовувати лише Xpert MTB/RIF або Xpert Ultra для визначення випадку активної форми туберкульозу порівняно з МРС серед загальної популяції дорослих з ознаками та симптомами легеневого ТБ або рентгенограми грудної клітки з патологіями легенів або обома?</w:t>
            </w:r>
          </w:p>
        </w:tc>
      </w:tr>
      <w:tr w:rsidR="00ED665B" w:rsidRPr="00907702" w:rsidTr="00D4245B">
        <w:trPr>
          <w:trHeight w:hRule="exact" w:val="653"/>
        </w:trPr>
        <w:tc>
          <w:tcPr>
            <w:tcW w:w="3341"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4245B" w:rsidRDefault="006C7D2F" w:rsidP="00DC2656">
            <w:pPr>
              <w:ind w:left="72"/>
              <w:rPr>
                <w:rFonts w:ascii="Calibri" w:hAnsi="Calibri" w:cs="Calibri"/>
                <w:b/>
              </w:rPr>
            </w:pPr>
            <w:r w:rsidRPr="00D4245B">
              <w:rPr>
                <w:rFonts w:ascii="Calibri" w:hAnsi="Calibri"/>
                <w:b/>
                <w:color w:val="000000"/>
              </w:rPr>
              <w:t>Популяція пацієнтів</w:t>
            </w:r>
          </w:p>
        </w:tc>
        <w:tc>
          <w:tcPr>
            <w:tcW w:w="1229"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4245B" w:rsidRDefault="006C7D2F" w:rsidP="00D4245B">
            <w:pPr>
              <w:ind w:left="91" w:right="86"/>
              <w:jc w:val="center"/>
              <w:rPr>
                <w:rFonts w:ascii="Calibri" w:hAnsi="Calibri" w:cs="Calibri"/>
                <w:b/>
              </w:rPr>
            </w:pPr>
            <w:r w:rsidRPr="00D4245B">
              <w:rPr>
                <w:rFonts w:ascii="Calibri" w:hAnsi="Calibri"/>
                <w:b/>
                <w:color w:val="000000"/>
              </w:rPr>
              <w:t>Точність тесту</w:t>
            </w:r>
          </w:p>
        </w:tc>
        <w:tc>
          <w:tcPr>
            <w:tcW w:w="141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4245B" w:rsidRDefault="006C7D2F" w:rsidP="00D4245B">
            <w:pPr>
              <w:ind w:left="154" w:right="154"/>
              <w:jc w:val="center"/>
              <w:rPr>
                <w:rFonts w:ascii="Calibri" w:hAnsi="Calibri" w:cs="Calibri"/>
                <w:b/>
              </w:rPr>
            </w:pPr>
            <w:r w:rsidRPr="00D4245B">
              <w:rPr>
                <w:rFonts w:ascii="Calibri" w:hAnsi="Calibri"/>
                <w:b/>
                <w:color w:val="000000"/>
              </w:rPr>
              <w:t>Дослідження (осіб)</w:t>
            </w:r>
          </w:p>
        </w:tc>
        <w:tc>
          <w:tcPr>
            <w:tcW w:w="160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4245B" w:rsidRDefault="006C7D2F" w:rsidP="00D4245B">
            <w:pPr>
              <w:ind w:left="134" w:right="134"/>
              <w:jc w:val="center"/>
              <w:rPr>
                <w:rFonts w:ascii="Calibri" w:hAnsi="Calibri" w:cs="Calibri"/>
                <w:b/>
              </w:rPr>
            </w:pPr>
            <w:r w:rsidRPr="00D4245B">
              <w:rPr>
                <w:rFonts w:ascii="Calibri" w:hAnsi="Calibri"/>
                <w:b/>
                <w:color w:val="000000"/>
              </w:rPr>
              <w:t>Достовірність даних</w:t>
            </w:r>
          </w:p>
        </w:tc>
        <w:tc>
          <w:tcPr>
            <w:tcW w:w="217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4245B" w:rsidRDefault="006C7D2F" w:rsidP="00D4245B">
            <w:pPr>
              <w:jc w:val="center"/>
              <w:rPr>
                <w:rFonts w:ascii="Calibri" w:hAnsi="Calibri" w:cs="Calibri"/>
                <w:b/>
              </w:rPr>
            </w:pPr>
            <w:r w:rsidRPr="00D4245B">
              <w:rPr>
                <w:rFonts w:ascii="Calibri" w:hAnsi="Calibri"/>
                <w:b/>
                <w:color w:val="000000"/>
              </w:rPr>
              <w:t>Поширеність 1%</w:t>
            </w:r>
          </w:p>
        </w:tc>
        <w:tc>
          <w:tcPr>
            <w:tcW w:w="208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4245B" w:rsidRDefault="006C7D2F" w:rsidP="00D4245B">
            <w:pPr>
              <w:jc w:val="center"/>
              <w:rPr>
                <w:rFonts w:ascii="Calibri" w:hAnsi="Calibri" w:cs="Calibri"/>
                <w:b/>
              </w:rPr>
            </w:pPr>
            <w:r w:rsidRPr="00D4245B">
              <w:rPr>
                <w:rFonts w:ascii="Calibri" w:hAnsi="Calibri"/>
                <w:b/>
                <w:color w:val="000000"/>
              </w:rPr>
              <w:t>Поширеність 3%</w:t>
            </w:r>
          </w:p>
        </w:tc>
        <w:tc>
          <w:tcPr>
            <w:tcW w:w="218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4245B" w:rsidRDefault="006C7D2F" w:rsidP="00D4245B">
            <w:pPr>
              <w:jc w:val="center"/>
              <w:rPr>
                <w:rFonts w:ascii="Calibri" w:hAnsi="Calibri" w:cs="Calibri"/>
                <w:b/>
              </w:rPr>
            </w:pPr>
            <w:r w:rsidRPr="00D4245B">
              <w:rPr>
                <w:rFonts w:ascii="Calibri" w:hAnsi="Calibri"/>
                <w:b/>
                <w:color w:val="000000"/>
              </w:rPr>
              <w:t>Поширеність 7%</w:t>
            </w:r>
          </w:p>
        </w:tc>
      </w:tr>
      <w:tr w:rsidR="00ED665B" w:rsidRPr="00907702" w:rsidTr="00860142">
        <w:trPr>
          <w:trHeight w:hRule="exact" w:val="442"/>
        </w:trPr>
        <w:tc>
          <w:tcPr>
            <w:tcW w:w="3341" w:type="dxa"/>
            <w:vMerge w:val="restart"/>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ind w:left="53" w:right="408"/>
              <w:rPr>
                <w:rFonts w:ascii="Calibri" w:hAnsi="Calibri" w:cs="Calibri"/>
              </w:rPr>
            </w:pPr>
            <w:r>
              <w:rPr>
                <w:rFonts w:ascii="Calibri" w:hAnsi="Calibri"/>
                <w:color w:val="000000"/>
              </w:rPr>
              <w:t>Xpert MTB/RIF у дорослих для виявлення ЛТБ, МРС</w:t>
            </w:r>
          </w:p>
        </w:tc>
        <w:tc>
          <w:tcPr>
            <w:tcW w:w="1229"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Se: 0,73</w:t>
            </w:r>
          </w:p>
        </w:tc>
        <w:tc>
          <w:tcPr>
            <w:tcW w:w="1416"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4 (867)</w:t>
            </w:r>
          </w:p>
        </w:tc>
        <w:tc>
          <w:tcPr>
            <w:tcW w:w="1608"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Низькі</w:t>
            </w:r>
          </w:p>
        </w:tc>
        <w:tc>
          <w:tcPr>
            <w:tcW w:w="2174"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7/ХН: 3</w:t>
            </w:r>
          </w:p>
        </w:tc>
        <w:tc>
          <w:tcPr>
            <w:tcW w:w="2083"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22/ХН: 8</w:t>
            </w:r>
          </w:p>
        </w:tc>
        <w:tc>
          <w:tcPr>
            <w:tcW w:w="2184"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51/ХН: 19</w:t>
            </w:r>
          </w:p>
        </w:tc>
      </w:tr>
      <w:tr w:rsidR="00ED665B" w:rsidRPr="00907702" w:rsidTr="00860142">
        <w:trPr>
          <w:trHeight w:hRule="exact" w:val="437"/>
        </w:trPr>
        <w:tc>
          <w:tcPr>
            <w:tcW w:w="3341" w:type="dxa"/>
            <w:vMerge/>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229"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Sp: 0,99</w:t>
            </w:r>
          </w:p>
        </w:tc>
        <w:tc>
          <w:tcPr>
            <w:tcW w:w="1416"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4 (48 689)</w:t>
            </w:r>
          </w:p>
        </w:tc>
        <w:tc>
          <w:tcPr>
            <w:tcW w:w="1608"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Помірна</w:t>
            </w:r>
          </w:p>
        </w:tc>
        <w:tc>
          <w:tcPr>
            <w:tcW w:w="2174"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980 / ХП: 10</w:t>
            </w:r>
          </w:p>
        </w:tc>
        <w:tc>
          <w:tcPr>
            <w:tcW w:w="2083"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960 / ХП: 10</w:t>
            </w:r>
          </w:p>
        </w:tc>
        <w:tc>
          <w:tcPr>
            <w:tcW w:w="2184"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921 / ХП: 9</w:t>
            </w:r>
          </w:p>
        </w:tc>
      </w:tr>
      <w:tr w:rsidR="00ED665B" w:rsidRPr="00907702" w:rsidTr="00860142">
        <w:trPr>
          <w:trHeight w:hRule="exact" w:val="437"/>
        </w:trPr>
        <w:tc>
          <w:tcPr>
            <w:tcW w:w="3341" w:type="dxa"/>
            <w:vMerge w:val="restart"/>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ind w:left="53" w:right="298"/>
              <w:rPr>
                <w:rFonts w:ascii="Calibri" w:hAnsi="Calibri" w:cs="Calibri"/>
              </w:rPr>
            </w:pPr>
            <w:r>
              <w:rPr>
                <w:rFonts w:ascii="Calibri" w:hAnsi="Calibri"/>
                <w:color w:val="000000"/>
              </w:rPr>
              <w:t>Xpert Ultra у дорослих для виявлення ЛТБ, МРС</w:t>
            </w:r>
          </w:p>
        </w:tc>
        <w:tc>
          <w:tcPr>
            <w:tcW w:w="1229"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Se: 0,68</w:t>
            </w:r>
          </w:p>
        </w:tc>
        <w:tc>
          <w:tcPr>
            <w:tcW w:w="1416"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4 (345)</w:t>
            </w:r>
          </w:p>
        </w:tc>
        <w:tc>
          <w:tcPr>
            <w:tcW w:w="1608"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Низькі</w:t>
            </w:r>
          </w:p>
        </w:tc>
        <w:tc>
          <w:tcPr>
            <w:tcW w:w="2174"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7/ХН: 3</w:t>
            </w:r>
          </w:p>
        </w:tc>
        <w:tc>
          <w:tcPr>
            <w:tcW w:w="2083"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20/ХН: 10</w:t>
            </w:r>
          </w:p>
        </w:tc>
        <w:tc>
          <w:tcPr>
            <w:tcW w:w="2184"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ІП: 48/ХН: 22</w:t>
            </w:r>
          </w:p>
        </w:tc>
      </w:tr>
      <w:tr w:rsidR="00ED665B" w:rsidRPr="00907702" w:rsidTr="00860142">
        <w:trPr>
          <w:trHeight w:hRule="exact" w:val="437"/>
        </w:trPr>
        <w:tc>
          <w:tcPr>
            <w:tcW w:w="3341" w:type="dxa"/>
            <w:vMerge/>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229"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Sp: 0,98</w:t>
            </w:r>
          </w:p>
        </w:tc>
        <w:tc>
          <w:tcPr>
            <w:tcW w:w="1416"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4 (12 025)</w:t>
            </w:r>
          </w:p>
        </w:tc>
        <w:tc>
          <w:tcPr>
            <w:tcW w:w="1608"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Помірна</w:t>
            </w:r>
          </w:p>
        </w:tc>
        <w:tc>
          <w:tcPr>
            <w:tcW w:w="2174"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970 / ХП: 20</w:t>
            </w:r>
          </w:p>
        </w:tc>
        <w:tc>
          <w:tcPr>
            <w:tcW w:w="2083"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951 / ХП: 19</w:t>
            </w:r>
          </w:p>
        </w:tc>
        <w:tc>
          <w:tcPr>
            <w:tcW w:w="2184"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ІН: 911 / ХП: 19</w:t>
            </w:r>
          </w:p>
        </w:tc>
      </w:tr>
      <w:tr w:rsidR="00ED665B" w:rsidRPr="00907702" w:rsidTr="00860142">
        <w:trPr>
          <w:trHeight w:hRule="exact" w:val="490"/>
        </w:trPr>
        <w:tc>
          <w:tcPr>
            <w:tcW w:w="14035" w:type="dxa"/>
            <w:gridSpan w:val="7"/>
            <w:tcBorders>
              <w:top w:val="single" w:sz="8" w:space="0" w:color="009649"/>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ТБ: туберкульоз; ІН: істинно негативний; ІП: істинно позитивний.</w:t>
            </w:r>
          </w:p>
        </w:tc>
      </w:tr>
    </w:tbl>
    <w:p w:rsidR="00ED665B" w:rsidRPr="0090770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22"/>
        <w:gridCol w:w="1214"/>
        <w:gridCol w:w="1310"/>
        <w:gridCol w:w="1402"/>
        <w:gridCol w:w="1310"/>
        <w:gridCol w:w="989"/>
        <w:gridCol w:w="1296"/>
        <w:gridCol w:w="1210"/>
        <w:gridCol w:w="1104"/>
        <w:gridCol w:w="1483"/>
        <w:gridCol w:w="1123"/>
      </w:tblGrid>
      <w:tr w:rsidR="00ED665B" w:rsidRPr="00860142" w:rsidTr="00A37E9E">
        <w:trPr>
          <w:trHeight w:hRule="exact" w:val="999"/>
        </w:trPr>
        <w:tc>
          <w:tcPr>
            <w:tcW w:w="14063" w:type="dxa"/>
            <w:gridSpan w:val="11"/>
            <w:tcBorders>
              <w:top w:val="nil"/>
              <w:left w:val="nil"/>
              <w:bottom w:val="single" w:sz="8" w:space="0" w:color="009649"/>
              <w:right w:val="nil"/>
            </w:tcBorders>
            <w:shd w:val="clear" w:color="auto" w:fill="FFFFFF"/>
          </w:tcPr>
          <w:p w:rsidR="00ED665B" w:rsidRPr="00860142" w:rsidRDefault="006C7D2F" w:rsidP="00DC2656">
            <w:pPr>
              <w:ind w:right="211"/>
              <w:rPr>
                <w:rFonts w:ascii="Calibri" w:hAnsi="Calibri" w:cs="Calibri"/>
                <w:b/>
                <w:bCs/>
              </w:rPr>
            </w:pPr>
            <w:r>
              <w:rPr>
                <w:rFonts w:ascii="Calibri" w:hAnsi="Calibri"/>
                <w:b/>
                <w:color w:val="636466"/>
                <w:sz w:val="24"/>
              </w:rPr>
              <w:t>Таблиця 2.1.18. PICO 6.3: 2 тести Xpert Ultra порівняно з одним для діагностики легеневого ТБ серед загальної популяції дорослих, які мають ознаки або симптоми ТБ, або на рентгенографії органів грудної клітки яких виявлено патологію легень, або обидва варіанти, порівняно з МРС.</w:t>
            </w:r>
          </w:p>
        </w:tc>
      </w:tr>
      <w:tr w:rsidR="00ED665B" w:rsidRPr="008E12CA" w:rsidTr="00F44E6E">
        <w:trPr>
          <w:trHeight w:hRule="exact" w:val="475"/>
        </w:trPr>
        <w:tc>
          <w:tcPr>
            <w:tcW w:w="1622"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53"/>
              <w:rPr>
                <w:rFonts w:ascii="Calibri" w:hAnsi="Calibri" w:cs="Calibri"/>
                <w:b/>
              </w:rPr>
            </w:pPr>
            <w:r w:rsidRPr="008E12CA">
              <w:rPr>
                <w:rFonts w:ascii="Calibri" w:hAnsi="Calibri"/>
                <w:b/>
                <w:color w:val="000000"/>
              </w:rPr>
              <w:t>Пацієнт</w:t>
            </w:r>
          </w:p>
          <w:p w:rsidR="00ED665B" w:rsidRPr="008E12CA" w:rsidRDefault="006C7D2F" w:rsidP="00860142">
            <w:pPr>
              <w:ind w:left="53"/>
              <w:rPr>
                <w:rFonts w:ascii="Calibri" w:hAnsi="Calibri" w:cs="Calibri"/>
                <w:b/>
              </w:rPr>
            </w:pPr>
            <w:r w:rsidRPr="008E12CA">
              <w:rPr>
                <w:rFonts w:ascii="Calibri" w:hAnsi="Calibri"/>
                <w:b/>
                <w:color w:val="000000"/>
              </w:rPr>
              <w:t>популяції</w:t>
            </w:r>
          </w:p>
        </w:tc>
        <w:tc>
          <w:tcPr>
            <w:tcW w:w="1214"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53"/>
              <w:jc w:val="center"/>
              <w:rPr>
                <w:rFonts w:ascii="Calibri" w:hAnsi="Calibri" w:cs="Calibri"/>
                <w:b/>
              </w:rPr>
            </w:pPr>
            <w:r w:rsidRPr="008E12CA">
              <w:rPr>
                <w:rFonts w:ascii="Calibri" w:hAnsi="Calibri"/>
                <w:b/>
                <w:color w:val="000000"/>
              </w:rPr>
              <w:t>Дослідження (осіб)</w:t>
            </w:r>
          </w:p>
        </w:tc>
        <w:tc>
          <w:tcPr>
            <w:tcW w:w="1310"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53"/>
              <w:jc w:val="center"/>
              <w:rPr>
                <w:rFonts w:ascii="Calibri" w:hAnsi="Calibri" w:cs="Calibri"/>
                <w:b/>
              </w:rPr>
            </w:pPr>
            <w:r w:rsidRPr="008E12CA">
              <w:rPr>
                <w:rFonts w:ascii="Calibri" w:hAnsi="Calibri"/>
                <w:b/>
                <w:color w:val="000000"/>
              </w:rPr>
              <w:t>Точність тесту (&gt;1 Ultra)</w:t>
            </w:r>
          </w:p>
        </w:tc>
        <w:tc>
          <w:tcPr>
            <w:tcW w:w="1402"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53"/>
              <w:jc w:val="center"/>
              <w:rPr>
                <w:rFonts w:ascii="Calibri" w:hAnsi="Calibri" w:cs="Calibri"/>
                <w:b/>
              </w:rPr>
            </w:pPr>
            <w:r w:rsidRPr="008E12CA">
              <w:rPr>
                <w:rFonts w:ascii="Calibri" w:hAnsi="Calibri"/>
                <w:b/>
                <w:color w:val="000000"/>
              </w:rPr>
              <w:t>Точність тесту (1 Ultra)</w:t>
            </w:r>
          </w:p>
        </w:tc>
        <w:tc>
          <w:tcPr>
            <w:tcW w:w="1310" w:type="dxa"/>
            <w:vMerge w:val="restart"/>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E12CA">
            <w:pPr>
              <w:jc w:val="center"/>
              <w:rPr>
                <w:rFonts w:ascii="Calibri" w:hAnsi="Calibri" w:cs="Calibri"/>
                <w:b/>
              </w:rPr>
            </w:pPr>
            <w:r w:rsidRPr="008E12CA">
              <w:rPr>
                <w:rFonts w:ascii="Calibri" w:hAnsi="Calibri"/>
                <w:b/>
                <w:color w:val="000000"/>
              </w:rPr>
              <w:t>Достовірність</w:t>
            </w:r>
          </w:p>
          <w:p w:rsidR="00ED665B" w:rsidRPr="008E12CA" w:rsidRDefault="006C7D2F" w:rsidP="008E12CA">
            <w:pPr>
              <w:jc w:val="center"/>
              <w:rPr>
                <w:rFonts w:ascii="Calibri" w:hAnsi="Calibri" w:cs="Calibri"/>
                <w:b/>
              </w:rPr>
            </w:pPr>
            <w:r w:rsidRPr="008E12CA">
              <w:rPr>
                <w:rFonts w:ascii="Calibri" w:hAnsi="Calibri"/>
                <w:b/>
                <w:color w:val="000000"/>
              </w:rPr>
              <w:t>даних</w:t>
            </w:r>
          </w:p>
        </w:tc>
        <w:tc>
          <w:tcPr>
            <w:tcW w:w="2285"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53"/>
              <w:jc w:val="center"/>
              <w:rPr>
                <w:rFonts w:ascii="Calibri" w:hAnsi="Calibri" w:cs="Calibri"/>
                <w:b/>
              </w:rPr>
            </w:pPr>
            <w:r w:rsidRPr="008E12CA">
              <w:rPr>
                <w:rFonts w:ascii="Calibri" w:hAnsi="Calibri"/>
                <w:b/>
                <w:color w:val="000000"/>
              </w:rPr>
              <w:t>Поширеність 1%</w:t>
            </w:r>
          </w:p>
        </w:tc>
        <w:tc>
          <w:tcPr>
            <w:tcW w:w="2314"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53"/>
              <w:jc w:val="center"/>
              <w:rPr>
                <w:rFonts w:ascii="Calibri" w:hAnsi="Calibri" w:cs="Calibri"/>
                <w:b/>
              </w:rPr>
            </w:pPr>
            <w:r w:rsidRPr="008E12CA">
              <w:rPr>
                <w:rFonts w:ascii="Calibri" w:hAnsi="Calibri"/>
                <w:b/>
                <w:color w:val="000000"/>
              </w:rPr>
              <w:t>Поширеність 3%</w:t>
            </w:r>
          </w:p>
        </w:tc>
        <w:tc>
          <w:tcPr>
            <w:tcW w:w="2606"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8E12CA" w:rsidRDefault="006C7D2F" w:rsidP="00860142">
            <w:pPr>
              <w:ind w:left="53"/>
              <w:jc w:val="center"/>
              <w:rPr>
                <w:rFonts w:ascii="Calibri" w:hAnsi="Calibri" w:cs="Calibri"/>
                <w:b/>
              </w:rPr>
            </w:pPr>
            <w:r w:rsidRPr="008E12CA">
              <w:rPr>
                <w:rFonts w:ascii="Calibri" w:hAnsi="Calibri"/>
                <w:b/>
                <w:color w:val="000000"/>
              </w:rPr>
              <w:t>Поширеність 7%</w:t>
            </w:r>
          </w:p>
        </w:tc>
      </w:tr>
      <w:tr w:rsidR="00ED665B" w:rsidRPr="008E12CA" w:rsidTr="00F44E6E">
        <w:trPr>
          <w:trHeight w:hRule="exact" w:val="744"/>
        </w:trPr>
        <w:tc>
          <w:tcPr>
            <w:tcW w:w="1622"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rsidR="00ED665B" w:rsidRPr="008E12CA" w:rsidRDefault="00ED665B" w:rsidP="00860142">
            <w:pPr>
              <w:ind w:left="53"/>
              <w:rPr>
                <w:rFonts w:ascii="Calibri" w:hAnsi="Calibri" w:cs="Calibri"/>
                <w:b/>
              </w:rPr>
            </w:pPr>
          </w:p>
          <w:p w:rsidR="00ED665B" w:rsidRPr="008E12CA" w:rsidRDefault="00ED665B" w:rsidP="00860142">
            <w:pPr>
              <w:ind w:left="53"/>
              <w:rPr>
                <w:rFonts w:ascii="Calibri" w:hAnsi="Calibri" w:cs="Calibri"/>
                <w:b/>
              </w:rPr>
            </w:pPr>
          </w:p>
        </w:tc>
        <w:tc>
          <w:tcPr>
            <w:tcW w:w="1214"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rsidR="00ED665B" w:rsidRPr="008E12CA" w:rsidRDefault="00ED665B" w:rsidP="00860142">
            <w:pPr>
              <w:ind w:left="53"/>
              <w:jc w:val="center"/>
              <w:rPr>
                <w:rFonts w:ascii="Calibri" w:hAnsi="Calibri" w:cs="Calibri"/>
                <w:b/>
              </w:rPr>
            </w:pPr>
          </w:p>
          <w:p w:rsidR="00ED665B" w:rsidRPr="008E12CA" w:rsidRDefault="00ED665B" w:rsidP="00860142">
            <w:pPr>
              <w:ind w:left="53"/>
              <w:jc w:val="center"/>
              <w:rPr>
                <w:rFonts w:ascii="Calibri" w:hAnsi="Calibri" w:cs="Calibri"/>
                <w:b/>
              </w:rPr>
            </w:pPr>
          </w:p>
        </w:tc>
        <w:tc>
          <w:tcPr>
            <w:tcW w:w="1310"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rsidR="00ED665B" w:rsidRPr="008E12CA" w:rsidRDefault="00ED665B" w:rsidP="00860142">
            <w:pPr>
              <w:ind w:left="53"/>
              <w:jc w:val="center"/>
              <w:rPr>
                <w:rFonts w:ascii="Calibri" w:hAnsi="Calibri" w:cs="Calibri"/>
                <w:b/>
              </w:rPr>
            </w:pPr>
          </w:p>
          <w:p w:rsidR="00ED665B" w:rsidRPr="008E12CA" w:rsidRDefault="00ED665B" w:rsidP="00860142">
            <w:pPr>
              <w:ind w:left="53"/>
              <w:jc w:val="center"/>
              <w:rPr>
                <w:rFonts w:ascii="Calibri" w:hAnsi="Calibri" w:cs="Calibri"/>
                <w:b/>
              </w:rPr>
            </w:pPr>
          </w:p>
        </w:tc>
        <w:tc>
          <w:tcPr>
            <w:tcW w:w="1402"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rsidR="00ED665B" w:rsidRPr="008E12CA" w:rsidRDefault="00ED665B" w:rsidP="00860142">
            <w:pPr>
              <w:ind w:left="53"/>
              <w:jc w:val="center"/>
              <w:rPr>
                <w:rFonts w:ascii="Calibri" w:hAnsi="Calibri" w:cs="Calibri"/>
                <w:b/>
              </w:rPr>
            </w:pPr>
          </w:p>
          <w:p w:rsidR="00ED665B" w:rsidRPr="008E12CA" w:rsidRDefault="00ED665B" w:rsidP="00860142">
            <w:pPr>
              <w:ind w:left="53"/>
              <w:jc w:val="center"/>
              <w:rPr>
                <w:rFonts w:ascii="Calibri" w:hAnsi="Calibri" w:cs="Calibri"/>
                <w:b/>
              </w:rPr>
            </w:pPr>
          </w:p>
        </w:tc>
        <w:tc>
          <w:tcPr>
            <w:tcW w:w="1310" w:type="dxa"/>
            <w:vMerge/>
            <w:tcBorders>
              <w:top w:val="single" w:sz="8" w:space="0" w:color="009649"/>
              <w:left w:val="single" w:sz="8" w:space="0" w:color="009649"/>
              <w:bottom w:val="single" w:sz="8" w:space="0" w:color="009649"/>
              <w:right w:val="single" w:sz="8" w:space="0" w:color="009649"/>
            </w:tcBorders>
            <w:shd w:val="clear" w:color="auto" w:fill="FFFFFF"/>
            <w:vAlign w:val="center"/>
          </w:tcPr>
          <w:p w:rsidR="00ED665B" w:rsidRPr="008E12CA" w:rsidRDefault="00ED665B" w:rsidP="00860142">
            <w:pPr>
              <w:ind w:left="53"/>
              <w:jc w:val="center"/>
              <w:rPr>
                <w:rFonts w:ascii="Calibri" w:hAnsi="Calibri" w:cs="Calibri"/>
                <w:b/>
              </w:rPr>
            </w:pPr>
          </w:p>
          <w:p w:rsidR="00ED665B" w:rsidRPr="008E12CA" w:rsidRDefault="00ED665B" w:rsidP="00860142">
            <w:pPr>
              <w:ind w:left="53"/>
              <w:jc w:val="center"/>
              <w:rPr>
                <w:rFonts w:ascii="Calibri" w:hAnsi="Calibri" w:cs="Calibri"/>
                <w:b/>
              </w:rPr>
            </w:pPr>
          </w:p>
        </w:tc>
        <w:tc>
          <w:tcPr>
            <w:tcW w:w="989"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ED665B" w:rsidRPr="008E12CA" w:rsidRDefault="006C7D2F" w:rsidP="00860142">
            <w:pPr>
              <w:ind w:left="53"/>
              <w:jc w:val="center"/>
              <w:rPr>
                <w:rFonts w:ascii="Calibri" w:hAnsi="Calibri" w:cs="Calibri"/>
                <w:b/>
              </w:rPr>
            </w:pPr>
            <w:r w:rsidRPr="008E12CA">
              <w:rPr>
                <w:rFonts w:ascii="Calibri" w:hAnsi="Calibri"/>
                <w:b/>
                <w:color w:val="000000"/>
              </w:rPr>
              <w:t>&gt;1 Ultra</w:t>
            </w:r>
          </w:p>
        </w:tc>
        <w:tc>
          <w:tcPr>
            <w:tcW w:w="1296"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ED665B" w:rsidRPr="008E12CA" w:rsidRDefault="006C7D2F" w:rsidP="00860142">
            <w:pPr>
              <w:ind w:left="53"/>
              <w:jc w:val="center"/>
              <w:rPr>
                <w:rFonts w:ascii="Calibri" w:hAnsi="Calibri" w:cs="Calibri"/>
                <w:b/>
              </w:rPr>
            </w:pPr>
            <w:r w:rsidRPr="008E12CA">
              <w:rPr>
                <w:rFonts w:ascii="Calibri" w:hAnsi="Calibri"/>
                <w:b/>
                <w:color w:val="000000"/>
              </w:rPr>
              <w:t>1 Ultra</w:t>
            </w:r>
          </w:p>
        </w:tc>
        <w:tc>
          <w:tcPr>
            <w:tcW w:w="1210"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ED665B" w:rsidRPr="008E12CA" w:rsidRDefault="006C7D2F" w:rsidP="00860142">
            <w:pPr>
              <w:ind w:left="53"/>
              <w:jc w:val="center"/>
              <w:rPr>
                <w:rFonts w:ascii="Calibri" w:hAnsi="Calibri" w:cs="Calibri"/>
                <w:b/>
              </w:rPr>
            </w:pPr>
            <w:r w:rsidRPr="008E12CA">
              <w:rPr>
                <w:rFonts w:ascii="Calibri" w:hAnsi="Calibri"/>
                <w:b/>
                <w:color w:val="000000"/>
              </w:rPr>
              <w:t>&gt;1 Ultra</w:t>
            </w:r>
          </w:p>
        </w:tc>
        <w:tc>
          <w:tcPr>
            <w:tcW w:w="1104"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ED665B" w:rsidRPr="008E12CA" w:rsidRDefault="006C7D2F" w:rsidP="00860142">
            <w:pPr>
              <w:ind w:left="53"/>
              <w:jc w:val="center"/>
              <w:rPr>
                <w:rFonts w:ascii="Calibri" w:hAnsi="Calibri" w:cs="Calibri"/>
                <w:b/>
              </w:rPr>
            </w:pPr>
            <w:r w:rsidRPr="008E12CA">
              <w:rPr>
                <w:rFonts w:ascii="Calibri" w:hAnsi="Calibri"/>
                <w:b/>
                <w:color w:val="000000"/>
              </w:rPr>
              <w:t>1 Ultra</w:t>
            </w:r>
          </w:p>
        </w:tc>
        <w:tc>
          <w:tcPr>
            <w:tcW w:w="1483"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ED665B" w:rsidRPr="008E12CA" w:rsidRDefault="006C7D2F" w:rsidP="00860142">
            <w:pPr>
              <w:ind w:left="53"/>
              <w:jc w:val="center"/>
              <w:rPr>
                <w:rFonts w:ascii="Calibri" w:hAnsi="Calibri" w:cs="Calibri"/>
                <w:b/>
              </w:rPr>
            </w:pPr>
            <w:r w:rsidRPr="008E12CA">
              <w:rPr>
                <w:rFonts w:ascii="Calibri" w:hAnsi="Calibri"/>
                <w:b/>
                <w:color w:val="000000"/>
              </w:rPr>
              <w:t>&gt;1 Ultra</w:t>
            </w:r>
          </w:p>
        </w:tc>
        <w:tc>
          <w:tcPr>
            <w:tcW w:w="1123"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ED665B" w:rsidRPr="008E12CA" w:rsidRDefault="006C7D2F" w:rsidP="00860142">
            <w:pPr>
              <w:ind w:left="53"/>
              <w:jc w:val="center"/>
              <w:rPr>
                <w:rFonts w:ascii="Calibri" w:hAnsi="Calibri" w:cs="Calibri"/>
                <w:b/>
              </w:rPr>
            </w:pPr>
            <w:r w:rsidRPr="008E12CA">
              <w:rPr>
                <w:rFonts w:ascii="Calibri" w:hAnsi="Calibri"/>
                <w:b/>
                <w:color w:val="000000"/>
              </w:rPr>
              <w:t>1 Ultra</w:t>
            </w:r>
          </w:p>
        </w:tc>
      </w:tr>
      <w:tr w:rsidR="00ED665B" w:rsidRPr="00907702" w:rsidTr="00F44E6E">
        <w:trPr>
          <w:trHeight w:hRule="exact" w:val="749"/>
        </w:trPr>
        <w:tc>
          <w:tcPr>
            <w:tcW w:w="1622" w:type="dxa"/>
            <w:vMerge w:val="restart"/>
            <w:tcBorders>
              <w:top w:val="single" w:sz="8" w:space="0" w:color="009649"/>
              <w:bottom w:val="single" w:sz="8" w:space="0" w:color="009649"/>
            </w:tcBorders>
            <w:shd w:val="clear" w:color="auto" w:fill="FFFFFF"/>
            <w:vAlign w:val="center"/>
          </w:tcPr>
          <w:p w:rsidR="00ED665B" w:rsidRPr="00907702" w:rsidRDefault="006C7D2F" w:rsidP="00860142">
            <w:pPr>
              <w:ind w:left="53"/>
              <w:rPr>
                <w:rFonts w:ascii="Calibri" w:hAnsi="Calibri" w:cs="Calibri"/>
              </w:rPr>
            </w:pPr>
            <w:r>
              <w:rPr>
                <w:rFonts w:ascii="Calibri" w:hAnsi="Calibri"/>
                <w:color w:val="000000"/>
              </w:rPr>
              <w:t>1 порівняно з 1+ Ultra для виявлення ЛТБ у дорослих з ЛТБ, МРС</w:t>
            </w:r>
          </w:p>
        </w:tc>
        <w:tc>
          <w:tcPr>
            <w:tcW w:w="1214" w:type="dxa"/>
            <w:tcBorders>
              <w:top w:val="single" w:sz="8" w:space="0" w:color="009649"/>
              <w:bottom w:val="single" w:sz="8" w:space="0" w:color="009649"/>
            </w:tcBorders>
            <w:shd w:val="clear" w:color="auto" w:fill="FFFFFF"/>
            <w:vAlign w:val="center"/>
          </w:tcPr>
          <w:p w:rsidR="00ED665B" w:rsidRPr="00907702" w:rsidRDefault="006C7D2F" w:rsidP="00860142">
            <w:pPr>
              <w:ind w:left="53"/>
              <w:jc w:val="center"/>
              <w:rPr>
                <w:rFonts w:ascii="Calibri" w:hAnsi="Calibri" w:cs="Calibri"/>
              </w:rPr>
            </w:pPr>
            <w:r>
              <w:rPr>
                <w:rFonts w:ascii="Calibri" w:hAnsi="Calibri"/>
                <w:color w:val="000000"/>
              </w:rPr>
              <w:t>3 (187)</w:t>
            </w:r>
          </w:p>
        </w:tc>
        <w:tc>
          <w:tcPr>
            <w:tcW w:w="1310" w:type="dxa"/>
            <w:tcBorders>
              <w:top w:val="single" w:sz="8" w:space="0" w:color="009649"/>
              <w:bottom w:val="single" w:sz="8" w:space="0" w:color="009649"/>
            </w:tcBorders>
            <w:shd w:val="clear" w:color="auto" w:fill="FFFFFF"/>
            <w:vAlign w:val="center"/>
          </w:tcPr>
          <w:p w:rsidR="00ED665B" w:rsidRPr="00907702" w:rsidRDefault="006C7D2F" w:rsidP="00860142">
            <w:pPr>
              <w:ind w:left="53"/>
              <w:jc w:val="center"/>
              <w:rPr>
                <w:rFonts w:ascii="Calibri" w:hAnsi="Calibri" w:cs="Calibri"/>
              </w:rPr>
            </w:pPr>
            <w:r>
              <w:rPr>
                <w:rFonts w:ascii="Calibri" w:hAnsi="Calibri"/>
                <w:color w:val="000000"/>
              </w:rPr>
              <w:t>Se: 0,75</w:t>
            </w:r>
          </w:p>
        </w:tc>
        <w:tc>
          <w:tcPr>
            <w:tcW w:w="1402"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53"/>
              <w:jc w:val="center"/>
              <w:rPr>
                <w:rFonts w:ascii="Calibri" w:hAnsi="Calibri" w:cs="Calibri"/>
              </w:rPr>
            </w:pPr>
            <w:r>
              <w:rPr>
                <w:rFonts w:ascii="Calibri" w:hAnsi="Calibri"/>
                <w:color w:val="000000"/>
              </w:rPr>
              <w:t>Se: 0,64</w:t>
            </w:r>
          </w:p>
        </w:tc>
        <w:tc>
          <w:tcPr>
            <w:tcW w:w="1310" w:type="dxa"/>
            <w:tcBorders>
              <w:top w:val="single" w:sz="8" w:space="0" w:color="009649"/>
              <w:bottom w:val="single" w:sz="8" w:space="0" w:color="009649"/>
            </w:tcBorders>
            <w:shd w:val="clear" w:color="auto" w:fill="FFFFFF"/>
            <w:vAlign w:val="center"/>
          </w:tcPr>
          <w:p w:rsidR="00ED665B" w:rsidRPr="00907702" w:rsidRDefault="006C7D2F" w:rsidP="00860142">
            <w:pPr>
              <w:ind w:left="53"/>
              <w:jc w:val="center"/>
              <w:rPr>
                <w:rFonts w:ascii="Calibri" w:hAnsi="Calibri" w:cs="Calibri"/>
              </w:rPr>
            </w:pPr>
            <w:r>
              <w:rPr>
                <w:rFonts w:ascii="Calibri" w:hAnsi="Calibri"/>
                <w:color w:val="000000"/>
              </w:rPr>
              <w:t>Дуже низька</w:t>
            </w:r>
          </w:p>
        </w:tc>
        <w:tc>
          <w:tcPr>
            <w:tcW w:w="989" w:type="dxa"/>
            <w:tcBorders>
              <w:top w:val="single" w:sz="8" w:space="0" w:color="009649"/>
              <w:left w:val="nil"/>
              <w:bottom w:val="single" w:sz="8" w:space="0" w:color="009649"/>
            </w:tcBorders>
            <w:shd w:val="clear" w:color="auto" w:fill="FFFFFF"/>
            <w:vAlign w:val="center"/>
          </w:tcPr>
          <w:p w:rsidR="00860142" w:rsidRDefault="006C7D2F" w:rsidP="00860142">
            <w:pPr>
              <w:ind w:left="53"/>
              <w:jc w:val="center"/>
              <w:rPr>
                <w:rFonts w:ascii="Calibri" w:hAnsi="Calibri" w:cs="Calibri"/>
                <w:color w:val="000000"/>
              </w:rPr>
            </w:pPr>
            <w:r>
              <w:rPr>
                <w:rFonts w:ascii="Calibri" w:hAnsi="Calibri"/>
                <w:color w:val="000000"/>
              </w:rPr>
              <w:t xml:space="preserve">ІП: 8 </w:t>
            </w:r>
          </w:p>
          <w:p w:rsidR="00ED665B" w:rsidRPr="00907702" w:rsidRDefault="006C7D2F" w:rsidP="00860142">
            <w:pPr>
              <w:ind w:left="53"/>
              <w:jc w:val="center"/>
              <w:rPr>
                <w:rFonts w:ascii="Calibri" w:hAnsi="Calibri" w:cs="Calibri"/>
              </w:rPr>
            </w:pPr>
            <w:r>
              <w:rPr>
                <w:rFonts w:ascii="Calibri" w:hAnsi="Calibri"/>
                <w:color w:val="000000"/>
              </w:rPr>
              <w:t>ХН: 2</w:t>
            </w:r>
          </w:p>
        </w:tc>
        <w:tc>
          <w:tcPr>
            <w:tcW w:w="1296" w:type="dxa"/>
            <w:tcBorders>
              <w:top w:val="single" w:sz="8" w:space="0" w:color="009649"/>
              <w:bottom w:val="single" w:sz="8" w:space="0" w:color="009649"/>
            </w:tcBorders>
            <w:shd w:val="clear" w:color="auto" w:fill="FFFFFF"/>
            <w:vAlign w:val="center"/>
          </w:tcPr>
          <w:p w:rsidR="00860142" w:rsidRDefault="006C7D2F" w:rsidP="00860142">
            <w:pPr>
              <w:ind w:left="53"/>
              <w:jc w:val="center"/>
              <w:rPr>
                <w:rFonts w:ascii="Calibri" w:hAnsi="Calibri" w:cs="Calibri"/>
                <w:color w:val="000000"/>
              </w:rPr>
            </w:pPr>
            <w:r>
              <w:rPr>
                <w:rFonts w:ascii="Calibri" w:hAnsi="Calibri"/>
                <w:color w:val="000000"/>
              </w:rPr>
              <w:t xml:space="preserve">ІП: 6 </w:t>
            </w:r>
          </w:p>
          <w:p w:rsidR="00ED665B" w:rsidRPr="00907702" w:rsidRDefault="006C7D2F" w:rsidP="00860142">
            <w:pPr>
              <w:ind w:left="53"/>
              <w:jc w:val="center"/>
              <w:rPr>
                <w:rFonts w:ascii="Calibri" w:hAnsi="Calibri" w:cs="Calibri"/>
              </w:rPr>
            </w:pPr>
            <w:r>
              <w:rPr>
                <w:rFonts w:ascii="Calibri" w:hAnsi="Calibri"/>
                <w:color w:val="000000"/>
              </w:rPr>
              <w:t>ХН: 4</w:t>
            </w:r>
          </w:p>
        </w:tc>
        <w:tc>
          <w:tcPr>
            <w:tcW w:w="1210" w:type="dxa"/>
            <w:tcBorders>
              <w:top w:val="single" w:sz="8" w:space="0" w:color="009649"/>
              <w:left w:val="nil"/>
              <w:bottom w:val="single" w:sz="8" w:space="0" w:color="009649"/>
            </w:tcBorders>
            <w:shd w:val="clear" w:color="auto" w:fill="FFFFFF"/>
            <w:vAlign w:val="center"/>
          </w:tcPr>
          <w:p w:rsidR="00860142" w:rsidRDefault="006C7D2F" w:rsidP="00860142">
            <w:pPr>
              <w:ind w:left="53"/>
              <w:jc w:val="center"/>
              <w:rPr>
                <w:rFonts w:ascii="Calibri" w:hAnsi="Calibri" w:cs="Calibri"/>
                <w:color w:val="000000"/>
              </w:rPr>
            </w:pPr>
            <w:r>
              <w:rPr>
                <w:rFonts w:ascii="Calibri" w:hAnsi="Calibri"/>
                <w:color w:val="000000"/>
              </w:rPr>
              <w:t xml:space="preserve">ІП: 23 </w:t>
            </w:r>
          </w:p>
          <w:p w:rsidR="00ED665B" w:rsidRPr="00907702" w:rsidRDefault="006C7D2F" w:rsidP="00860142">
            <w:pPr>
              <w:ind w:left="53"/>
              <w:jc w:val="center"/>
              <w:rPr>
                <w:rFonts w:ascii="Calibri" w:hAnsi="Calibri" w:cs="Calibri"/>
              </w:rPr>
            </w:pPr>
            <w:r>
              <w:rPr>
                <w:rFonts w:ascii="Calibri" w:hAnsi="Calibri"/>
                <w:color w:val="000000"/>
              </w:rPr>
              <w:t>ХН: 7</w:t>
            </w:r>
          </w:p>
        </w:tc>
        <w:tc>
          <w:tcPr>
            <w:tcW w:w="1104" w:type="dxa"/>
            <w:tcBorders>
              <w:top w:val="single" w:sz="8" w:space="0" w:color="009649"/>
              <w:bottom w:val="single" w:sz="8" w:space="0" w:color="009649"/>
            </w:tcBorders>
            <w:shd w:val="clear" w:color="auto" w:fill="FFFFFF"/>
            <w:vAlign w:val="center"/>
          </w:tcPr>
          <w:p w:rsidR="00860142" w:rsidRDefault="006C7D2F" w:rsidP="00860142">
            <w:pPr>
              <w:ind w:left="53"/>
              <w:jc w:val="center"/>
              <w:rPr>
                <w:rFonts w:ascii="Calibri" w:hAnsi="Calibri" w:cs="Calibri"/>
                <w:color w:val="000000"/>
              </w:rPr>
            </w:pPr>
            <w:r>
              <w:rPr>
                <w:rFonts w:ascii="Calibri" w:hAnsi="Calibri"/>
                <w:color w:val="000000"/>
              </w:rPr>
              <w:t xml:space="preserve">ІП: 19 </w:t>
            </w:r>
          </w:p>
          <w:p w:rsidR="00ED665B" w:rsidRPr="00907702" w:rsidRDefault="006C7D2F" w:rsidP="00860142">
            <w:pPr>
              <w:ind w:left="53"/>
              <w:jc w:val="center"/>
              <w:rPr>
                <w:rFonts w:ascii="Calibri" w:hAnsi="Calibri" w:cs="Calibri"/>
              </w:rPr>
            </w:pPr>
            <w:r>
              <w:rPr>
                <w:rFonts w:ascii="Calibri" w:hAnsi="Calibri"/>
                <w:color w:val="000000"/>
              </w:rPr>
              <w:t>ХН: 11</w:t>
            </w:r>
          </w:p>
        </w:tc>
        <w:tc>
          <w:tcPr>
            <w:tcW w:w="1483" w:type="dxa"/>
            <w:tcBorders>
              <w:top w:val="single" w:sz="8" w:space="0" w:color="009649"/>
              <w:left w:val="nil"/>
              <w:bottom w:val="single" w:sz="8" w:space="0" w:color="009649"/>
            </w:tcBorders>
            <w:shd w:val="clear" w:color="auto" w:fill="FFFFFF"/>
            <w:vAlign w:val="center"/>
          </w:tcPr>
          <w:p w:rsidR="00860142" w:rsidRDefault="006C7D2F" w:rsidP="00860142">
            <w:pPr>
              <w:ind w:left="53"/>
              <w:jc w:val="center"/>
              <w:rPr>
                <w:rFonts w:ascii="Calibri" w:hAnsi="Calibri" w:cs="Calibri"/>
                <w:color w:val="000000"/>
              </w:rPr>
            </w:pPr>
            <w:r>
              <w:rPr>
                <w:rFonts w:ascii="Calibri" w:hAnsi="Calibri"/>
                <w:color w:val="000000"/>
              </w:rPr>
              <w:t xml:space="preserve">ІП: 53 </w:t>
            </w:r>
          </w:p>
          <w:p w:rsidR="00ED665B" w:rsidRPr="00907702" w:rsidRDefault="006C7D2F" w:rsidP="00860142">
            <w:pPr>
              <w:ind w:left="53"/>
              <w:jc w:val="center"/>
              <w:rPr>
                <w:rFonts w:ascii="Calibri" w:hAnsi="Calibri" w:cs="Calibri"/>
              </w:rPr>
            </w:pPr>
            <w:r>
              <w:rPr>
                <w:rFonts w:ascii="Calibri" w:hAnsi="Calibri"/>
                <w:color w:val="000000"/>
              </w:rPr>
              <w:t>ХН: 17</w:t>
            </w:r>
          </w:p>
        </w:tc>
        <w:tc>
          <w:tcPr>
            <w:tcW w:w="1123" w:type="dxa"/>
            <w:tcBorders>
              <w:top w:val="single" w:sz="8" w:space="0" w:color="009649"/>
              <w:bottom w:val="single" w:sz="8" w:space="0" w:color="009649"/>
            </w:tcBorders>
            <w:shd w:val="clear" w:color="auto" w:fill="FFFFFF"/>
            <w:vAlign w:val="center"/>
          </w:tcPr>
          <w:p w:rsidR="00860142" w:rsidRDefault="006C7D2F" w:rsidP="00860142">
            <w:pPr>
              <w:ind w:left="53"/>
              <w:jc w:val="center"/>
              <w:rPr>
                <w:rFonts w:ascii="Calibri" w:hAnsi="Calibri" w:cs="Calibri"/>
                <w:color w:val="000000"/>
              </w:rPr>
            </w:pPr>
            <w:r>
              <w:rPr>
                <w:rFonts w:ascii="Calibri" w:hAnsi="Calibri"/>
                <w:color w:val="000000"/>
              </w:rPr>
              <w:t xml:space="preserve">ІП: 45 </w:t>
            </w:r>
          </w:p>
          <w:p w:rsidR="00ED665B" w:rsidRPr="00907702" w:rsidRDefault="006C7D2F" w:rsidP="00860142">
            <w:pPr>
              <w:ind w:left="53"/>
              <w:jc w:val="center"/>
              <w:rPr>
                <w:rFonts w:ascii="Calibri" w:hAnsi="Calibri" w:cs="Calibri"/>
              </w:rPr>
            </w:pPr>
            <w:r>
              <w:rPr>
                <w:rFonts w:ascii="Calibri" w:hAnsi="Calibri"/>
                <w:color w:val="000000"/>
              </w:rPr>
              <w:t>ХН: 25</w:t>
            </w:r>
          </w:p>
        </w:tc>
      </w:tr>
      <w:tr w:rsidR="00ED665B" w:rsidRPr="00907702" w:rsidTr="00F44E6E">
        <w:trPr>
          <w:trHeight w:hRule="exact" w:val="758"/>
        </w:trPr>
        <w:tc>
          <w:tcPr>
            <w:tcW w:w="1622" w:type="dxa"/>
            <w:vMerge/>
            <w:tcBorders>
              <w:top w:val="single" w:sz="8" w:space="0" w:color="009649"/>
              <w:bottom w:val="single" w:sz="8" w:space="0" w:color="009649"/>
            </w:tcBorders>
            <w:shd w:val="clear" w:color="auto" w:fill="FFFFFF"/>
            <w:vAlign w:val="center"/>
          </w:tcPr>
          <w:p w:rsidR="00ED665B" w:rsidRPr="00907702" w:rsidRDefault="00ED665B" w:rsidP="00860142">
            <w:pPr>
              <w:ind w:left="53"/>
              <w:jc w:val="center"/>
              <w:rPr>
                <w:rFonts w:ascii="Calibri" w:hAnsi="Calibri" w:cs="Calibri"/>
              </w:rPr>
            </w:pPr>
          </w:p>
          <w:p w:rsidR="00ED665B" w:rsidRPr="00907702" w:rsidRDefault="00ED665B" w:rsidP="00860142">
            <w:pPr>
              <w:ind w:left="53"/>
              <w:jc w:val="center"/>
              <w:rPr>
                <w:rFonts w:ascii="Calibri" w:hAnsi="Calibri" w:cs="Calibri"/>
              </w:rPr>
            </w:pPr>
          </w:p>
        </w:tc>
        <w:tc>
          <w:tcPr>
            <w:tcW w:w="1214" w:type="dxa"/>
            <w:tcBorders>
              <w:top w:val="single" w:sz="8" w:space="0" w:color="009649"/>
              <w:bottom w:val="single" w:sz="8" w:space="0" w:color="009649"/>
            </w:tcBorders>
            <w:shd w:val="clear" w:color="auto" w:fill="FFFFFF"/>
            <w:vAlign w:val="center"/>
          </w:tcPr>
          <w:p w:rsidR="00ED665B" w:rsidRPr="00907702" w:rsidRDefault="006C7D2F" w:rsidP="00860142">
            <w:pPr>
              <w:ind w:left="53"/>
              <w:jc w:val="center"/>
              <w:rPr>
                <w:rFonts w:ascii="Calibri" w:hAnsi="Calibri" w:cs="Calibri"/>
              </w:rPr>
            </w:pPr>
            <w:r>
              <w:rPr>
                <w:rFonts w:ascii="Calibri" w:hAnsi="Calibri"/>
                <w:color w:val="000000"/>
              </w:rPr>
              <w:t>3 (4893)</w:t>
            </w:r>
          </w:p>
        </w:tc>
        <w:tc>
          <w:tcPr>
            <w:tcW w:w="1310" w:type="dxa"/>
            <w:tcBorders>
              <w:top w:val="single" w:sz="8" w:space="0" w:color="009649"/>
              <w:bottom w:val="single" w:sz="8" w:space="0" w:color="009649"/>
            </w:tcBorders>
            <w:shd w:val="clear" w:color="auto" w:fill="FFFFFF"/>
            <w:vAlign w:val="center"/>
          </w:tcPr>
          <w:p w:rsidR="00ED665B" w:rsidRPr="00907702" w:rsidRDefault="006C7D2F" w:rsidP="00860142">
            <w:pPr>
              <w:ind w:left="53"/>
              <w:jc w:val="center"/>
              <w:rPr>
                <w:rFonts w:ascii="Calibri" w:hAnsi="Calibri" w:cs="Calibri"/>
              </w:rPr>
            </w:pPr>
            <w:r>
              <w:rPr>
                <w:rFonts w:ascii="Calibri" w:hAnsi="Calibri"/>
                <w:color w:val="000000"/>
              </w:rPr>
              <w:t>Sp: 0,97</w:t>
            </w:r>
          </w:p>
        </w:tc>
        <w:tc>
          <w:tcPr>
            <w:tcW w:w="1402" w:type="dxa"/>
            <w:tcBorders>
              <w:top w:val="single" w:sz="8" w:space="0" w:color="009649"/>
              <w:left w:val="nil"/>
              <w:bottom w:val="single" w:sz="8" w:space="0" w:color="009649"/>
            </w:tcBorders>
            <w:shd w:val="clear" w:color="auto" w:fill="FFFFFF"/>
            <w:vAlign w:val="center"/>
          </w:tcPr>
          <w:p w:rsidR="00ED665B" w:rsidRPr="00907702" w:rsidRDefault="006C7D2F" w:rsidP="00860142">
            <w:pPr>
              <w:ind w:left="53"/>
              <w:jc w:val="center"/>
              <w:rPr>
                <w:rFonts w:ascii="Calibri" w:hAnsi="Calibri" w:cs="Calibri"/>
              </w:rPr>
            </w:pPr>
            <w:r>
              <w:rPr>
                <w:rFonts w:ascii="Calibri" w:hAnsi="Calibri"/>
                <w:color w:val="000000"/>
              </w:rPr>
              <w:t>Sp: 0,98</w:t>
            </w:r>
          </w:p>
        </w:tc>
        <w:tc>
          <w:tcPr>
            <w:tcW w:w="1310" w:type="dxa"/>
            <w:tcBorders>
              <w:top w:val="single" w:sz="8" w:space="0" w:color="009649"/>
              <w:bottom w:val="single" w:sz="8" w:space="0" w:color="009649"/>
            </w:tcBorders>
            <w:shd w:val="clear" w:color="auto" w:fill="FFFFFF"/>
            <w:vAlign w:val="center"/>
          </w:tcPr>
          <w:p w:rsidR="00ED665B" w:rsidRPr="00907702" w:rsidRDefault="006C7D2F" w:rsidP="00860142">
            <w:pPr>
              <w:ind w:left="53"/>
              <w:jc w:val="center"/>
              <w:rPr>
                <w:rFonts w:ascii="Calibri" w:hAnsi="Calibri" w:cs="Calibri"/>
              </w:rPr>
            </w:pPr>
            <w:r>
              <w:rPr>
                <w:rFonts w:ascii="Calibri" w:hAnsi="Calibri"/>
                <w:color w:val="000000"/>
              </w:rPr>
              <w:t>Помірна</w:t>
            </w:r>
          </w:p>
        </w:tc>
        <w:tc>
          <w:tcPr>
            <w:tcW w:w="989" w:type="dxa"/>
            <w:tcBorders>
              <w:top w:val="single" w:sz="8" w:space="0" w:color="009649"/>
              <w:left w:val="nil"/>
              <w:bottom w:val="single" w:sz="8" w:space="0" w:color="009649"/>
            </w:tcBorders>
            <w:shd w:val="clear" w:color="auto" w:fill="FFFFFF"/>
            <w:vAlign w:val="center"/>
          </w:tcPr>
          <w:p w:rsidR="00860142" w:rsidRDefault="006C7D2F" w:rsidP="00860142">
            <w:pPr>
              <w:ind w:left="53"/>
              <w:jc w:val="center"/>
              <w:rPr>
                <w:rFonts w:ascii="Calibri" w:hAnsi="Calibri" w:cs="Calibri"/>
                <w:color w:val="000000"/>
              </w:rPr>
            </w:pPr>
            <w:r>
              <w:rPr>
                <w:rFonts w:ascii="Calibri" w:hAnsi="Calibri"/>
                <w:color w:val="000000"/>
              </w:rPr>
              <w:t xml:space="preserve">ІН: 960 </w:t>
            </w:r>
          </w:p>
          <w:p w:rsidR="00ED665B" w:rsidRPr="00907702" w:rsidRDefault="006C7D2F" w:rsidP="00860142">
            <w:pPr>
              <w:ind w:left="53"/>
              <w:jc w:val="center"/>
              <w:rPr>
                <w:rFonts w:ascii="Calibri" w:hAnsi="Calibri" w:cs="Calibri"/>
              </w:rPr>
            </w:pPr>
            <w:r>
              <w:rPr>
                <w:rFonts w:ascii="Calibri" w:hAnsi="Calibri"/>
                <w:color w:val="000000"/>
              </w:rPr>
              <w:t>ХП: 30</w:t>
            </w:r>
          </w:p>
        </w:tc>
        <w:tc>
          <w:tcPr>
            <w:tcW w:w="1296" w:type="dxa"/>
            <w:tcBorders>
              <w:top w:val="single" w:sz="8" w:space="0" w:color="009649"/>
              <w:bottom w:val="single" w:sz="8" w:space="0" w:color="009649"/>
            </w:tcBorders>
            <w:shd w:val="clear" w:color="auto" w:fill="FFFFFF"/>
            <w:vAlign w:val="center"/>
          </w:tcPr>
          <w:p w:rsidR="00860142" w:rsidRDefault="006C7D2F" w:rsidP="00860142">
            <w:pPr>
              <w:ind w:left="53"/>
              <w:jc w:val="center"/>
              <w:rPr>
                <w:rFonts w:ascii="Calibri" w:hAnsi="Calibri" w:cs="Calibri"/>
                <w:color w:val="000000"/>
              </w:rPr>
            </w:pPr>
            <w:r>
              <w:rPr>
                <w:rFonts w:ascii="Calibri" w:hAnsi="Calibri"/>
                <w:color w:val="000000"/>
              </w:rPr>
              <w:t xml:space="preserve">ІН: 970 </w:t>
            </w:r>
          </w:p>
          <w:p w:rsidR="00ED665B" w:rsidRPr="00907702" w:rsidRDefault="006C7D2F" w:rsidP="00860142">
            <w:pPr>
              <w:ind w:left="53"/>
              <w:jc w:val="center"/>
              <w:rPr>
                <w:rFonts w:ascii="Calibri" w:hAnsi="Calibri" w:cs="Calibri"/>
              </w:rPr>
            </w:pPr>
            <w:r>
              <w:rPr>
                <w:rFonts w:ascii="Calibri" w:hAnsi="Calibri"/>
                <w:color w:val="000000"/>
              </w:rPr>
              <w:t>ХП: 20</w:t>
            </w:r>
          </w:p>
        </w:tc>
        <w:tc>
          <w:tcPr>
            <w:tcW w:w="1210" w:type="dxa"/>
            <w:tcBorders>
              <w:top w:val="single" w:sz="8" w:space="0" w:color="009649"/>
              <w:left w:val="nil"/>
              <w:bottom w:val="single" w:sz="8" w:space="0" w:color="009649"/>
            </w:tcBorders>
            <w:shd w:val="clear" w:color="auto" w:fill="FFFFFF"/>
            <w:vAlign w:val="center"/>
          </w:tcPr>
          <w:p w:rsidR="00860142" w:rsidRDefault="006C7D2F" w:rsidP="00860142">
            <w:pPr>
              <w:ind w:left="53"/>
              <w:jc w:val="center"/>
              <w:rPr>
                <w:rFonts w:ascii="Calibri" w:hAnsi="Calibri" w:cs="Calibri"/>
                <w:color w:val="000000"/>
              </w:rPr>
            </w:pPr>
            <w:r>
              <w:rPr>
                <w:rFonts w:ascii="Calibri" w:hAnsi="Calibri"/>
                <w:color w:val="000000"/>
              </w:rPr>
              <w:t xml:space="preserve">ІН: 941 </w:t>
            </w:r>
          </w:p>
          <w:p w:rsidR="00ED665B" w:rsidRPr="00907702" w:rsidRDefault="006C7D2F" w:rsidP="00860142">
            <w:pPr>
              <w:ind w:left="53"/>
              <w:jc w:val="center"/>
              <w:rPr>
                <w:rFonts w:ascii="Calibri" w:hAnsi="Calibri" w:cs="Calibri"/>
              </w:rPr>
            </w:pPr>
            <w:r>
              <w:rPr>
                <w:rFonts w:ascii="Calibri" w:hAnsi="Calibri"/>
                <w:color w:val="000000"/>
              </w:rPr>
              <w:t>ХП: 29</w:t>
            </w:r>
          </w:p>
        </w:tc>
        <w:tc>
          <w:tcPr>
            <w:tcW w:w="1104" w:type="dxa"/>
            <w:tcBorders>
              <w:top w:val="single" w:sz="8" w:space="0" w:color="009649"/>
              <w:bottom w:val="single" w:sz="8" w:space="0" w:color="009649"/>
            </w:tcBorders>
            <w:shd w:val="clear" w:color="auto" w:fill="FFFFFF"/>
            <w:vAlign w:val="center"/>
          </w:tcPr>
          <w:p w:rsidR="00860142" w:rsidRDefault="006C7D2F" w:rsidP="00860142">
            <w:pPr>
              <w:ind w:left="53"/>
              <w:jc w:val="center"/>
              <w:rPr>
                <w:rFonts w:ascii="Calibri" w:hAnsi="Calibri" w:cs="Calibri"/>
                <w:color w:val="000000"/>
              </w:rPr>
            </w:pPr>
            <w:r>
              <w:rPr>
                <w:rFonts w:ascii="Calibri" w:hAnsi="Calibri"/>
                <w:color w:val="000000"/>
              </w:rPr>
              <w:t>ІН: 951</w:t>
            </w:r>
          </w:p>
          <w:p w:rsidR="00ED665B" w:rsidRPr="00907702" w:rsidRDefault="006C7D2F" w:rsidP="00860142">
            <w:pPr>
              <w:ind w:left="53"/>
              <w:jc w:val="center"/>
              <w:rPr>
                <w:rFonts w:ascii="Calibri" w:hAnsi="Calibri" w:cs="Calibri"/>
              </w:rPr>
            </w:pPr>
            <w:r>
              <w:rPr>
                <w:rFonts w:ascii="Calibri" w:hAnsi="Calibri"/>
                <w:color w:val="000000"/>
              </w:rPr>
              <w:t xml:space="preserve"> ХП: 19</w:t>
            </w:r>
          </w:p>
        </w:tc>
        <w:tc>
          <w:tcPr>
            <w:tcW w:w="1483" w:type="dxa"/>
            <w:tcBorders>
              <w:top w:val="single" w:sz="8" w:space="0" w:color="009649"/>
              <w:left w:val="nil"/>
              <w:bottom w:val="single" w:sz="8" w:space="0" w:color="009649"/>
            </w:tcBorders>
            <w:shd w:val="clear" w:color="auto" w:fill="FFFFFF"/>
            <w:vAlign w:val="center"/>
          </w:tcPr>
          <w:p w:rsidR="00860142" w:rsidRDefault="006C7D2F" w:rsidP="00860142">
            <w:pPr>
              <w:ind w:left="53"/>
              <w:jc w:val="center"/>
              <w:rPr>
                <w:rFonts w:ascii="Calibri" w:hAnsi="Calibri" w:cs="Calibri"/>
                <w:color w:val="000000"/>
              </w:rPr>
            </w:pPr>
            <w:r>
              <w:rPr>
                <w:rFonts w:ascii="Calibri" w:hAnsi="Calibri"/>
                <w:color w:val="000000"/>
              </w:rPr>
              <w:t xml:space="preserve">ІН: 902 </w:t>
            </w:r>
          </w:p>
          <w:p w:rsidR="00ED665B" w:rsidRPr="00907702" w:rsidRDefault="006C7D2F" w:rsidP="00860142">
            <w:pPr>
              <w:ind w:left="53"/>
              <w:jc w:val="center"/>
              <w:rPr>
                <w:rFonts w:ascii="Calibri" w:hAnsi="Calibri" w:cs="Calibri"/>
              </w:rPr>
            </w:pPr>
            <w:r>
              <w:rPr>
                <w:rFonts w:ascii="Calibri" w:hAnsi="Calibri"/>
                <w:color w:val="000000"/>
              </w:rPr>
              <w:t>ХП: 28</w:t>
            </w:r>
          </w:p>
        </w:tc>
        <w:tc>
          <w:tcPr>
            <w:tcW w:w="1123" w:type="dxa"/>
            <w:tcBorders>
              <w:top w:val="single" w:sz="8" w:space="0" w:color="009649"/>
              <w:bottom w:val="single" w:sz="8" w:space="0" w:color="009649"/>
            </w:tcBorders>
            <w:shd w:val="clear" w:color="auto" w:fill="FFFFFF"/>
            <w:vAlign w:val="center"/>
          </w:tcPr>
          <w:p w:rsidR="00860142" w:rsidRDefault="006C7D2F" w:rsidP="00860142">
            <w:pPr>
              <w:ind w:left="53"/>
              <w:jc w:val="center"/>
              <w:rPr>
                <w:rFonts w:ascii="Calibri" w:hAnsi="Calibri" w:cs="Calibri"/>
                <w:color w:val="000000"/>
              </w:rPr>
            </w:pPr>
            <w:r>
              <w:rPr>
                <w:rFonts w:ascii="Calibri" w:hAnsi="Calibri"/>
                <w:color w:val="000000"/>
              </w:rPr>
              <w:t xml:space="preserve">ІН: 911 </w:t>
            </w:r>
          </w:p>
          <w:p w:rsidR="00ED665B" w:rsidRPr="00907702" w:rsidRDefault="006C7D2F" w:rsidP="00860142">
            <w:pPr>
              <w:ind w:left="53"/>
              <w:jc w:val="center"/>
              <w:rPr>
                <w:rFonts w:ascii="Calibri" w:hAnsi="Calibri" w:cs="Calibri"/>
              </w:rPr>
            </w:pPr>
            <w:r>
              <w:rPr>
                <w:rFonts w:ascii="Calibri" w:hAnsi="Calibri"/>
                <w:color w:val="000000"/>
              </w:rPr>
              <w:t>ХП: 19</w:t>
            </w:r>
          </w:p>
        </w:tc>
      </w:tr>
      <w:tr w:rsidR="00ED665B" w:rsidRPr="00907702" w:rsidTr="00860142">
        <w:trPr>
          <w:trHeight w:hRule="exact" w:val="490"/>
        </w:trPr>
        <w:tc>
          <w:tcPr>
            <w:tcW w:w="14063" w:type="dxa"/>
            <w:gridSpan w:val="11"/>
            <w:tcBorders>
              <w:top w:val="single" w:sz="8" w:space="0" w:color="009649"/>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ТБ: туберкульоз; ІН: істинно негативний; ІП: істинно позитивний.</w:t>
            </w:r>
          </w:p>
        </w:tc>
      </w:tr>
    </w:tbl>
    <w:p w:rsidR="00ED665B" w:rsidRPr="00907702" w:rsidRDefault="00ED665B" w:rsidP="00DC2656">
      <w:pPr>
        <w:rPr>
          <w:rFonts w:ascii="Calibri" w:hAnsi="Calibri" w:cs="Calibri"/>
        </w:rPr>
        <w:sectPr w:rsidR="00ED665B" w:rsidRPr="00907702" w:rsidSect="00860142">
          <w:pgSz w:w="16838" w:h="11904" w:orient="landscape"/>
          <w:pgMar w:top="1397" w:right="1387" w:bottom="1276" w:left="1387" w:header="720" w:footer="720" w:gutter="0"/>
          <w:cols w:space="60"/>
          <w:noEndnote/>
        </w:sectPr>
      </w:pPr>
    </w:p>
    <w:p w:rsidR="00ED665B" w:rsidRPr="00F44E6E" w:rsidRDefault="006C7D2F" w:rsidP="00DC2656">
      <w:pPr>
        <w:rPr>
          <w:rFonts w:ascii="Calibri" w:hAnsi="Calibri" w:cs="Calibri"/>
          <w:b/>
          <w:bCs/>
        </w:rPr>
      </w:pPr>
      <w:r>
        <w:rPr>
          <w:rFonts w:ascii="Calibri" w:hAnsi="Calibri"/>
          <w:b/>
          <w:color w:val="009649"/>
          <w:sz w:val="28"/>
        </w:rPr>
        <w:lastRenderedPageBreak/>
        <w:t>Аналіз співвідношення витрати / ефективність</w:t>
      </w:r>
    </w:p>
    <w:p w:rsidR="00ED665B" w:rsidRPr="00907702" w:rsidRDefault="006C7D2F" w:rsidP="00DC2656">
      <w:pPr>
        <w:spacing w:before="211"/>
        <w:rPr>
          <w:rFonts w:ascii="Calibri" w:hAnsi="Calibri" w:cs="Calibri"/>
        </w:rPr>
      </w:pPr>
      <w:r>
        <w:rPr>
          <w:rFonts w:ascii="Calibri" w:hAnsi="Calibri"/>
          <w:color w:val="000000"/>
          <w:sz w:val="22"/>
        </w:rPr>
        <w:t>У цьому розділі йдеться про наступне додаткове питання:</w:t>
      </w:r>
    </w:p>
    <w:p w:rsidR="00ED665B" w:rsidRPr="007F67D5" w:rsidRDefault="006C7D2F" w:rsidP="00DC2656">
      <w:pPr>
        <w:spacing w:before="288"/>
        <w:ind w:right="998"/>
        <w:rPr>
          <w:rFonts w:ascii="Calibri" w:hAnsi="Calibri" w:cs="Calibri"/>
          <w:b/>
          <w:bCs/>
          <w:i/>
          <w:iCs/>
          <w:sz w:val="22"/>
        </w:rPr>
      </w:pPr>
      <w:r w:rsidRPr="007F67D5">
        <w:rPr>
          <w:rFonts w:ascii="Calibri" w:hAnsi="Calibri"/>
          <w:b/>
          <w:i/>
          <w:color w:val="000000"/>
          <w:sz w:val="24"/>
        </w:rPr>
        <w:t>Які порівняльні витрати, доступність та співвідношення витрати / ефективність щодо впровадження тестів Xpert MTB/RIF, Xpert Ultra?</w:t>
      </w:r>
    </w:p>
    <w:p w:rsidR="00ED665B" w:rsidRPr="00907702" w:rsidRDefault="006C7D2F" w:rsidP="00DC2656">
      <w:pPr>
        <w:spacing w:before="178"/>
        <w:jc w:val="both"/>
        <w:rPr>
          <w:rFonts w:ascii="Calibri" w:hAnsi="Calibri" w:cs="Calibri"/>
        </w:rPr>
      </w:pPr>
      <w:r>
        <w:rPr>
          <w:rFonts w:ascii="Calibri" w:hAnsi="Calibri"/>
          <w:color w:val="000000"/>
          <w:sz w:val="22"/>
        </w:rPr>
        <w:t>Було проведено систематичний огляд, основною метою якого стало проведення економічних оцінок молекулярних тестів для діагностики активної форми туберкульозу. Тести включали GeneXpert MTB/RIF (далі – Xpert MTB/RIF) і новий тест Xpert Ultra. Мета цього огляду полягала в узагальненні поточних економічних даних та подальшому розумінні витрат, співвідношення витрати / ефективність та доступності цих молекулярних тестів для діагностики ТБ. Було визначено двадцять вісім досліджень, які відповідали критеріям включення та вирішували одне із актуальних питань PICO. Досліджень щодо співвідношення витрати / ефективність тесту Xpert Ultra проведено не було. Більшість досліджень оцінювали Xpert MTB/RIF в амбулаторних умовах у країнах Африки; однак також були включені дослідження серед пацієнтів амбулаторій та госпіталізованих пацієнтів в інших країнах, таких як Бразилія, Китай, Німеччина, Спеціальний адміністративний регіон Гонконг (САР), Індія, ПАР та США.</w:t>
      </w:r>
    </w:p>
    <w:p w:rsidR="00ED665B" w:rsidRPr="00907702" w:rsidRDefault="006C7D2F" w:rsidP="00DC2656">
      <w:pPr>
        <w:spacing w:before="168"/>
        <w:jc w:val="both"/>
        <w:rPr>
          <w:rFonts w:ascii="Calibri" w:hAnsi="Calibri" w:cs="Calibri"/>
        </w:rPr>
      </w:pPr>
      <w:r>
        <w:rPr>
          <w:rFonts w:ascii="Calibri" w:hAnsi="Calibri"/>
          <w:color w:val="000000"/>
          <w:sz w:val="22"/>
        </w:rPr>
        <w:t>У дослідженнях було використано безліч різних моделюючих підходів, популяцій та умов. Включені дослідження варіювали за вартістю, ефективністю та епідеміологічними параметрами, що робить прямі порівняння між дослідженнями складними. Крім того, різні варіанти того, які параметри витрат, витрати на впровадження та подальші витрати були включені в різні дослідження.</w:t>
      </w:r>
    </w:p>
    <w:p w:rsidR="00ED665B" w:rsidRPr="00907702" w:rsidRDefault="006C7D2F" w:rsidP="00DC2656">
      <w:pPr>
        <w:spacing w:before="168"/>
        <w:jc w:val="both"/>
        <w:rPr>
          <w:rFonts w:ascii="Calibri" w:hAnsi="Calibri" w:cs="Calibri"/>
        </w:rPr>
      </w:pPr>
      <w:r>
        <w:rPr>
          <w:rFonts w:ascii="Calibri" w:hAnsi="Calibri"/>
          <w:color w:val="000000"/>
          <w:sz w:val="22"/>
        </w:rPr>
        <w:t>Хоча багато досліджень продемонстрували, що Xpert MTB/RIF може бути економічно ефективним у діагностиці легеневого ТБ, ключові умови впровадження та параметри мають сильний вплив на економічну ефективність і повинні враховуватися при впровадженні цього тесту. Показано, що економічна ефективність Xpert MTB/RIF була покращена серед певних груп населення: за умов із більшою поширеністю туберкульозу, ЛЖВ та тих, де рівень емпіричного лікування був низьким. На економічну ефективність Xpert MTB/RIF значною мірою впливають такі фактори, як розташування апаратів GeneXpert (тобто централізовані установи у порівнянні з децентралізованими), тестовий обсяг, основна поширеність ТБ, рівень емпіричного лікування та невдале попереднє лікування.</w:t>
      </w:r>
    </w:p>
    <w:p w:rsidR="00ED665B" w:rsidRPr="00907702" w:rsidRDefault="006C7D2F" w:rsidP="00DC2656">
      <w:pPr>
        <w:spacing w:before="168"/>
        <w:jc w:val="both"/>
        <w:rPr>
          <w:rFonts w:ascii="Calibri" w:hAnsi="Calibri" w:cs="Calibri"/>
        </w:rPr>
      </w:pPr>
      <w:r>
        <w:rPr>
          <w:rFonts w:ascii="Calibri" w:hAnsi="Calibri"/>
          <w:color w:val="000000"/>
          <w:sz w:val="22"/>
        </w:rPr>
        <w:t>Слід застосовувати обережність при узагальненні економічної ефективності та економічних оцінок у різних умовах. Необхідно враховувати місцеві умови та параметри впровадження, а місцеві дослідження щодо впровадження можуть бути корисними для оцінки можливого впливу на пошук випадків, довгострокові результати та співвідношення витрати / ефективність.</w:t>
      </w:r>
    </w:p>
    <w:p w:rsidR="00ED665B" w:rsidRPr="00907702" w:rsidRDefault="006C7D2F" w:rsidP="00406A04">
      <w:pPr>
        <w:spacing w:before="168"/>
        <w:jc w:val="distribute"/>
        <w:rPr>
          <w:rFonts w:ascii="Calibri" w:hAnsi="Calibri" w:cs="Calibri"/>
        </w:rPr>
      </w:pPr>
      <w:r>
        <w:rPr>
          <w:rFonts w:ascii="Calibri" w:hAnsi="Calibri"/>
          <w:color w:val="000000"/>
          <w:sz w:val="22"/>
        </w:rPr>
        <w:t xml:space="preserve">Існує значна кількість економічних даних щодо впровадження та масштабування Xpert MTB/RIF у різних умовах, особливо серед пацієнтів амбулаторій, що мають ознаки та симптоми ТБ. Більшість цих досліджень показали, що Xpert MTB/RIF, ймовірно, буде економічно ефективним. Тим не менш, були деякі винятки, і було зрозуміло, що відмінності в підходах та умовах можуть мати важливий вплив на співвідношення витрати / ефективність. У дослідженнях використовувався широкий спектр моделюючих та аналітичних підходів, припущень, діагностичних алгоритмів та препаратів порівняння. Також оцінювалися різні параметри дослідження шляхом складних порівнянь між дослідженнями та узагальненнями інших </w:t>
      </w:r>
    </w:p>
    <w:p w:rsidR="00ED665B" w:rsidRPr="00907702" w:rsidRDefault="00ED665B" w:rsidP="00DC2656">
      <w:pPr>
        <w:spacing w:before="168"/>
        <w:jc w:val="both"/>
        <w:rPr>
          <w:rFonts w:ascii="Calibri" w:hAnsi="Calibri" w:cs="Calibri"/>
        </w:rPr>
        <w:sectPr w:rsidR="00ED665B" w:rsidRPr="00907702">
          <w:headerReference w:type="default" r:id="rId41"/>
          <w:footerReference w:type="default" r:id="rId42"/>
          <w:pgSz w:w="11904" w:h="16838"/>
          <w:pgMar w:top="1378" w:right="1416" w:bottom="2050" w:left="1416" w:header="720" w:footer="720" w:gutter="0"/>
          <w:cols w:space="60"/>
          <w:noEndnote/>
        </w:sectPr>
      </w:pPr>
    </w:p>
    <w:p w:rsidR="00ED665B" w:rsidRPr="00907702" w:rsidRDefault="00406A04" w:rsidP="00DC2656">
      <w:pPr>
        <w:ind w:right="5"/>
        <w:jc w:val="both"/>
        <w:rPr>
          <w:rFonts w:ascii="Calibri" w:hAnsi="Calibri" w:cs="Calibri"/>
        </w:rPr>
      </w:pPr>
      <w:r>
        <w:rPr>
          <w:rFonts w:ascii="Calibri" w:hAnsi="Calibri"/>
          <w:color w:val="000000"/>
          <w:sz w:val="22"/>
        </w:rPr>
        <w:lastRenderedPageBreak/>
        <w:t xml:space="preserve">параметрів </w:t>
      </w:r>
      <w:r w:rsidR="006C7D2F">
        <w:rPr>
          <w:rFonts w:ascii="Calibri" w:hAnsi="Calibri"/>
          <w:color w:val="000000"/>
          <w:sz w:val="22"/>
        </w:rPr>
        <w:t>Дослідження підкреслювали, що при узагальненні результатів співвідношення витрати / ефективність для різних параметрів потрібно враховувати чинники та параметри впровадження. Важливими факторами, що визначають, чи може Xpert MTB/RIF бути ефективним у співвідношенні витрати / ефективність в будь-яких заданих умовах, включають поточний рівень допомоги, рівень емпіричного лікування, наявні заклади, де проводяться тестування, місце розташування Xpert MTB/RIF (централізовані або децентралізовані заклади), поширеність ТБ, кількість пацієнтів, невдале попереднє лікування та існуюча прив’язка до закладів, які надають допомогу. Інші важливі складові витрат включають, чи враховуються витрати на впровадження, пов’язані зі збільшенням проведення тестувань із застосуванням Xpert MTB/RIF, та чи включаються подальші витрати (наприклад, на лікування ТБ та MЛС-ТБ, антиретровірусну терапію та допомоги при ВІЛ).</w:t>
      </w:r>
    </w:p>
    <w:p w:rsidR="00ED665B" w:rsidRPr="00907702" w:rsidRDefault="006C7D2F" w:rsidP="00DC2656">
      <w:pPr>
        <w:spacing w:before="163"/>
        <w:ind w:right="5"/>
        <w:jc w:val="both"/>
        <w:rPr>
          <w:rFonts w:ascii="Calibri" w:hAnsi="Calibri" w:cs="Calibri"/>
        </w:rPr>
      </w:pPr>
      <w:r>
        <w:rPr>
          <w:rFonts w:ascii="Calibri" w:hAnsi="Calibri"/>
          <w:b/>
          <w:color w:val="000000"/>
          <w:sz w:val="22"/>
        </w:rPr>
        <w:t>Вебдодаток 4.5:</w:t>
      </w:r>
      <w:r>
        <w:rPr>
          <w:rFonts w:ascii="Calibri" w:hAnsi="Calibri"/>
          <w:color w:val="000000"/>
          <w:sz w:val="22"/>
        </w:rPr>
        <w:t xml:space="preserve"> Систематичний огляд літератури стосовно економічних даних для молекулярних аналізів, призначених в якості первинних тестів діагностики легеневого та позалегеневого ТБ у дорослих та дітей.</w:t>
      </w:r>
    </w:p>
    <w:p w:rsidR="00ED665B" w:rsidRPr="00F44E6E" w:rsidRDefault="006C7D2F" w:rsidP="00DC2656">
      <w:pPr>
        <w:spacing w:before="230"/>
        <w:rPr>
          <w:rFonts w:ascii="Calibri" w:hAnsi="Calibri" w:cs="Calibri"/>
          <w:b/>
          <w:bCs/>
        </w:rPr>
      </w:pPr>
      <w:r>
        <w:rPr>
          <w:rFonts w:ascii="Calibri" w:hAnsi="Calibri"/>
          <w:b/>
          <w:color w:val="009649"/>
          <w:sz w:val="28"/>
        </w:rPr>
        <w:t>Перспективи тестування</w:t>
      </w:r>
    </w:p>
    <w:p w:rsidR="00ED665B" w:rsidRPr="00907702" w:rsidRDefault="006C7D2F" w:rsidP="00DC2656">
      <w:pPr>
        <w:spacing w:before="211"/>
        <w:rPr>
          <w:rFonts w:ascii="Calibri" w:hAnsi="Calibri" w:cs="Calibri"/>
        </w:rPr>
      </w:pPr>
      <w:r>
        <w:rPr>
          <w:rFonts w:ascii="Calibri" w:hAnsi="Calibri"/>
          <w:color w:val="000000"/>
          <w:sz w:val="22"/>
        </w:rPr>
        <w:t>У цьому розділі йдеться про наступне питання:</w:t>
      </w:r>
    </w:p>
    <w:p w:rsidR="00ED665B" w:rsidRPr="00406A04" w:rsidRDefault="006C7D2F" w:rsidP="00FE7B24">
      <w:pPr>
        <w:spacing w:before="288"/>
        <w:ind w:right="5"/>
        <w:rPr>
          <w:rFonts w:ascii="Calibri" w:hAnsi="Calibri" w:cs="Calibri"/>
          <w:b/>
          <w:bCs/>
          <w:i/>
          <w:iCs/>
          <w:sz w:val="22"/>
        </w:rPr>
      </w:pPr>
      <w:r w:rsidRPr="00406A04">
        <w:rPr>
          <w:rFonts w:ascii="Calibri" w:hAnsi="Calibri"/>
          <w:b/>
          <w:i/>
          <w:color w:val="000000"/>
          <w:sz w:val="24"/>
        </w:rPr>
        <w:t>Чи є наслідки щодо доцільності, доступності, рівності можливостей для пацієнтів та стосовно забезпечення прав людини від впровадження тестів Xpert MTB/RIF і Xpert Ultra?</w:t>
      </w:r>
    </w:p>
    <w:p w:rsidR="00ED665B" w:rsidRPr="00907702" w:rsidRDefault="006C7D2F" w:rsidP="00DC2656">
      <w:pPr>
        <w:spacing w:before="178"/>
        <w:ind w:right="5"/>
        <w:jc w:val="both"/>
        <w:rPr>
          <w:rFonts w:ascii="Calibri" w:hAnsi="Calibri" w:cs="Calibri"/>
        </w:rPr>
      </w:pPr>
      <w:r>
        <w:rPr>
          <w:rFonts w:ascii="Calibri" w:hAnsi="Calibri"/>
          <w:color w:val="000000"/>
          <w:sz w:val="22"/>
        </w:rPr>
        <w:t>Результати якісного дослідження свідчать про те, що учасники приділяють велику цінність здатності Xpert</w:t>
      </w:r>
      <w:r>
        <w:rPr>
          <w:rFonts w:ascii="Calibri" w:hAnsi="Calibri"/>
          <w:color w:val="000000"/>
          <w:sz w:val="22"/>
          <w:vertAlign w:val="superscript"/>
        </w:rPr>
        <w:t>12</w:t>
      </w:r>
      <w:r>
        <w:rPr>
          <w:rFonts w:ascii="Calibri" w:hAnsi="Calibri"/>
          <w:color w:val="000000"/>
          <w:sz w:val="22"/>
        </w:rPr>
        <w:t xml:space="preserve"> покращувати діагностику резистентного до лікарських засобів туберкульозу; вони також показують вплив на пацієнтів, якщо ті не можуть отримати доступ до тестування на медикаментозну резистентність за допомогою цієї технології. Вплив на повідомлення про випадки захворювання та цінність Xpert для пошуку більшої кількості захворювань на ТБ був менш чітким через широко розповсюджене клінічне лікування, тривалий час виконання результатів та проблеми, пов’язані з доцільністю та використанням Xpert.</w:t>
      </w:r>
    </w:p>
    <w:p w:rsidR="00ED665B" w:rsidRPr="00907702" w:rsidRDefault="006C7D2F" w:rsidP="00DC2656">
      <w:pPr>
        <w:spacing w:before="168"/>
        <w:ind w:right="5"/>
        <w:jc w:val="both"/>
        <w:rPr>
          <w:rFonts w:ascii="Calibri" w:hAnsi="Calibri" w:cs="Calibri"/>
        </w:rPr>
      </w:pPr>
      <w:r>
        <w:rPr>
          <w:rFonts w:ascii="Calibri" w:hAnsi="Calibri"/>
          <w:color w:val="000000"/>
          <w:sz w:val="22"/>
        </w:rPr>
        <w:t>Хоча доступ покращився, не всі, хто потребують цього, можуть отримати доступ до тестування Xpert. Прості лабораторні процедури не автоматично перетворюються на практичну доцільність впровадження. Доцільніше припустити, що доцільність тестування Xpert залежить від готовності уряду забезпечити функціональну інфраструктуру та стабільну потужність, постачання картриджів та функціональних лабораторних послуг, інвестиції в експертизу для обробки (невідповідних) результатів, ефективні послуги з ремонту, персонал з можливостями моніторингу, функціонування системи транспортування зразків, стійкі моделі фінансування та прозорі донорські угоди та прості діагностичні алгоритми.</w:t>
      </w:r>
    </w:p>
    <w:p w:rsidR="00ED665B" w:rsidRPr="00907702" w:rsidRDefault="006C7D2F" w:rsidP="00DC2656">
      <w:pPr>
        <w:spacing w:before="168"/>
        <w:jc w:val="both"/>
        <w:rPr>
          <w:rFonts w:ascii="Calibri" w:hAnsi="Calibri" w:cs="Calibri"/>
        </w:rPr>
      </w:pPr>
      <w:r>
        <w:rPr>
          <w:rFonts w:ascii="Calibri" w:hAnsi="Calibri"/>
          <w:color w:val="000000"/>
          <w:sz w:val="22"/>
        </w:rPr>
        <w:t>Що стосується прийнятності, хоча Xpert полегшив лабораторні роботи завдяки зручності та автоматизації, перевага Xpert у лабораторії може мати небажані наслідки для моніторингу лікування за допомогою мікроскопії та для повернення до мікроскопії, якщо інструменти GeneXpert стануть нефункціональними. Довіра клініцистів до результатів Xpert відносно висока, проте проблеми з технічно-економічною можливістю та використанням означають, що клініцисти часом відштовхуються від замовлення тестів Xpert.</w:t>
      </w:r>
    </w:p>
    <w:p w:rsidR="00F44E6E" w:rsidRPr="00F44E6E" w:rsidRDefault="00F44E6E" w:rsidP="00406A04">
      <w:pPr>
        <w:spacing w:before="960"/>
        <w:rPr>
          <w:rFonts w:ascii="Calibri" w:hAnsi="Calibri" w:cs="Calibri"/>
          <w:color w:val="000000"/>
          <w:sz w:val="16"/>
          <w:szCs w:val="16"/>
          <w:u w:val="single"/>
        </w:rPr>
      </w:pPr>
      <w:r>
        <w:rPr>
          <w:rFonts w:ascii="Calibri" w:hAnsi="Calibri"/>
          <w:color w:val="000000"/>
          <w:sz w:val="16"/>
          <w:u w:val="single"/>
        </w:rPr>
        <w:tab/>
      </w:r>
      <w:r>
        <w:rPr>
          <w:rFonts w:ascii="Calibri" w:hAnsi="Calibri"/>
          <w:color w:val="000000"/>
          <w:sz w:val="16"/>
          <w:u w:val="single"/>
        </w:rPr>
        <w:tab/>
      </w:r>
      <w:r>
        <w:rPr>
          <w:rFonts w:ascii="Calibri" w:hAnsi="Calibri"/>
          <w:color w:val="000000"/>
          <w:sz w:val="16"/>
          <w:u w:val="single"/>
        </w:rPr>
        <w:tab/>
      </w:r>
    </w:p>
    <w:p w:rsidR="00ED665B" w:rsidRPr="00907702" w:rsidRDefault="006C7D2F" w:rsidP="00F44E6E">
      <w:pPr>
        <w:rPr>
          <w:rFonts w:ascii="Calibri" w:hAnsi="Calibri" w:cs="Calibri"/>
        </w:rPr>
      </w:pPr>
      <w:r>
        <w:rPr>
          <w:rFonts w:ascii="Calibri" w:hAnsi="Calibri"/>
          <w:color w:val="000000"/>
          <w:sz w:val="16"/>
          <w:vertAlign w:val="superscript"/>
        </w:rPr>
        <w:t>12</w:t>
      </w:r>
      <w:r>
        <w:rPr>
          <w:rFonts w:ascii="Calibri" w:hAnsi="Calibri"/>
          <w:color w:val="000000"/>
          <w:sz w:val="16"/>
        </w:rPr>
        <w:t xml:space="preserve"> Якщо не вказано, цей термін застосовується як до Xpert MTB/RIF, так і до Xpert Ultra.</w:t>
      </w:r>
    </w:p>
    <w:p w:rsidR="00ED665B" w:rsidRPr="00907702" w:rsidRDefault="00ED665B" w:rsidP="00DC2656">
      <w:pPr>
        <w:spacing w:before="1416"/>
        <w:rPr>
          <w:rFonts w:ascii="Calibri" w:hAnsi="Calibri" w:cs="Calibri"/>
        </w:rPr>
        <w:sectPr w:rsidR="00ED665B" w:rsidRPr="00907702">
          <w:headerReference w:type="even" r:id="rId43"/>
          <w:footerReference w:type="even" r:id="rId44"/>
          <w:pgSz w:w="11904" w:h="16838"/>
          <w:pgMar w:top="1339" w:right="1411" w:bottom="1378" w:left="1416" w:header="720" w:footer="720" w:gutter="0"/>
          <w:cols w:space="60"/>
          <w:noEndnote/>
        </w:sectPr>
      </w:pPr>
    </w:p>
    <w:p w:rsidR="00ED665B" w:rsidRPr="00F44E6E" w:rsidRDefault="006C7D2F" w:rsidP="00DC2656">
      <w:pPr>
        <w:rPr>
          <w:rFonts w:ascii="Calibri" w:hAnsi="Calibri" w:cs="Calibri"/>
          <w:b/>
          <w:bCs/>
          <w:i/>
          <w:iCs/>
        </w:rPr>
      </w:pPr>
      <w:r>
        <w:rPr>
          <w:rFonts w:ascii="Calibri" w:hAnsi="Calibri"/>
          <w:b/>
          <w:i/>
          <w:color w:val="009649"/>
          <w:sz w:val="24"/>
        </w:rPr>
        <w:lastRenderedPageBreak/>
        <w:t>Підсумок результатів</w:t>
      </w:r>
    </w:p>
    <w:p w:rsidR="00ED665B" w:rsidRPr="00907702" w:rsidRDefault="006C7D2F" w:rsidP="00DC2656">
      <w:pPr>
        <w:numPr>
          <w:ilvl w:val="0"/>
          <w:numId w:val="9"/>
        </w:numPr>
        <w:tabs>
          <w:tab w:val="left" w:pos="283"/>
        </w:tabs>
        <w:spacing w:before="264"/>
        <w:ind w:left="283" w:hanging="283"/>
        <w:jc w:val="both"/>
        <w:rPr>
          <w:rFonts w:ascii="Calibri" w:hAnsi="Calibri" w:cs="Calibri"/>
          <w:color w:val="000000"/>
          <w:sz w:val="22"/>
          <w:szCs w:val="22"/>
        </w:rPr>
      </w:pPr>
      <w:r>
        <w:rPr>
          <w:rFonts w:ascii="Calibri" w:hAnsi="Calibri"/>
          <w:b/>
          <w:color w:val="000000"/>
          <w:sz w:val="22"/>
        </w:rPr>
        <w:t>Xpert не в змозі усунути нестачу взаємодії або відсутність потужності в наданні загальних лабораторних послуг.</w:t>
      </w:r>
      <w:r>
        <w:rPr>
          <w:rFonts w:ascii="Calibri" w:hAnsi="Calibri"/>
          <w:color w:val="000000"/>
          <w:sz w:val="22"/>
        </w:rPr>
        <w:t xml:space="preserve"> Учасники оцінили можливість використання зразка, відмінного від мокротиння, але наявність апаратів GeneXpert, доступних у державному секторі, не обов’язково означає, що наявні можливості та потужності для взяття та використання цих зразків. Наприклад, послуги з гістопатологічних та бактеріологічних досліджень в одній країні можуть не надаватися, а відправлення зразка на гістопатологію у приватному секторі, наприклад, може означати, що зразок не повернеться до апарату GeneXpert у державному секторі.</w:t>
      </w:r>
    </w:p>
    <w:p w:rsidR="00ED665B" w:rsidRPr="00907702" w:rsidRDefault="006C7D2F" w:rsidP="00DC2656">
      <w:pPr>
        <w:numPr>
          <w:ilvl w:val="0"/>
          <w:numId w:val="9"/>
        </w:numPr>
        <w:tabs>
          <w:tab w:val="left" w:pos="283"/>
        </w:tabs>
        <w:spacing w:before="168"/>
        <w:ind w:left="283" w:hanging="283"/>
        <w:jc w:val="both"/>
        <w:rPr>
          <w:rFonts w:ascii="Calibri" w:hAnsi="Calibri" w:cs="Calibri"/>
          <w:color w:val="000000"/>
          <w:sz w:val="22"/>
          <w:szCs w:val="22"/>
        </w:rPr>
      </w:pPr>
      <w:r>
        <w:rPr>
          <w:rFonts w:ascii="Calibri" w:hAnsi="Calibri"/>
          <w:b/>
          <w:color w:val="000000"/>
          <w:sz w:val="22"/>
        </w:rPr>
        <w:t xml:space="preserve">Результати Xpert Ultra ускладнюють прийняття рішень. </w:t>
      </w:r>
      <w:r>
        <w:rPr>
          <w:rFonts w:ascii="Calibri" w:hAnsi="Calibri"/>
          <w:color w:val="000000"/>
          <w:sz w:val="22"/>
        </w:rPr>
        <w:t>Лабораторне та клінічне застосування результатів рідко було однозначним. Учасники дослідження повідомили про проблеми з отриманням другого свіжого зразка, коли пацієнти вийшли із закладу або яким було розпочато лікування і не могли легко здати мокроту. Якщо повторні тести проводяться після отримання результатів, виникає плутанина, якщо другий тест має відмінний від першого результат (наприклад, негативний). Деякі керівники лабораторій не знають, про які результати звітувати, а від клініцистів вимагається компетентність та досвід для проведення більш обширного обстеження для пацієнтів, які отримали позитивні результати тестів. Це спричиняє проблеми у периферійних умовах, і коли час проведення підтверджуючих тестів (наприклад, фенотипічного ТМЧ та LPA) уповільнює прийняття клінічних рішень.</w:t>
      </w:r>
    </w:p>
    <w:p w:rsidR="00ED665B" w:rsidRPr="00907702" w:rsidRDefault="006C7D2F" w:rsidP="00DC2656">
      <w:pPr>
        <w:numPr>
          <w:ilvl w:val="0"/>
          <w:numId w:val="9"/>
        </w:numPr>
        <w:tabs>
          <w:tab w:val="left" w:pos="283"/>
        </w:tabs>
        <w:spacing w:before="168"/>
        <w:ind w:left="283" w:hanging="283"/>
        <w:jc w:val="both"/>
        <w:rPr>
          <w:rFonts w:ascii="Calibri" w:hAnsi="Calibri" w:cs="Calibri"/>
          <w:color w:val="000000"/>
          <w:sz w:val="22"/>
          <w:szCs w:val="22"/>
        </w:rPr>
      </w:pPr>
      <w:r>
        <w:rPr>
          <w:rFonts w:ascii="Calibri" w:hAnsi="Calibri"/>
          <w:b/>
          <w:color w:val="000000"/>
          <w:sz w:val="22"/>
        </w:rPr>
        <w:t>Розбіжні результати повторних тестів та підтверджувальних тестів можуть викликати плутанину навколо того, що слід вважати загальноприйнятим стандартом.</w:t>
      </w:r>
      <w:r>
        <w:rPr>
          <w:rFonts w:ascii="Calibri" w:hAnsi="Calibri"/>
          <w:color w:val="000000"/>
          <w:sz w:val="22"/>
        </w:rPr>
        <w:t xml:space="preserve"> Особливо це стосується випадків, коли якість зразка виявляється низькою. Розуміння та контекстуалізація розбіжних результатів вимагає постійного навчання, підвищення компетентності та досвіду.</w:t>
      </w:r>
    </w:p>
    <w:p w:rsidR="00ED665B" w:rsidRPr="00907702" w:rsidRDefault="006C7D2F" w:rsidP="00DC2656">
      <w:pPr>
        <w:numPr>
          <w:ilvl w:val="0"/>
          <w:numId w:val="9"/>
        </w:numPr>
        <w:tabs>
          <w:tab w:val="left" w:pos="283"/>
        </w:tabs>
        <w:spacing w:before="168"/>
        <w:ind w:left="283" w:hanging="283"/>
        <w:jc w:val="both"/>
        <w:rPr>
          <w:rFonts w:ascii="Calibri" w:hAnsi="Calibri" w:cs="Calibri"/>
          <w:color w:val="000000"/>
          <w:sz w:val="22"/>
          <w:szCs w:val="22"/>
        </w:rPr>
      </w:pPr>
      <w:r>
        <w:rPr>
          <w:rFonts w:ascii="Calibri" w:hAnsi="Calibri"/>
          <w:b/>
          <w:color w:val="000000"/>
          <w:sz w:val="22"/>
        </w:rPr>
        <w:t>Збирання ретельного анамнезу хворих на ТБ є рідкістю, і «раніше проліковані пацієнти» визначаються по-різному.</w:t>
      </w:r>
      <w:r>
        <w:rPr>
          <w:rFonts w:ascii="Calibri" w:hAnsi="Calibri"/>
          <w:color w:val="000000"/>
          <w:sz w:val="22"/>
        </w:rPr>
        <w:t xml:space="preserve"> Це має наслідки для отримання потенційно хибнопозитивних результатів, отриманих при тестуванні Xpert. Потрібні чіткі вказівки щодо того, як визначити раніше пролікованих пацієнтів, як обробляти результати Xpert та як точно фіксувати результати у національних базах даних.</w:t>
      </w:r>
    </w:p>
    <w:p w:rsidR="00ED665B" w:rsidRPr="00907702" w:rsidRDefault="006C7D2F" w:rsidP="00DC2656">
      <w:pPr>
        <w:numPr>
          <w:ilvl w:val="0"/>
          <w:numId w:val="9"/>
        </w:numPr>
        <w:tabs>
          <w:tab w:val="left" w:pos="283"/>
        </w:tabs>
        <w:spacing w:before="168"/>
        <w:ind w:left="283" w:hanging="283"/>
        <w:jc w:val="both"/>
        <w:rPr>
          <w:rFonts w:ascii="Calibri" w:hAnsi="Calibri" w:cs="Calibri"/>
          <w:color w:val="000000"/>
          <w:sz w:val="22"/>
          <w:szCs w:val="22"/>
        </w:rPr>
      </w:pPr>
      <w:r>
        <w:rPr>
          <w:rFonts w:ascii="Calibri" w:hAnsi="Calibri"/>
          <w:b/>
          <w:color w:val="000000"/>
          <w:sz w:val="22"/>
        </w:rPr>
        <w:t>Відсутність кваліфікованих консультантів та інформації, яка надається пацієнтам щодо діагностики, має негативні наслідки.</w:t>
      </w:r>
      <w:r>
        <w:rPr>
          <w:rFonts w:ascii="Calibri" w:hAnsi="Calibri"/>
          <w:color w:val="000000"/>
          <w:sz w:val="22"/>
        </w:rPr>
        <w:t xml:space="preserve"> Пацієнти можуть не бажати приймати свій діагноз і вкладати час і гроші на відвідування клініки, подальші тести та лікування. Для продовження довгого процесу діагностики та лікування пацієнти потребують більш якісного консультування медичними працівниками; таке консультування повинно включати інформацію про діагностичну технологію та міркування щодо подальшого тестування.</w:t>
      </w:r>
    </w:p>
    <w:p w:rsidR="00ED665B" w:rsidRPr="00907702" w:rsidRDefault="006C7D2F" w:rsidP="00DC2656">
      <w:pPr>
        <w:numPr>
          <w:ilvl w:val="0"/>
          <w:numId w:val="9"/>
        </w:numPr>
        <w:tabs>
          <w:tab w:val="left" w:pos="283"/>
        </w:tabs>
        <w:spacing w:before="168"/>
        <w:ind w:left="283" w:hanging="283"/>
        <w:jc w:val="both"/>
        <w:rPr>
          <w:rFonts w:ascii="Calibri" w:hAnsi="Calibri" w:cs="Calibri"/>
          <w:color w:val="000000"/>
          <w:sz w:val="22"/>
          <w:szCs w:val="22"/>
        </w:rPr>
      </w:pPr>
      <w:r>
        <w:rPr>
          <w:rFonts w:ascii="Calibri" w:hAnsi="Calibri"/>
          <w:b/>
          <w:color w:val="000000"/>
          <w:sz w:val="22"/>
        </w:rPr>
        <w:t>Постійне невикористання апаратів GeneXpert ускладнюється проблемами затримок через транспортування зразків, виходу з ладу модулів, нестачі картриджів або складних діагностичних алгоритмів.</w:t>
      </w:r>
      <w:r>
        <w:rPr>
          <w:rFonts w:ascii="Calibri" w:hAnsi="Calibri"/>
          <w:color w:val="000000"/>
          <w:sz w:val="22"/>
        </w:rPr>
        <w:t xml:space="preserve"> Наявність місцевих засобів Cepheid є ключовим для ремонту. Однак велике навантаження та плинність кадрів у поєднанні з інфраструктурою та екологічними умовами все ще викликають часті виходи з ладу модулів, а ремонтні роботи можуть бути повільними або послуги вважатись недостатніми. Проблеми нестачі картриджів призводять до значних затримок та порушення робочих процесів, що призводить до недостатнього використання апаратів.</w:t>
      </w:r>
    </w:p>
    <w:p w:rsidR="00ED665B" w:rsidRPr="00F44E6E" w:rsidRDefault="006C7D2F" w:rsidP="00406A04">
      <w:pPr>
        <w:numPr>
          <w:ilvl w:val="0"/>
          <w:numId w:val="9"/>
        </w:numPr>
        <w:tabs>
          <w:tab w:val="left" w:pos="283"/>
        </w:tabs>
        <w:spacing w:before="163"/>
        <w:ind w:left="283" w:hanging="283"/>
        <w:jc w:val="distribute"/>
        <w:rPr>
          <w:rFonts w:ascii="Calibri" w:hAnsi="Calibri" w:cs="Calibri"/>
          <w:b/>
          <w:bCs/>
          <w:color w:val="000000"/>
          <w:sz w:val="22"/>
          <w:szCs w:val="22"/>
        </w:rPr>
      </w:pPr>
      <w:r>
        <w:rPr>
          <w:rFonts w:ascii="Calibri" w:hAnsi="Calibri"/>
          <w:b/>
          <w:color w:val="000000"/>
          <w:sz w:val="22"/>
        </w:rPr>
        <w:t>Діагностичні алгоритми, яких легко дотримуватися у конкретному закладі (наприклад, перевірити всіх хворих на туберкульоз), є більш вірогідними для використання та вони розширюють можливості використання, але ця простота залежить</w:t>
      </w:r>
      <w:r w:rsidR="00406A04" w:rsidRPr="00406A04">
        <w:rPr>
          <w:rFonts w:ascii="Calibri" w:hAnsi="Calibri"/>
          <w:b/>
          <w:color w:val="000000"/>
          <w:sz w:val="22"/>
        </w:rPr>
        <w:t xml:space="preserve"> </w:t>
      </w:r>
      <w:r w:rsidR="00406A04">
        <w:rPr>
          <w:rFonts w:ascii="Calibri" w:hAnsi="Calibri"/>
          <w:b/>
          <w:color w:val="000000"/>
          <w:sz w:val="22"/>
        </w:rPr>
        <w:t>від вартості та витрат.</w:t>
      </w:r>
    </w:p>
    <w:p w:rsidR="00ED665B" w:rsidRPr="00907702" w:rsidRDefault="00ED665B" w:rsidP="00DC2656">
      <w:pPr>
        <w:numPr>
          <w:ilvl w:val="0"/>
          <w:numId w:val="9"/>
        </w:numPr>
        <w:tabs>
          <w:tab w:val="left" w:pos="283"/>
        </w:tabs>
        <w:spacing w:before="163"/>
        <w:ind w:left="283" w:hanging="283"/>
        <w:jc w:val="both"/>
        <w:rPr>
          <w:rFonts w:ascii="Calibri" w:hAnsi="Calibri" w:cs="Calibri"/>
          <w:color w:val="000000"/>
          <w:sz w:val="22"/>
          <w:szCs w:val="22"/>
        </w:rPr>
        <w:sectPr w:rsidR="00ED665B" w:rsidRPr="00907702">
          <w:pgSz w:w="11904" w:h="16838"/>
          <w:pgMar w:top="1382" w:right="1416" w:bottom="1406" w:left="1416" w:header="720" w:footer="720" w:gutter="0"/>
          <w:cols w:space="60"/>
          <w:noEndnote/>
        </w:sectPr>
      </w:pPr>
    </w:p>
    <w:p w:rsidR="00ED665B" w:rsidRPr="00907702" w:rsidRDefault="006C7D2F" w:rsidP="00DC2656">
      <w:pPr>
        <w:ind w:left="283"/>
        <w:jc w:val="both"/>
        <w:rPr>
          <w:rFonts w:ascii="Calibri" w:hAnsi="Calibri" w:cs="Calibri"/>
        </w:rPr>
      </w:pPr>
      <w:r>
        <w:rPr>
          <w:rFonts w:ascii="Calibri" w:hAnsi="Calibri"/>
          <w:color w:val="000000"/>
          <w:sz w:val="22"/>
        </w:rPr>
        <w:lastRenderedPageBreak/>
        <w:t>Запаси картриджів або непомірні витрати можуть ускладнювати діагностичні алгоритми, роблячи їх менш можливими для дотримання, і, отже, недостатнього подальшого використання. В Уганді критерії придатності тестування Xpert повинні були тимчасово обмежитися певними групами пацієнтів через нестачу картриджів, що ускладнило алгоритм.</w:t>
      </w:r>
    </w:p>
    <w:p w:rsidR="00ED665B" w:rsidRPr="00907702" w:rsidRDefault="006C7D2F" w:rsidP="00DC2656">
      <w:pPr>
        <w:spacing w:before="168"/>
        <w:ind w:left="283" w:hanging="283"/>
        <w:jc w:val="both"/>
        <w:rPr>
          <w:rFonts w:ascii="Calibri" w:hAnsi="Calibri" w:cs="Calibri"/>
        </w:rPr>
      </w:pPr>
      <w:r>
        <w:rPr>
          <w:rFonts w:ascii="Calibri" w:hAnsi="Calibri"/>
          <w:color w:val="000000"/>
          <w:sz w:val="22"/>
        </w:rPr>
        <w:t xml:space="preserve">8. </w:t>
      </w:r>
      <w:r>
        <w:rPr>
          <w:rFonts w:ascii="Calibri" w:hAnsi="Calibri"/>
          <w:color w:val="000000"/>
          <w:sz w:val="22"/>
        </w:rPr>
        <w:tab/>
      </w:r>
      <w:r>
        <w:rPr>
          <w:rFonts w:ascii="Calibri" w:hAnsi="Calibri"/>
          <w:b/>
          <w:color w:val="000000"/>
          <w:sz w:val="22"/>
        </w:rPr>
        <w:t>Актуальні донорські угоди з урядами щодо впровадження нових діагностичних технологій не є достатньо прозорими, щоб громадянське суспільство могло нести відповідальність та слідкувати за ними.</w:t>
      </w:r>
      <w:r>
        <w:rPr>
          <w:rFonts w:ascii="Calibri" w:hAnsi="Calibri"/>
          <w:color w:val="000000"/>
          <w:sz w:val="22"/>
        </w:rPr>
        <w:t xml:space="preserve"> Залучення громадянського суспільства до переговорів щодо угод та соціальних договорів на національному рівні та на місцевому рівні може підвищити відповідальність та швидкість реагування урядів, що призведе до вдосконалення процесів впровадження та доступу до діагностики.</w:t>
      </w:r>
    </w:p>
    <w:p w:rsidR="00ED665B" w:rsidRPr="00907702" w:rsidRDefault="006C7D2F" w:rsidP="00DC2656">
      <w:pPr>
        <w:spacing w:before="211"/>
        <w:rPr>
          <w:rFonts w:ascii="Calibri" w:hAnsi="Calibri" w:cs="Calibri"/>
        </w:rPr>
      </w:pPr>
      <w:r>
        <w:rPr>
          <w:rFonts w:ascii="Calibri" w:hAnsi="Calibri"/>
          <w:b/>
          <w:color w:val="000000"/>
          <w:sz w:val="22"/>
        </w:rPr>
        <w:t xml:space="preserve">Вебдодаток 4.6: </w:t>
      </w:r>
      <w:r>
        <w:rPr>
          <w:rFonts w:ascii="Calibri" w:hAnsi="Calibri"/>
          <w:color w:val="000000"/>
          <w:sz w:val="22"/>
        </w:rPr>
        <w:t>Звіт про перспективи тестування Xpert: результати якісного дослідження.</w:t>
      </w:r>
    </w:p>
    <w:p w:rsidR="00ED665B" w:rsidRPr="00F44E6E" w:rsidRDefault="006C7D2F" w:rsidP="00DC2656">
      <w:pPr>
        <w:spacing w:before="245"/>
        <w:rPr>
          <w:rFonts w:ascii="Calibri" w:hAnsi="Calibri" w:cs="Calibri"/>
          <w:b/>
          <w:bCs/>
        </w:rPr>
      </w:pPr>
      <w:r>
        <w:rPr>
          <w:rFonts w:ascii="Calibri" w:hAnsi="Calibri"/>
          <w:b/>
          <w:color w:val="009649"/>
          <w:sz w:val="28"/>
        </w:rPr>
        <w:t>Пріоритети наукових досліджень</w:t>
      </w:r>
    </w:p>
    <w:p w:rsidR="00ED665B" w:rsidRPr="00907702" w:rsidRDefault="006C7D2F" w:rsidP="00406A04">
      <w:pPr>
        <w:numPr>
          <w:ilvl w:val="0"/>
          <w:numId w:val="2"/>
        </w:numPr>
        <w:tabs>
          <w:tab w:val="left" w:pos="240"/>
        </w:tabs>
        <w:spacing w:before="168"/>
        <w:ind w:left="240" w:right="5" w:hanging="240"/>
        <w:jc w:val="both"/>
        <w:rPr>
          <w:rFonts w:ascii="Calibri" w:hAnsi="Calibri" w:cs="Calibri"/>
          <w:color w:val="009649"/>
          <w:sz w:val="22"/>
          <w:szCs w:val="22"/>
        </w:rPr>
      </w:pPr>
      <w:r>
        <w:rPr>
          <w:rFonts w:ascii="Calibri" w:hAnsi="Calibri"/>
          <w:color w:val="000000"/>
          <w:sz w:val="22"/>
        </w:rPr>
        <w:t>Оцінка впливу тестування Xpert Ultra на важливі для пацієнта результати (вилікування, смертність, час діагностики та час початку лікування).</w:t>
      </w:r>
    </w:p>
    <w:p w:rsidR="00ED665B" w:rsidRPr="00907702" w:rsidRDefault="006C7D2F" w:rsidP="00406A04">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Оцінка діагностичної точності Xpert Ultra у зразках шлункового аспірату чи калу на легеневий ТБ та позалегеневий ТБ у дітей.</w:t>
      </w:r>
    </w:p>
    <w:p w:rsidR="00ED665B" w:rsidRPr="00907702" w:rsidRDefault="006C7D2F" w:rsidP="00406A04">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Оцінка комбінаторної переваги декількох видів зразків. Дані, що свідчать про те, що комбінація неінвазивних зразків є порівняно з традиційними зразками шлункового аспірату або індукованими зразками мокротами, недостатні.</w:t>
      </w:r>
    </w:p>
    <w:p w:rsidR="00ED665B" w:rsidRPr="00907702" w:rsidRDefault="006C7D2F" w:rsidP="00406A04">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Додаткові оперативні та якісні дослідження для визначення найкращого підходу до збору малоінвазивних зразків.</w:t>
      </w:r>
    </w:p>
    <w:p w:rsidR="00ED665B" w:rsidRPr="00907702" w:rsidRDefault="006C7D2F" w:rsidP="00406A04">
      <w:pPr>
        <w:numPr>
          <w:ilvl w:val="0"/>
          <w:numId w:val="2"/>
        </w:numPr>
        <w:tabs>
          <w:tab w:val="left" w:pos="240"/>
        </w:tabs>
        <w:ind w:left="240" w:right="10" w:hanging="240"/>
        <w:jc w:val="both"/>
        <w:rPr>
          <w:rFonts w:ascii="Calibri" w:hAnsi="Calibri" w:cs="Calibri"/>
          <w:color w:val="009649"/>
          <w:sz w:val="22"/>
          <w:szCs w:val="22"/>
        </w:rPr>
      </w:pPr>
      <w:r>
        <w:rPr>
          <w:rFonts w:ascii="Calibri" w:hAnsi="Calibri"/>
          <w:color w:val="000000"/>
          <w:sz w:val="22"/>
        </w:rPr>
        <w:t>Дослідження впровадження методу всмоктування для аспірату носоглотки, що підходить в умовах з низьким рівнем кваліфікації або з низьким рівнем ресурсів.</w:t>
      </w:r>
    </w:p>
    <w:p w:rsidR="00ED665B" w:rsidRPr="00907702" w:rsidRDefault="006C7D2F" w:rsidP="00406A04">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Серйозні оперативні дослідження щодо використання калу як діагностичного зразка з точки зору інтеграції в звичайні діагностичні клінічні шляхи, визначення лабораторних протоколів, які успішно врівноважують простоту впровадження та діагностичну ефективність, а також вплив тестування калу на важливі для пацієнта результати. Існує нестача якісних досліджень, що визначають переваги дитини та сім’ї та прийнятність порівняльних діагностичних підходів.</w:t>
      </w:r>
    </w:p>
    <w:p w:rsidR="00ED665B" w:rsidRPr="00907702" w:rsidRDefault="006C7D2F" w:rsidP="00406A04">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Визначення вдосконаленого референс стандарту, який точно визначає захворювання на ТБ у дітей та в олігобацилярних зразках, оскільки чутливість усіх доступних діагностичних засобів є недостатньою.</w:t>
      </w:r>
    </w:p>
    <w:p w:rsidR="00ED665B" w:rsidRPr="00907702" w:rsidRDefault="006C7D2F" w:rsidP="00406A04">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Розробка нових інструментів для правильної діагностики більшої частки захворювань на ТБ у дітей. В ідеалі нові інструменти будуть швидкими, доступними, можливими та прийнятними для дітей та їхніх батьків.</w:t>
      </w:r>
    </w:p>
    <w:p w:rsidR="00ED665B" w:rsidRPr="00907702" w:rsidRDefault="006C7D2F" w:rsidP="00406A04">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Порівняння різних тестів, включаючи Xpert MTB/RIF та Xpert Ultra, щоб визначити, які тести (або стратегії) дають високу діагностичну точність. Краща структура дослідження – це така модель, у якій всі учасники отримують усі доступні діагностичні тести або випадково призначаються для отримання певного тесту. Дослідження повинні включати дітей та ВІЛ-позитивних людей. Майбутні дослідження повинні визнати занепокоєння, пов’язане з посівом як референс стандартом, а також розглянути шляхи вирішення цього обмеження.</w:t>
      </w:r>
    </w:p>
    <w:p w:rsidR="00ED665B" w:rsidRPr="00907702" w:rsidRDefault="006C7D2F" w:rsidP="00406A04">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Розробка швидких діагностичних тестів на позалегеневий ТБ для проведення у місці лікування. Дослідницькі групи повинні зосередитися на розробці діагностичних тестів та стратегій, які використовують легко доступні клінічні зразки, такі як сеча, а не зразки, які потребують інвазивних процедур збору.</w:t>
      </w:r>
    </w:p>
    <w:p w:rsidR="00ED665B" w:rsidRPr="00907702" w:rsidRDefault="006C7D2F" w:rsidP="00406A04">
      <w:pPr>
        <w:numPr>
          <w:ilvl w:val="0"/>
          <w:numId w:val="2"/>
        </w:numPr>
        <w:tabs>
          <w:tab w:val="left" w:pos="240"/>
        </w:tabs>
        <w:ind w:left="266" w:hanging="266"/>
        <w:jc w:val="both"/>
        <w:rPr>
          <w:rFonts w:ascii="Calibri" w:hAnsi="Calibri" w:cs="Calibri"/>
          <w:color w:val="009649"/>
          <w:sz w:val="22"/>
          <w:szCs w:val="22"/>
        </w:rPr>
      </w:pPr>
      <w:r>
        <w:rPr>
          <w:rFonts w:ascii="Calibri" w:hAnsi="Calibri"/>
          <w:color w:val="000000"/>
          <w:sz w:val="22"/>
        </w:rPr>
        <w:t>Оперативні дослідження для забезпечення оптимального використання тестів в умовах за призначенням.</w:t>
      </w:r>
    </w:p>
    <w:p w:rsidR="00ED665B" w:rsidRPr="00907702" w:rsidRDefault="00ED665B" w:rsidP="00DC2656">
      <w:pPr>
        <w:numPr>
          <w:ilvl w:val="0"/>
          <w:numId w:val="2"/>
        </w:numPr>
        <w:tabs>
          <w:tab w:val="left" w:pos="240"/>
        </w:tabs>
        <w:rPr>
          <w:rFonts w:ascii="Calibri" w:hAnsi="Calibri" w:cs="Calibri"/>
          <w:color w:val="009649"/>
          <w:sz w:val="22"/>
          <w:szCs w:val="22"/>
        </w:rPr>
        <w:sectPr w:rsidR="00ED665B" w:rsidRPr="00907702">
          <w:pgSz w:w="11904" w:h="16838"/>
          <w:pgMar w:top="1339" w:right="1416" w:bottom="1622"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435"/>
        <w:gridCol w:w="6269"/>
        <w:gridCol w:w="3312"/>
      </w:tblGrid>
      <w:tr w:rsidR="00ED665B" w:rsidRPr="00F44E6E" w:rsidTr="00FE7B24">
        <w:trPr>
          <w:trHeight w:val="794"/>
        </w:trPr>
        <w:tc>
          <w:tcPr>
            <w:tcW w:w="14016" w:type="dxa"/>
            <w:gridSpan w:val="3"/>
            <w:tcBorders>
              <w:top w:val="nil"/>
              <w:left w:val="nil"/>
              <w:bottom w:val="single" w:sz="8" w:space="0" w:color="009649"/>
              <w:right w:val="nil"/>
            </w:tcBorders>
            <w:shd w:val="clear" w:color="auto" w:fill="FFFFFF"/>
          </w:tcPr>
          <w:p w:rsidR="00ED665B" w:rsidRPr="00F44E6E" w:rsidRDefault="006C7D2F" w:rsidP="00FE7B24">
            <w:pPr>
              <w:spacing w:after="240"/>
              <w:rPr>
                <w:rFonts w:ascii="Calibri" w:hAnsi="Calibri" w:cs="Calibri"/>
                <w:b/>
                <w:bCs/>
              </w:rPr>
            </w:pPr>
            <w:r>
              <w:rPr>
                <w:rFonts w:ascii="Calibri" w:hAnsi="Calibri"/>
                <w:b/>
                <w:color w:val="009649"/>
                <w:sz w:val="28"/>
              </w:rPr>
              <w:lastRenderedPageBreak/>
              <w:t>Підсумковий огляд змін у керівництві 2013 року та оновленому керівництві 2020 року</w:t>
            </w:r>
          </w:p>
        </w:tc>
      </w:tr>
      <w:tr w:rsidR="00ED665B" w:rsidRPr="00F44E6E" w:rsidTr="00FE7B24">
        <w:trPr>
          <w:trHeight w:val="794"/>
        </w:trPr>
        <w:tc>
          <w:tcPr>
            <w:tcW w:w="443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406A04" w:rsidRDefault="009B3894" w:rsidP="00FE7B24">
            <w:pPr>
              <w:spacing w:line="216" w:lineRule="auto"/>
              <w:ind w:left="38" w:right="230"/>
              <w:rPr>
                <w:rFonts w:ascii="Calibri" w:hAnsi="Calibri" w:cs="Calibri"/>
                <w:b/>
                <w:bCs/>
                <w:lang w:val="ru-RU"/>
              </w:rPr>
            </w:pPr>
            <w:r w:rsidRPr="009B3894">
              <w:rPr>
                <w:rFonts w:ascii="Calibri" w:hAnsi="Calibri"/>
                <w:b/>
                <w:color w:val="000000"/>
              </w:rPr>
              <w:t xml:space="preserve">Тест Xpert MTB/RIF для діагностики легеневого та позалегеневого туберкульозу у дорослих та дітей. Оновлення політики (2013) </w:t>
            </w:r>
            <w:r w:rsidRPr="009B3894">
              <w:rPr>
                <w:rFonts w:ascii="Calibri" w:hAnsi="Calibri"/>
                <w:b/>
                <w:i/>
                <w:color w:val="000000"/>
              </w:rPr>
              <w:t>(11)</w:t>
            </w:r>
          </w:p>
        </w:tc>
        <w:tc>
          <w:tcPr>
            <w:tcW w:w="6269"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F44E6E" w:rsidRDefault="009B3894" w:rsidP="00FE7B24">
            <w:pPr>
              <w:spacing w:line="216" w:lineRule="auto"/>
              <w:ind w:left="58" w:right="134"/>
              <w:rPr>
                <w:rFonts w:ascii="Calibri" w:hAnsi="Calibri" w:cs="Calibri"/>
                <w:b/>
                <w:bCs/>
              </w:rPr>
            </w:pPr>
            <w:r w:rsidRPr="009B3894">
              <w:rPr>
                <w:rFonts w:ascii="Calibri" w:hAnsi="Calibri"/>
                <w:b/>
                <w:color w:val="000000"/>
              </w:rPr>
              <w:t xml:space="preserve">Молекулярні аналізи, призначені в якості початкових тестів для діагностики легеневого та позалегеневого туберкульозу та резистентності до рифампіцину у дорослих та дітей: інформаційний лист. Оновлення політики (2020) </w:t>
            </w:r>
            <w:r w:rsidRPr="009B3894">
              <w:rPr>
                <w:rFonts w:ascii="Calibri" w:hAnsi="Calibri"/>
                <w:b/>
                <w:i/>
                <w:color w:val="000000"/>
              </w:rPr>
              <w:t>(12)</w:t>
            </w:r>
          </w:p>
        </w:tc>
        <w:tc>
          <w:tcPr>
            <w:tcW w:w="331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F44E6E" w:rsidRDefault="006C7D2F" w:rsidP="00FE7B24">
            <w:pPr>
              <w:spacing w:line="216" w:lineRule="auto"/>
              <w:ind w:left="53"/>
              <w:rPr>
                <w:rFonts w:ascii="Calibri" w:hAnsi="Calibri" w:cs="Calibri"/>
                <w:b/>
                <w:bCs/>
              </w:rPr>
            </w:pPr>
            <w:r>
              <w:rPr>
                <w:rFonts w:ascii="Calibri" w:hAnsi="Calibri"/>
                <w:b/>
                <w:color w:val="000000"/>
              </w:rPr>
              <w:t>Зміни</w:t>
            </w:r>
          </w:p>
        </w:tc>
      </w:tr>
      <w:tr w:rsidR="00ED665B" w:rsidRPr="00907702" w:rsidTr="00FE7B24">
        <w:trPr>
          <w:trHeight w:val="794"/>
        </w:trPr>
        <w:tc>
          <w:tcPr>
            <w:tcW w:w="4435" w:type="dxa"/>
            <w:tcBorders>
              <w:top w:val="single" w:sz="8" w:space="0" w:color="009649"/>
              <w:left w:val="nil"/>
              <w:bottom w:val="single" w:sz="8" w:space="0" w:color="009649"/>
              <w:right w:val="nil"/>
            </w:tcBorders>
            <w:shd w:val="clear" w:color="auto" w:fill="FFFFFF"/>
          </w:tcPr>
          <w:p w:rsidR="00ED665B" w:rsidRPr="00907702" w:rsidRDefault="006C7D2F" w:rsidP="00FE7B24">
            <w:pPr>
              <w:spacing w:line="216" w:lineRule="auto"/>
              <w:ind w:left="34"/>
              <w:rPr>
                <w:rFonts w:ascii="Calibri" w:hAnsi="Calibri" w:cs="Calibri"/>
              </w:rPr>
            </w:pPr>
            <w:r>
              <w:rPr>
                <w:rFonts w:ascii="Calibri" w:hAnsi="Calibri"/>
                <w:color w:val="000000"/>
              </w:rPr>
              <w:t>Використання Xpert MTB/RIF для діагностики легеневого ТБ та резистентності до рифампіцину у дорослих та дітей</w:t>
            </w:r>
          </w:p>
          <w:p w:rsidR="00ED665B" w:rsidRPr="00907702" w:rsidRDefault="006C7D2F" w:rsidP="00FE7B24">
            <w:pPr>
              <w:tabs>
                <w:tab w:val="left" w:pos="389"/>
              </w:tabs>
              <w:spacing w:line="216" w:lineRule="auto"/>
              <w:ind w:left="346" w:hanging="312"/>
              <w:rPr>
                <w:rFonts w:ascii="Calibri" w:hAnsi="Calibri" w:cs="Calibri"/>
              </w:rPr>
            </w:pPr>
            <w:r>
              <w:rPr>
                <w:rFonts w:ascii="Calibri" w:hAnsi="Calibri"/>
                <w:color w:val="000000"/>
              </w:rPr>
              <w:t>1.</w:t>
            </w:r>
            <w:r>
              <w:rPr>
                <w:rFonts w:ascii="Calibri" w:hAnsi="Calibri"/>
                <w:color w:val="000000"/>
              </w:rPr>
              <w:tab/>
              <w:t>Xpert MTB/RIF слід використовувати замість звичайної мікроскопії, посіву та ТМЧ в якості первинного діагностичного тесту у дорослих людей, які підозрюються на наявність МЛС-ТБ або ВІЛ-асоційований ТБ (сильна рекомендація, висока якість доказових даних).</w:t>
            </w:r>
          </w:p>
          <w:p w:rsidR="00ED665B" w:rsidRPr="00907702" w:rsidRDefault="006C7D2F" w:rsidP="00FE7B24">
            <w:pPr>
              <w:tabs>
                <w:tab w:val="left" w:pos="389"/>
              </w:tabs>
              <w:spacing w:line="216" w:lineRule="auto"/>
              <w:ind w:left="346" w:hanging="312"/>
              <w:rPr>
                <w:rFonts w:ascii="Calibri" w:hAnsi="Calibri" w:cs="Calibri"/>
              </w:rPr>
            </w:pPr>
            <w:r>
              <w:rPr>
                <w:rFonts w:ascii="Calibri" w:hAnsi="Calibri"/>
                <w:color w:val="000000"/>
              </w:rPr>
              <w:t>2.</w:t>
            </w:r>
            <w:r>
              <w:rPr>
                <w:rFonts w:ascii="Calibri" w:hAnsi="Calibri"/>
                <w:color w:val="000000"/>
              </w:rPr>
              <w:tab/>
              <w:t>Xpert MTB/RIF слід використовувати замість звичайної мікроскопії, посіву та ТМЧ в якості первинного діагностичного тесту у дітей, які підозрюються на наявність МЛС-ТБ або ВІЛ-асоційованого ТБ (сильна рекомендація, дуже низька якість доказових даних).</w:t>
            </w:r>
          </w:p>
          <w:p w:rsidR="00ED665B" w:rsidRPr="00907702" w:rsidRDefault="006C7D2F" w:rsidP="00FE7B24">
            <w:pPr>
              <w:tabs>
                <w:tab w:val="left" w:pos="389"/>
              </w:tabs>
              <w:spacing w:line="216" w:lineRule="auto"/>
              <w:ind w:left="346" w:hanging="312"/>
              <w:rPr>
                <w:rFonts w:ascii="Calibri" w:hAnsi="Calibri" w:cs="Calibri"/>
              </w:rPr>
            </w:pPr>
            <w:r>
              <w:rPr>
                <w:rFonts w:ascii="Calibri" w:hAnsi="Calibri"/>
                <w:color w:val="000000"/>
              </w:rPr>
              <w:t>3.</w:t>
            </w:r>
            <w:r>
              <w:rPr>
                <w:rFonts w:ascii="Calibri" w:hAnsi="Calibri"/>
                <w:color w:val="000000"/>
              </w:rPr>
              <w:tab/>
              <w:t>Xpert MTB/RIF може використовуватися замість звичайної мікроскопії та посіву в якості первинного діагностичного тесту у дорослих, які підозрюються на наявність ТБ (умовна рекомендація, що підтверджується ресурсами, висока якість доказових даних).</w:t>
            </w:r>
          </w:p>
          <w:p w:rsidR="00ED665B" w:rsidRPr="00907702" w:rsidRDefault="006C7D2F" w:rsidP="00FE7B24">
            <w:pPr>
              <w:tabs>
                <w:tab w:val="left" w:pos="389"/>
              </w:tabs>
              <w:spacing w:line="216" w:lineRule="auto"/>
              <w:ind w:left="346" w:hanging="312"/>
              <w:rPr>
                <w:rFonts w:ascii="Calibri" w:hAnsi="Calibri" w:cs="Calibri"/>
              </w:rPr>
            </w:pPr>
            <w:r>
              <w:rPr>
                <w:rFonts w:ascii="Calibri" w:hAnsi="Calibri"/>
                <w:color w:val="000000"/>
              </w:rPr>
              <w:t>4.</w:t>
            </w:r>
            <w:r>
              <w:rPr>
                <w:rFonts w:ascii="Calibri" w:hAnsi="Calibri"/>
                <w:color w:val="000000"/>
              </w:rPr>
              <w:tab/>
              <w:t>Xpert MTB/RIF може використовуватися замість звичайної мікроскопії та посіву в якості первинного діагностичного тесту у дітей, які підозрюються на наявність ТБ (умовна рекомендація, що підтверджується ресурсами, дуже низька якість доказових даних).</w:t>
            </w:r>
          </w:p>
          <w:p w:rsidR="00ED665B" w:rsidRPr="00907702" w:rsidRDefault="006C7D2F" w:rsidP="00FE7B24">
            <w:pPr>
              <w:tabs>
                <w:tab w:val="left" w:pos="389"/>
              </w:tabs>
              <w:spacing w:line="216" w:lineRule="auto"/>
              <w:ind w:left="346" w:hanging="312"/>
              <w:rPr>
                <w:rFonts w:ascii="Calibri" w:hAnsi="Calibri" w:cs="Calibri"/>
              </w:rPr>
            </w:pPr>
            <w:r>
              <w:rPr>
                <w:rFonts w:ascii="Calibri" w:hAnsi="Calibri"/>
                <w:color w:val="000000"/>
              </w:rPr>
              <w:t>5.</w:t>
            </w:r>
            <w:r>
              <w:rPr>
                <w:rFonts w:ascii="Calibri" w:hAnsi="Calibri"/>
                <w:color w:val="000000"/>
              </w:rPr>
              <w:tab/>
              <w:t>Xpert MTB/RIF може використовуватися в якості подальшого тесту на мікроскопію у дорослих людей, які підозрюються на ТБ, але без ризику виникнення МЛС-ТБ або ВІЛ-асоційованого ТБ, особливо коли необхідні подальші тестування для мазок-негативних зразків (умовна рекомендація, що підтверджує наслідки для ресурсів, висока якість доказових даних).</w:t>
            </w:r>
          </w:p>
        </w:tc>
        <w:tc>
          <w:tcPr>
            <w:tcW w:w="6269" w:type="dxa"/>
            <w:tcBorders>
              <w:top w:val="single" w:sz="8" w:space="0" w:color="009649"/>
              <w:left w:val="nil"/>
              <w:bottom w:val="single" w:sz="8" w:space="0" w:color="009649"/>
              <w:right w:val="nil"/>
            </w:tcBorders>
            <w:shd w:val="clear" w:color="auto" w:fill="FFFFFF"/>
          </w:tcPr>
          <w:p w:rsidR="00ED665B" w:rsidRPr="00907702" w:rsidRDefault="006C7D2F" w:rsidP="00FE7B24">
            <w:pPr>
              <w:spacing w:line="216" w:lineRule="auto"/>
              <w:ind w:left="34" w:right="53"/>
              <w:rPr>
                <w:rFonts w:ascii="Calibri" w:hAnsi="Calibri" w:cs="Calibri"/>
              </w:rPr>
            </w:pPr>
            <w:r>
              <w:rPr>
                <w:rFonts w:ascii="Calibri" w:hAnsi="Calibri"/>
                <w:color w:val="000000"/>
              </w:rPr>
              <w:t>Xpert MTB/RIF та Xpert Ultra в якості первинних тестів для дорослих та дітей з ознаками та симптомами легеневого ТБ</w:t>
            </w:r>
          </w:p>
          <w:p w:rsidR="00ED665B" w:rsidRPr="00907702" w:rsidRDefault="006C7D2F" w:rsidP="00FE7B24">
            <w:pPr>
              <w:tabs>
                <w:tab w:val="left" w:pos="403"/>
              </w:tabs>
              <w:spacing w:line="216" w:lineRule="auto"/>
              <w:ind w:left="346" w:right="53" w:hanging="312"/>
              <w:rPr>
                <w:rFonts w:ascii="Calibri" w:hAnsi="Calibri" w:cs="Calibri"/>
              </w:rPr>
            </w:pPr>
            <w:r>
              <w:rPr>
                <w:rFonts w:ascii="Calibri" w:hAnsi="Calibri"/>
                <w:color w:val="000000"/>
              </w:rPr>
              <w:t>1.</w:t>
            </w:r>
            <w:r>
              <w:rPr>
                <w:rFonts w:ascii="Calibri" w:hAnsi="Calibri"/>
                <w:color w:val="000000"/>
              </w:rPr>
              <w:tab/>
              <w:t>У дорослих з ознаками та симптомами легеневого ТБ слід застосовувати Xpert MTB/RIF в якості первинного діагностичного тесту на виявлення ТБ та для виявлення резистентності до рифампіцину замість звичайної мікроскопії / посіву та ТМЧ (сильна рекомендація, висока якість доказових даних щодо точності тесту та помірна якість доказових даних щодо важливих для пацієнта результатів).</w:t>
            </w:r>
          </w:p>
          <w:p w:rsidR="00ED665B" w:rsidRPr="00907702" w:rsidRDefault="006C7D2F" w:rsidP="00FE7B24">
            <w:pPr>
              <w:tabs>
                <w:tab w:val="left" w:pos="403"/>
              </w:tabs>
              <w:spacing w:line="216" w:lineRule="auto"/>
              <w:ind w:left="346" w:right="53" w:hanging="312"/>
              <w:rPr>
                <w:rFonts w:ascii="Calibri" w:hAnsi="Calibri" w:cs="Calibri"/>
              </w:rPr>
            </w:pPr>
            <w:r>
              <w:rPr>
                <w:rFonts w:ascii="Calibri" w:hAnsi="Calibri"/>
                <w:color w:val="000000"/>
              </w:rPr>
              <w:t>2.</w:t>
            </w:r>
            <w:r>
              <w:rPr>
                <w:rFonts w:ascii="Calibri" w:hAnsi="Calibri"/>
                <w:color w:val="000000"/>
              </w:rPr>
              <w:tab/>
              <w:t>У дорослих людей з ознаками та симптомами легеневого ТБ та без захворювання на ТБ в анамнезі (&lt;5 років після закінчення лікування) або з віддаленим анамнезом лікування ТБ (&gt;5 років з моменту закінчення лікування) слід використовувати Xpert Ultra в якості первинного діагностичного тесту для виявлення ТБ та резистентності до рифампіцину у мокротинні, а не мікроскопію мазка/бакпосів та фенотипічного ТМЧ (сильна рекомендація, висока якість доказових даних щодо точності тесту).</w:t>
            </w:r>
          </w:p>
          <w:p w:rsidR="00ED665B" w:rsidRPr="00907702" w:rsidRDefault="006C7D2F" w:rsidP="00FE7B24">
            <w:pPr>
              <w:tabs>
                <w:tab w:val="left" w:pos="403"/>
              </w:tabs>
              <w:spacing w:line="216" w:lineRule="auto"/>
              <w:ind w:left="346" w:right="53" w:hanging="312"/>
              <w:rPr>
                <w:rFonts w:ascii="Calibri" w:hAnsi="Calibri" w:cs="Calibri"/>
              </w:rPr>
            </w:pPr>
            <w:r>
              <w:rPr>
                <w:rFonts w:ascii="Calibri" w:hAnsi="Calibri"/>
                <w:color w:val="000000"/>
              </w:rPr>
              <w:t>3.</w:t>
            </w:r>
            <w:r>
              <w:rPr>
                <w:rFonts w:ascii="Calibri" w:hAnsi="Calibri"/>
                <w:color w:val="000000"/>
              </w:rPr>
              <w:tab/>
              <w:t>У дорослих з ознаками та симптомами легеневого ТБ та захворюванням на ТБ в анамнезі із закінченням лікування протягом останніх 5 років можна використовувати Xpert Ultra в якості первинного діагностичного тесту для виявлення ТБ та резистентності до рифампіцину у мокротинні замість мікроскопії мазка / посіву та фенотипічного ТМЧ (умовна рекомендація, низька якість доказових даних щодо точності тесту).</w:t>
            </w:r>
          </w:p>
          <w:p w:rsidR="00ED665B" w:rsidRPr="00907702" w:rsidRDefault="006C7D2F" w:rsidP="00FE7B24">
            <w:pPr>
              <w:tabs>
                <w:tab w:val="left" w:pos="403"/>
              </w:tabs>
              <w:spacing w:line="216" w:lineRule="auto"/>
              <w:ind w:left="346" w:right="53" w:hanging="312"/>
              <w:rPr>
                <w:rFonts w:ascii="Calibri" w:hAnsi="Calibri" w:cs="Calibri"/>
              </w:rPr>
            </w:pPr>
            <w:r>
              <w:rPr>
                <w:rFonts w:ascii="Calibri" w:hAnsi="Calibri"/>
                <w:color w:val="000000"/>
              </w:rPr>
              <w:t>4.</w:t>
            </w:r>
            <w:r>
              <w:rPr>
                <w:rFonts w:ascii="Calibri" w:hAnsi="Calibri"/>
                <w:color w:val="000000"/>
              </w:rPr>
              <w:tab/>
              <w:t>У дітей з ознаками та симптомами легеневого ТБ слід застосовувати Xpert MTB/RIF в якості первинного діагностичного тесту на ТБ замість мікроскопії мазка / посіву у мокротинні (помірна якість доказових даних щодо точності тесту), шлунковому аспіраті (низька достовірність доказів щодо точності тесту), аспіраті носоглотки (помірна якість доказових даних щодо точності тесту) або зразках калу (низька якість доказових даних щодо точності тесту) (сильна рекомендація).</w:t>
            </w:r>
          </w:p>
          <w:p w:rsidR="00ED665B" w:rsidRPr="00907702" w:rsidRDefault="006C7D2F" w:rsidP="00FE7B24">
            <w:pPr>
              <w:tabs>
                <w:tab w:val="left" w:pos="403"/>
              </w:tabs>
              <w:spacing w:line="216" w:lineRule="auto"/>
              <w:ind w:left="346" w:right="53" w:hanging="312"/>
              <w:rPr>
                <w:rFonts w:ascii="Calibri" w:hAnsi="Calibri" w:cs="Calibri"/>
              </w:rPr>
            </w:pPr>
            <w:r>
              <w:rPr>
                <w:rFonts w:ascii="Calibri" w:hAnsi="Calibri"/>
                <w:color w:val="000000"/>
              </w:rPr>
              <w:t>5.</w:t>
            </w:r>
            <w:r>
              <w:rPr>
                <w:rFonts w:ascii="Calibri" w:hAnsi="Calibri"/>
                <w:color w:val="000000"/>
              </w:rPr>
              <w:tab/>
              <w:t>У дітей з ознаками та симптомами легеневого ТБ слід застосовувати Xpert Ultra в якості первинного діагностичного тесту на виявлення ТБ замість мікроскопії мазка / посіву у мокротинні (низька якість доказових даних щодо точності тесту) та аспіраті носоглотки (дуже низька якість доказових даних щодо точності тесту) (сильна рекомендація).</w:t>
            </w:r>
          </w:p>
        </w:tc>
        <w:tc>
          <w:tcPr>
            <w:tcW w:w="3312" w:type="dxa"/>
            <w:tcBorders>
              <w:top w:val="single" w:sz="8" w:space="0" w:color="009649"/>
              <w:left w:val="nil"/>
              <w:bottom w:val="single" w:sz="8" w:space="0" w:color="009649"/>
              <w:right w:val="nil"/>
            </w:tcBorders>
            <w:shd w:val="clear" w:color="auto" w:fill="FFFFFF"/>
          </w:tcPr>
          <w:p w:rsidR="00ED665B" w:rsidRPr="00907702" w:rsidRDefault="006C7D2F" w:rsidP="00FE7B24">
            <w:pPr>
              <w:tabs>
                <w:tab w:val="left" w:pos="398"/>
              </w:tabs>
              <w:spacing w:line="216" w:lineRule="auto"/>
              <w:ind w:left="346" w:right="240" w:hanging="312"/>
              <w:rPr>
                <w:rFonts w:ascii="Calibri" w:hAnsi="Calibri" w:cs="Calibri"/>
              </w:rPr>
            </w:pPr>
            <w:r>
              <w:rPr>
                <w:rFonts w:ascii="Calibri" w:hAnsi="Calibri"/>
                <w:color w:val="000000"/>
              </w:rPr>
              <w:t>1.</w:t>
            </w:r>
            <w:r>
              <w:rPr>
                <w:rFonts w:ascii="Calibri" w:hAnsi="Calibri"/>
                <w:color w:val="000000"/>
              </w:rPr>
              <w:tab/>
              <w:t>Сильна рекомендація щодо застосування Xpert MTB/RIF як первинного тесту на виявлення ТБ та резистентності до рифампіцину у всіх дорослих та дітей з ознаками та симптомами легеневого ТБ.</w:t>
            </w:r>
          </w:p>
          <w:p w:rsidR="00ED665B" w:rsidRPr="00907702" w:rsidRDefault="006C7D2F" w:rsidP="00FE7B24">
            <w:pPr>
              <w:tabs>
                <w:tab w:val="left" w:pos="398"/>
              </w:tabs>
              <w:spacing w:line="216" w:lineRule="auto"/>
              <w:ind w:left="346" w:right="240" w:hanging="312"/>
              <w:rPr>
                <w:rFonts w:ascii="Calibri" w:hAnsi="Calibri" w:cs="Calibri"/>
              </w:rPr>
            </w:pPr>
            <w:r>
              <w:rPr>
                <w:rFonts w:ascii="Calibri" w:hAnsi="Calibri"/>
                <w:color w:val="000000"/>
              </w:rPr>
              <w:t>2.</w:t>
            </w:r>
            <w:r>
              <w:rPr>
                <w:rFonts w:ascii="Calibri" w:hAnsi="Calibri"/>
                <w:color w:val="000000"/>
              </w:rPr>
              <w:tab/>
              <w:t>Xpert Ultra рекомендується до застосування в якості первинного тесту на ТБ та резистентність до рифампіцину у всіх дорослих та дітей з ознаками та симптомами легеневого ТБ.</w:t>
            </w:r>
          </w:p>
          <w:p w:rsidR="00ED665B" w:rsidRPr="00907702" w:rsidRDefault="006C7D2F" w:rsidP="00FE7B24">
            <w:pPr>
              <w:tabs>
                <w:tab w:val="left" w:pos="398"/>
              </w:tabs>
              <w:spacing w:line="216" w:lineRule="auto"/>
              <w:ind w:left="346" w:right="240" w:hanging="312"/>
              <w:rPr>
                <w:rFonts w:ascii="Calibri" w:hAnsi="Calibri" w:cs="Calibri"/>
              </w:rPr>
            </w:pPr>
            <w:r>
              <w:rPr>
                <w:rFonts w:ascii="Calibri" w:hAnsi="Calibri"/>
                <w:color w:val="000000"/>
              </w:rPr>
              <w:t>3.</w:t>
            </w:r>
            <w:r>
              <w:rPr>
                <w:rFonts w:ascii="Calibri" w:hAnsi="Calibri"/>
                <w:color w:val="000000"/>
              </w:rPr>
              <w:tab/>
              <w:t>У дітей рекомендоване застосування Xpert MTB/RIF поширюється на шлунковий аспірат, носоглотковий аспірат та кал. Застосування Xpert Ultra поширюється на аспірат носоглотки.</w:t>
            </w:r>
          </w:p>
        </w:tc>
      </w:tr>
    </w:tbl>
    <w:p w:rsidR="00ED665B" w:rsidRPr="00907702" w:rsidRDefault="00ED665B" w:rsidP="00DC2656">
      <w:pPr>
        <w:rPr>
          <w:rFonts w:ascii="Calibri" w:hAnsi="Calibri" w:cs="Calibri"/>
        </w:rPr>
        <w:sectPr w:rsidR="00ED665B" w:rsidRPr="00907702" w:rsidSect="00670B1A">
          <w:headerReference w:type="default" r:id="rId45"/>
          <w:footerReference w:type="default" r:id="rId46"/>
          <w:pgSz w:w="16838" w:h="11904" w:orient="landscape"/>
          <w:pgMar w:top="1032" w:right="1416" w:bottom="426" w:left="1406" w:header="720" w:footer="227" w:gutter="0"/>
          <w:cols w:space="60"/>
          <w:noEndnote/>
          <w:docGrid w:linePitch="272"/>
        </w:sectPr>
      </w:pPr>
    </w:p>
    <w:tbl>
      <w:tblPr>
        <w:tblW w:w="14002" w:type="dxa"/>
        <w:tblInd w:w="40" w:type="dxa"/>
        <w:tblLayout w:type="fixed"/>
        <w:tblCellMar>
          <w:left w:w="40" w:type="dxa"/>
          <w:right w:w="40" w:type="dxa"/>
        </w:tblCellMar>
        <w:tblLook w:val="0000" w:firstRow="0" w:lastRow="0" w:firstColumn="0" w:lastColumn="0" w:noHBand="0" w:noVBand="0"/>
      </w:tblPr>
      <w:tblGrid>
        <w:gridCol w:w="4445"/>
        <w:gridCol w:w="6235"/>
        <w:gridCol w:w="3322"/>
      </w:tblGrid>
      <w:tr w:rsidR="009B3894" w:rsidRPr="00F44E6E" w:rsidTr="009B3894">
        <w:trPr>
          <w:trHeight w:val="794"/>
        </w:trPr>
        <w:tc>
          <w:tcPr>
            <w:tcW w:w="444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406A04" w:rsidRDefault="009B3894" w:rsidP="009B3894">
            <w:pPr>
              <w:spacing w:line="216" w:lineRule="auto"/>
              <w:ind w:left="38" w:right="230"/>
              <w:rPr>
                <w:rFonts w:ascii="Calibri" w:hAnsi="Calibri" w:cs="Calibri"/>
                <w:b/>
                <w:bCs/>
                <w:lang w:val="ru-RU"/>
              </w:rPr>
            </w:pPr>
            <w:r w:rsidRPr="009B3894">
              <w:rPr>
                <w:rFonts w:ascii="Calibri" w:hAnsi="Calibri"/>
                <w:b/>
                <w:color w:val="000000"/>
              </w:rPr>
              <w:lastRenderedPageBreak/>
              <w:t xml:space="preserve">Тест Xpert MTB/RIF для діагностики легеневого та позалегеневого туберкульозу у дорослих та дітей. Оновлення політики (2013) </w:t>
            </w:r>
            <w:r w:rsidRPr="009B3894">
              <w:rPr>
                <w:rFonts w:ascii="Calibri" w:hAnsi="Calibri"/>
                <w:b/>
                <w:i/>
                <w:color w:val="000000"/>
              </w:rPr>
              <w:t>(11)</w:t>
            </w:r>
          </w:p>
        </w:tc>
        <w:tc>
          <w:tcPr>
            <w:tcW w:w="623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F44E6E" w:rsidRDefault="009B3894" w:rsidP="009B3894">
            <w:pPr>
              <w:spacing w:line="216" w:lineRule="auto"/>
              <w:ind w:left="58" w:right="134"/>
              <w:rPr>
                <w:rFonts w:ascii="Calibri" w:hAnsi="Calibri" w:cs="Calibri"/>
                <w:b/>
                <w:bCs/>
              </w:rPr>
            </w:pPr>
            <w:r w:rsidRPr="009B3894">
              <w:rPr>
                <w:rFonts w:ascii="Calibri" w:hAnsi="Calibri"/>
                <w:b/>
                <w:color w:val="000000"/>
              </w:rPr>
              <w:t xml:space="preserve">Молекулярні аналізи, призначені в якості початкових тестів для діагностики легеневого та позалегеневого туберкульозу та резистентності до рифампіцину у дорослих та дітей: інформаційний лист. Оновлення політики (2020) </w:t>
            </w:r>
            <w:r w:rsidRPr="009B3894">
              <w:rPr>
                <w:rFonts w:ascii="Calibri" w:hAnsi="Calibri"/>
                <w:b/>
                <w:i/>
                <w:color w:val="000000"/>
              </w:rPr>
              <w:t>(12)</w:t>
            </w:r>
          </w:p>
        </w:tc>
        <w:tc>
          <w:tcPr>
            <w:tcW w:w="332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F44E6E" w:rsidRDefault="009B3894" w:rsidP="009B3894">
            <w:pPr>
              <w:spacing w:line="216" w:lineRule="auto"/>
              <w:ind w:left="62"/>
              <w:rPr>
                <w:rFonts w:ascii="Calibri" w:hAnsi="Calibri" w:cs="Calibri"/>
                <w:b/>
                <w:bCs/>
              </w:rPr>
            </w:pPr>
            <w:r>
              <w:rPr>
                <w:rFonts w:ascii="Calibri" w:hAnsi="Calibri"/>
                <w:b/>
                <w:color w:val="000000"/>
              </w:rPr>
              <w:t>Зміни</w:t>
            </w:r>
          </w:p>
        </w:tc>
      </w:tr>
      <w:tr w:rsidR="00ED665B" w:rsidRPr="00907702" w:rsidTr="009B3894">
        <w:trPr>
          <w:trHeight w:val="794"/>
        </w:trPr>
        <w:tc>
          <w:tcPr>
            <w:tcW w:w="4445" w:type="dxa"/>
            <w:tcBorders>
              <w:top w:val="single" w:sz="8" w:space="0" w:color="009649"/>
              <w:left w:val="nil"/>
              <w:bottom w:val="single" w:sz="8" w:space="0" w:color="009649"/>
              <w:right w:val="nil"/>
            </w:tcBorders>
            <w:shd w:val="clear" w:color="auto" w:fill="FFFFFF"/>
          </w:tcPr>
          <w:p w:rsidR="00ED665B" w:rsidRPr="00907702" w:rsidRDefault="006C7D2F" w:rsidP="00FE7B24">
            <w:pPr>
              <w:spacing w:line="216" w:lineRule="auto"/>
              <w:ind w:left="19" w:right="38"/>
              <w:rPr>
                <w:rFonts w:ascii="Calibri" w:hAnsi="Calibri" w:cs="Calibri"/>
              </w:rPr>
            </w:pPr>
            <w:r>
              <w:rPr>
                <w:rFonts w:ascii="Calibri" w:hAnsi="Calibri"/>
                <w:color w:val="000000"/>
              </w:rPr>
              <w:t>Використання Xpert MTB/RIF для діагностики позалегеневого ТБ та резистентності до рифампіцину у дорослих та дітей</w:t>
            </w:r>
          </w:p>
          <w:p w:rsidR="00ED665B" w:rsidRPr="00907702" w:rsidRDefault="006C7D2F" w:rsidP="00FE7B24">
            <w:pPr>
              <w:tabs>
                <w:tab w:val="left" w:pos="374"/>
              </w:tabs>
              <w:spacing w:line="216" w:lineRule="auto"/>
              <w:ind w:left="336" w:right="38" w:hanging="317"/>
              <w:rPr>
                <w:rFonts w:ascii="Calibri" w:hAnsi="Calibri" w:cs="Calibri"/>
              </w:rPr>
            </w:pPr>
            <w:r>
              <w:rPr>
                <w:rFonts w:ascii="Calibri" w:hAnsi="Calibri"/>
                <w:color w:val="000000"/>
              </w:rPr>
              <w:t>1.</w:t>
            </w:r>
            <w:r>
              <w:rPr>
                <w:rFonts w:ascii="Calibri" w:hAnsi="Calibri"/>
                <w:color w:val="000000"/>
              </w:rPr>
              <w:tab/>
              <w:t>Xpert MTB/RIF слід використовувати на перевагу звичайній мікроскопії та посіву в якості первинного діагностичного тесту у зразках СМР у пацієнтів, які підозрюються на туберкульозний менінгіт (сильна рекомендація з огляду на терміновість швидкої діагностики, дуже низька якість доказових даних).</w:t>
            </w:r>
          </w:p>
          <w:p w:rsidR="00ED665B" w:rsidRPr="00907702" w:rsidRDefault="006C7D2F" w:rsidP="00FE7B24">
            <w:pPr>
              <w:tabs>
                <w:tab w:val="left" w:pos="374"/>
              </w:tabs>
              <w:spacing w:line="216" w:lineRule="auto"/>
              <w:ind w:left="336" w:right="38" w:hanging="317"/>
              <w:rPr>
                <w:rFonts w:ascii="Calibri" w:hAnsi="Calibri" w:cs="Calibri"/>
              </w:rPr>
            </w:pPr>
            <w:r>
              <w:rPr>
                <w:rFonts w:ascii="Calibri" w:hAnsi="Calibri"/>
                <w:color w:val="000000"/>
              </w:rPr>
              <w:t>2.</w:t>
            </w:r>
            <w:r>
              <w:rPr>
                <w:rFonts w:ascii="Calibri" w:hAnsi="Calibri"/>
                <w:color w:val="000000"/>
              </w:rPr>
              <w:tab/>
              <w:t>Xpert MTB/RIF може використовуватися в якості замісного тесту у звичайній практиці (в тому числі звичайна мікроскопія, посів чи гістопатологія) для тестування конкретних зразків, взятих не з дихальних шляхів (лімфатичні вузли та інші тканини) у пацієнтів, які підозрюються на позалегеневий ТБ (умовна рекомендація, дуже низька якість доказових даних).</w:t>
            </w:r>
          </w:p>
        </w:tc>
        <w:tc>
          <w:tcPr>
            <w:tcW w:w="6235" w:type="dxa"/>
            <w:tcBorders>
              <w:top w:val="single" w:sz="8" w:space="0" w:color="009649"/>
              <w:left w:val="nil"/>
              <w:bottom w:val="single" w:sz="8" w:space="0" w:color="009649"/>
              <w:right w:val="nil"/>
            </w:tcBorders>
            <w:shd w:val="clear" w:color="auto" w:fill="FFFFFF"/>
          </w:tcPr>
          <w:p w:rsidR="00ED665B" w:rsidRPr="00907702" w:rsidRDefault="006C7D2F" w:rsidP="00FE7B24">
            <w:pPr>
              <w:spacing w:line="216" w:lineRule="auto"/>
              <w:ind w:left="19"/>
              <w:rPr>
                <w:rFonts w:ascii="Calibri" w:hAnsi="Calibri" w:cs="Calibri"/>
              </w:rPr>
            </w:pPr>
            <w:r>
              <w:rPr>
                <w:rFonts w:ascii="Calibri" w:hAnsi="Calibri"/>
                <w:color w:val="000000"/>
              </w:rPr>
              <w:t>Xpert MTB/RIF та Xpert Ultra в якості первинних тестів для дорослих та дітей з ознаками та симптомами позалегеневого ТБ</w:t>
            </w:r>
          </w:p>
          <w:p w:rsidR="00ED665B" w:rsidRPr="00907702" w:rsidRDefault="006C7D2F" w:rsidP="00FE7B24">
            <w:pPr>
              <w:tabs>
                <w:tab w:val="left" w:pos="379"/>
              </w:tabs>
              <w:spacing w:line="216" w:lineRule="auto"/>
              <w:ind w:left="336" w:hanging="317"/>
              <w:rPr>
                <w:rFonts w:ascii="Calibri" w:hAnsi="Calibri" w:cs="Calibri"/>
              </w:rPr>
            </w:pPr>
            <w:r>
              <w:rPr>
                <w:rFonts w:ascii="Calibri" w:hAnsi="Calibri"/>
                <w:color w:val="000000"/>
              </w:rPr>
              <w:t>1.</w:t>
            </w:r>
            <w:r>
              <w:rPr>
                <w:rFonts w:ascii="Calibri" w:hAnsi="Calibri"/>
                <w:color w:val="000000"/>
              </w:rPr>
              <w:tab/>
              <w:t>У дорослих та дітей з ознаками та симптомами туберкульозного менінгіту Xpert MTB/RIF або Xpert Ultra слід застосовувати у СМР в якості первинного діагностичного тесту на туберкульозний менінгіт (сильна рекомендація, помірна якість доказових даних щодо точності тесту для Xpert MTB/RIF, низька якість доказових даних для Xpert Ultra).</w:t>
            </w:r>
          </w:p>
          <w:p w:rsidR="00ED665B" w:rsidRPr="00907702" w:rsidRDefault="006C7D2F" w:rsidP="00FE7B24">
            <w:pPr>
              <w:tabs>
                <w:tab w:val="left" w:pos="379"/>
              </w:tabs>
              <w:spacing w:line="216" w:lineRule="auto"/>
              <w:ind w:left="336" w:hanging="317"/>
              <w:rPr>
                <w:rFonts w:ascii="Calibri" w:hAnsi="Calibri" w:cs="Calibri"/>
              </w:rPr>
            </w:pPr>
            <w:r>
              <w:rPr>
                <w:rFonts w:ascii="Calibri" w:hAnsi="Calibri"/>
                <w:color w:val="000000"/>
              </w:rPr>
              <w:t>2.</w:t>
            </w:r>
            <w:r>
              <w:rPr>
                <w:rFonts w:ascii="Calibri" w:hAnsi="Calibri"/>
                <w:color w:val="000000"/>
              </w:rPr>
              <w:tab/>
              <w:t>У дорослих та дітей з ознаками та симптомами позалегеневого ТБ Xpert MTB/RIF може використовуватися в аспіраті лімфатичних вузлів, біопсії лімфатичних вузлів, плевральної рідини, перитонеальній рідині, перикардіальній рідині, синовіальній рідині або зразках сечі в якості первинного діагностичного тесту для відповідних форм позалегеневого ТБ (умовна рекомендація, помірна якість доказових даних щодо точності тесту у плевральній рідині; низька для аспірату лімфатичних вузлів, шлункової рідини, синовіальної рідини, сечі; дуже низька для біопсії перикарда, лімфатичних вузлів).</w:t>
            </w:r>
          </w:p>
          <w:p w:rsidR="00ED665B" w:rsidRPr="00907702" w:rsidRDefault="006C7D2F" w:rsidP="00FE7B24">
            <w:pPr>
              <w:tabs>
                <w:tab w:val="left" w:pos="379"/>
              </w:tabs>
              <w:spacing w:line="216" w:lineRule="auto"/>
              <w:ind w:left="336" w:hanging="317"/>
              <w:rPr>
                <w:rFonts w:ascii="Calibri" w:hAnsi="Calibri" w:cs="Calibri"/>
              </w:rPr>
            </w:pPr>
            <w:r>
              <w:rPr>
                <w:rFonts w:ascii="Calibri" w:hAnsi="Calibri"/>
                <w:color w:val="000000"/>
              </w:rPr>
              <w:t>3.</w:t>
            </w:r>
            <w:r>
              <w:rPr>
                <w:rFonts w:ascii="Calibri" w:hAnsi="Calibri"/>
                <w:color w:val="000000"/>
              </w:rPr>
              <w:tab/>
              <w:t>У дорослих та дітей з ознаками та симптомами позалегеневого туберкульозу Xpert Ultra може застосовуватися в аспіраті та біопсії лімфатичних вузлів в якості первинного діагностичного тесту (умовна рекомендація, низька якість доказових даних).</w:t>
            </w:r>
          </w:p>
          <w:p w:rsidR="00ED665B" w:rsidRPr="00907702" w:rsidRDefault="006C7D2F" w:rsidP="00FE7B24">
            <w:pPr>
              <w:tabs>
                <w:tab w:val="left" w:pos="379"/>
              </w:tabs>
              <w:spacing w:line="216" w:lineRule="auto"/>
              <w:ind w:left="336" w:hanging="317"/>
              <w:rPr>
                <w:rFonts w:ascii="Calibri" w:hAnsi="Calibri" w:cs="Calibri"/>
              </w:rPr>
            </w:pPr>
            <w:r>
              <w:rPr>
                <w:rFonts w:ascii="Calibri" w:hAnsi="Calibri"/>
                <w:color w:val="000000"/>
              </w:rPr>
              <w:t>4.</w:t>
            </w:r>
            <w:r>
              <w:rPr>
                <w:rFonts w:ascii="Calibri" w:hAnsi="Calibri"/>
                <w:color w:val="000000"/>
              </w:rPr>
              <w:tab/>
              <w:t>У дорослих та дітей з ознаками та симптомами позалегеневого ТБ слід застосовувати Xpert MTB/RIF або Xpert Ultra для виявлення резистентності до рифампіцину замість посіву або ТМЧ (сильна рекомендація, висока якість доказових даних щодо точності тесту на Xpert MTB/RIF, низька якість доказових даних для Xpert Ultra).</w:t>
            </w:r>
          </w:p>
          <w:p w:rsidR="00ED665B" w:rsidRPr="00907702" w:rsidRDefault="006C7D2F" w:rsidP="00FE7B24">
            <w:pPr>
              <w:tabs>
                <w:tab w:val="left" w:pos="379"/>
              </w:tabs>
              <w:spacing w:line="216" w:lineRule="auto"/>
              <w:ind w:left="336" w:hanging="317"/>
              <w:rPr>
                <w:rFonts w:ascii="Calibri" w:hAnsi="Calibri" w:cs="Calibri"/>
              </w:rPr>
            </w:pPr>
            <w:r>
              <w:rPr>
                <w:rFonts w:ascii="Calibri" w:hAnsi="Calibri"/>
                <w:color w:val="000000"/>
              </w:rPr>
              <w:t>5.</w:t>
            </w:r>
            <w:r>
              <w:rPr>
                <w:rFonts w:ascii="Calibri" w:hAnsi="Calibri"/>
                <w:color w:val="000000"/>
              </w:rPr>
              <w:tab/>
              <w:t>У ВІЛ-позитивних дорослих та дітей з ознаками та симптомами дисемінованого ТБ Xpert MTB/RIF може використовуватися у крові в якості діагностичного тесту на дисемінований ТБ (умовна рекомендація, дуже низька якість доказових даних щодо точності тесту).</w:t>
            </w:r>
          </w:p>
        </w:tc>
        <w:tc>
          <w:tcPr>
            <w:tcW w:w="3322" w:type="dxa"/>
            <w:tcBorders>
              <w:top w:val="single" w:sz="8" w:space="0" w:color="009649"/>
              <w:left w:val="nil"/>
              <w:bottom w:val="single" w:sz="8" w:space="0" w:color="009649"/>
              <w:right w:val="nil"/>
            </w:tcBorders>
            <w:shd w:val="clear" w:color="auto" w:fill="FFFFFF"/>
          </w:tcPr>
          <w:p w:rsidR="00ED665B" w:rsidRPr="00907702" w:rsidRDefault="006C7D2F" w:rsidP="00FE7B24">
            <w:pPr>
              <w:tabs>
                <w:tab w:val="left" w:pos="408"/>
              </w:tabs>
              <w:spacing w:line="216" w:lineRule="auto"/>
              <w:ind w:left="336" w:right="62" w:hanging="317"/>
              <w:rPr>
                <w:rFonts w:ascii="Calibri" w:hAnsi="Calibri" w:cs="Calibri"/>
              </w:rPr>
            </w:pPr>
            <w:r>
              <w:rPr>
                <w:rFonts w:ascii="Calibri" w:hAnsi="Calibri"/>
                <w:color w:val="000000"/>
              </w:rPr>
              <w:t>1.</w:t>
            </w:r>
            <w:r>
              <w:rPr>
                <w:rFonts w:ascii="Calibri" w:hAnsi="Calibri"/>
                <w:color w:val="000000"/>
              </w:rPr>
              <w:tab/>
              <w:t>Підвищена якість доказових даних щодо точності тесту для Xpert MTB/RIF при використанні у СМР в якості первинного діагностичного тесту на туберкульозний менінгіт.</w:t>
            </w:r>
          </w:p>
          <w:p w:rsidR="00ED665B" w:rsidRPr="00907702" w:rsidRDefault="006C7D2F" w:rsidP="00FE7B24">
            <w:pPr>
              <w:tabs>
                <w:tab w:val="left" w:pos="408"/>
              </w:tabs>
              <w:spacing w:line="216" w:lineRule="auto"/>
              <w:ind w:left="336" w:right="62" w:hanging="317"/>
              <w:rPr>
                <w:rFonts w:ascii="Calibri" w:hAnsi="Calibri" w:cs="Calibri"/>
              </w:rPr>
            </w:pPr>
            <w:r>
              <w:rPr>
                <w:rFonts w:ascii="Calibri" w:hAnsi="Calibri"/>
                <w:color w:val="000000"/>
              </w:rPr>
              <w:t>2.</w:t>
            </w:r>
            <w:r>
              <w:rPr>
                <w:rFonts w:ascii="Calibri" w:hAnsi="Calibri"/>
                <w:color w:val="000000"/>
              </w:rPr>
              <w:tab/>
              <w:t>Висока якість доказових даних щодо точності тесту для Xpert Ultra при використанні у СМР в якості первинного діагностичного тесту на туберкульозний менінгіт.</w:t>
            </w:r>
          </w:p>
          <w:p w:rsidR="00ED665B" w:rsidRPr="00907702" w:rsidRDefault="006C7D2F" w:rsidP="00FE7B24">
            <w:pPr>
              <w:tabs>
                <w:tab w:val="left" w:pos="408"/>
              </w:tabs>
              <w:spacing w:line="216" w:lineRule="auto"/>
              <w:ind w:left="336" w:right="62" w:hanging="317"/>
              <w:rPr>
                <w:rFonts w:ascii="Calibri" w:hAnsi="Calibri" w:cs="Calibri"/>
              </w:rPr>
            </w:pPr>
            <w:r>
              <w:rPr>
                <w:rFonts w:ascii="Calibri" w:hAnsi="Calibri"/>
                <w:color w:val="000000"/>
              </w:rPr>
              <w:t>3.</w:t>
            </w:r>
            <w:r>
              <w:rPr>
                <w:rFonts w:ascii="Calibri" w:hAnsi="Calibri"/>
                <w:color w:val="000000"/>
              </w:rPr>
              <w:tab/>
              <w:t>Використання Xpert MTB/RIF в аспіраті лімфатичних вузлів, біопсії лімфатичних вузлів, плевральній рідині, перитонеальній рідині, перикардіальній рідині, синовіальній рідині або зразках сечі в якості первинного діагностичного тесту на відповідну форму позалегеневого ТБ.</w:t>
            </w:r>
          </w:p>
          <w:p w:rsidR="00ED665B" w:rsidRPr="00907702" w:rsidRDefault="006C7D2F" w:rsidP="00FE7B24">
            <w:pPr>
              <w:tabs>
                <w:tab w:val="left" w:pos="408"/>
              </w:tabs>
              <w:spacing w:line="216" w:lineRule="auto"/>
              <w:ind w:left="336" w:right="62" w:hanging="317"/>
              <w:rPr>
                <w:rFonts w:ascii="Calibri" w:hAnsi="Calibri" w:cs="Calibri"/>
              </w:rPr>
            </w:pPr>
            <w:r>
              <w:rPr>
                <w:rFonts w:ascii="Calibri" w:hAnsi="Calibri"/>
                <w:color w:val="000000"/>
              </w:rPr>
              <w:t>4.</w:t>
            </w:r>
            <w:r>
              <w:rPr>
                <w:rFonts w:ascii="Calibri" w:hAnsi="Calibri"/>
                <w:color w:val="000000"/>
              </w:rPr>
              <w:tab/>
              <w:t>Використання Xpert Ultra в аспіраті лімфатичних вузлів, біопсії лімфатичних вузлів в якості первинного діагностичного тесту на відповідну форму позалегеневого ТБ.</w:t>
            </w:r>
          </w:p>
          <w:p w:rsidR="00ED665B" w:rsidRPr="00907702" w:rsidRDefault="006C7D2F" w:rsidP="00FE7B24">
            <w:pPr>
              <w:tabs>
                <w:tab w:val="left" w:pos="408"/>
              </w:tabs>
              <w:spacing w:line="216" w:lineRule="auto"/>
              <w:ind w:left="336" w:right="62" w:hanging="317"/>
              <w:rPr>
                <w:rFonts w:ascii="Calibri" w:hAnsi="Calibri" w:cs="Calibri"/>
              </w:rPr>
            </w:pPr>
            <w:r>
              <w:rPr>
                <w:rFonts w:ascii="Calibri" w:hAnsi="Calibri"/>
                <w:color w:val="000000"/>
              </w:rPr>
              <w:t>5.</w:t>
            </w:r>
            <w:r>
              <w:rPr>
                <w:rFonts w:ascii="Calibri" w:hAnsi="Calibri"/>
                <w:color w:val="000000"/>
              </w:rPr>
              <w:tab/>
              <w:t>Використання Xpert Ultra для виявлення резистентності до рифампіцину у дорослих та дітей з ознаками та симптомами позалегеневого ТБ.</w:t>
            </w:r>
          </w:p>
          <w:p w:rsidR="00ED665B" w:rsidRPr="00907702" w:rsidRDefault="006C7D2F" w:rsidP="00FE7B24">
            <w:pPr>
              <w:tabs>
                <w:tab w:val="left" w:pos="408"/>
              </w:tabs>
              <w:spacing w:line="216" w:lineRule="auto"/>
              <w:ind w:left="336" w:right="62" w:hanging="317"/>
              <w:rPr>
                <w:rFonts w:ascii="Calibri" w:hAnsi="Calibri" w:cs="Calibri"/>
              </w:rPr>
            </w:pPr>
            <w:r>
              <w:rPr>
                <w:rFonts w:ascii="Calibri" w:hAnsi="Calibri"/>
                <w:color w:val="000000"/>
              </w:rPr>
              <w:t>6.</w:t>
            </w:r>
            <w:r>
              <w:rPr>
                <w:rFonts w:ascii="Calibri" w:hAnsi="Calibri"/>
                <w:color w:val="000000"/>
              </w:rPr>
              <w:tab/>
              <w:t>Використання Xpert MTB/RIF у крові для діагностики дисемінованого ТБ.</w:t>
            </w:r>
          </w:p>
        </w:tc>
      </w:tr>
    </w:tbl>
    <w:p w:rsidR="00ED665B" w:rsidRPr="00907702" w:rsidRDefault="00ED665B" w:rsidP="00DC2656">
      <w:pPr>
        <w:rPr>
          <w:rFonts w:ascii="Calibri" w:hAnsi="Calibri" w:cs="Calibri"/>
        </w:rPr>
        <w:sectPr w:rsidR="00ED665B" w:rsidRPr="00907702" w:rsidSect="00F44E6E">
          <w:headerReference w:type="even" r:id="rId47"/>
          <w:footerReference w:type="even" r:id="rId48"/>
          <w:pgSz w:w="16838" w:h="11904" w:orient="landscape"/>
          <w:pgMar w:top="1421" w:right="1416" w:bottom="851" w:left="1421" w:header="720" w:footer="720" w:gutter="0"/>
          <w:cols w:space="60"/>
          <w:noEndnote/>
        </w:sectPr>
      </w:pPr>
    </w:p>
    <w:tbl>
      <w:tblPr>
        <w:tblW w:w="14031" w:type="dxa"/>
        <w:tblInd w:w="40" w:type="dxa"/>
        <w:tblLayout w:type="fixed"/>
        <w:tblCellMar>
          <w:left w:w="40" w:type="dxa"/>
          <w:right w:w="40" w:type="dxa"/>
        </w:tblCellMar>
        <w:tblLook w:val="0000" w:firstRow="0" w:lastRow="0" w:firstColumn="0" w:lastColumn="0" w:noHBand="0" w:noVBand="0"/>
      </w:tblPr>
      <w:tblGrid>
        <w:gridCol w:w="4450"/>
        <w:gridCol w:w="6298"/>
        <w:gridCol w:w="3283"/>
      </w:tblGrid>
      <w:tr w:rsidR="009B3894" w:rsidRPr="00F44E6E" w:rsidTr="009B3894">
        <w:trPr>
          <w:trHeight w:val="794"/>
        </w:trPr>
        <w:tc>
          <w:tcPr>
            <w:tcW w:w="445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406A04" w:rsidRDefault="009B3894" w:rsidP="009B3894">
            <w:pPr>
              <w:spacing w:line="216" w:lineRule="auto"/>
              <w:ind w:left="38" w:right="230"/>
              <w:rPr>
                <w:rFonts w:ascii="Calibri" w:hAnsi="Calibri" w:cs="Calibri"/>
                <w:b/>
                <w:bCs/>
                <w:lang w:val="ru-RU"/>
              </w:rPr>
            </w:pPr>
            <w:r w:rsidRPr="009B3894">
              <w:rPr>
                <w:rFonts w:ascii="Calibri" w:hAnsi="Calibri"/>
                <w:b/>
                <w:color w:val="000000"/>
              </w:rPr>
              <w:lastRenderedPageBreak/>
              <w:t xml:space="preserve">Тест Xpert MTB/RIF для діагностики легеневого та позалегеневого туберкульозу у дорослих та дітей. Оновлення політики (2013) </w:t>
            </w:r>
            <w:r w:rsidRPr="009B3894">
              <w:rPr>
                <w:rFonts w:ascii="Calibri" w:hAnsi="Calibri"/>
                <w:b/>
                <w:i/>
                <w:color w:val="000000"/>
              </w:rPr>
              <w:t>(11)</w:t>
            </w:r>
          </w:p>
        </w:tc>
        <w:tc>
          <w:tcPr>
            <w:tcW w:w="629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F44E6E" w:rsidRDefault="009B3894" w:rsidP="009B3894">
            <w:pPr>
              <w:spacing w:line="216" w:lineRule="auto"/>
              <w:ind w:left="58" w:right="134"/>
              <w:rPr>
                <w:rFonts w:ascii="Calibri" w:hAnsi="Calibri" w:cs="Calibri"/>
                <w:b/>
                <w:bCs/>
              </w:rPr>
            </w:pPr>
            <w:r w:rsidRPr="009B3894">
              <w:rPr>
                <w:rFonts w:ascii="Calibri" w:hAnsi="Calibri"/>
                <w:b/>
                <w:color w:val="000000"/>
              </w:rPr>
              <w:t xml:space="preserve">Молекулярні аналізи, призначені в якості початкових тестів для діагностики легеневого та позалегеневого туберкульозу та резистентності до рифампіцину у дорослих та дітей: інформаційний лист. Оновлення політики (2020) </w:t>
            </w:r>
            <w:r w:rsidRPr="009B3894">
              <w:rPr>
                <w:rFonts w:ascii="Calibri" w:hAnsi="Calibri"/>
                <w:b/>
                <w:i/>
                <w:color w:val="000000"/>
              </w:rPr>
              <w:t>(12)</w:t>
            </w:r>
          </w:p>
        </w:tc>
        <w:tc>
          <w:tcPr>
            <w:tcW w:w="328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F44E6E" w:rsidRDefault="009B3894" w:rsidP="009B3894">
            <w:pPr>
              <w:spacing w:line="216" w:lineRule="auto"/>
              <w:ind w:left="10"/>
              <w:rPr>
                <w:rFonts w:ascii="Calibri" w:hAnsi="Calibri" w:cs="Calibri"/>
                <w:b/>
                <w:bCs/>
              </w:rPr>
            </w:pPr>
            <w:r>
              <w:rPr>
                <w:rFonts w:ascii="Calibri" w:hAnsi="Calibri"/>
                <w:b/>
                <w:color w:val="000000"/>
              </w:rPr>
              <w:t>Зміни</w:t>
            </w:r>
          </w:p>
        </w:tc>
      </w:tr>
      <w:tr w:rsidR="00ED665B" w:rsidRPr="00907702" w:rsidTr="009B3894">
        <w:trPr>
          <w:trHeight w:val="794"/>
        </w:trPr>
        <w:tc>
          <w:tcPr>
            <w:tcW w:w="4450" w:type="dxa"/>
            <w:tcBorders>
              <w:top w:val="single" w:sz="8" w:space="0" w:color="009649"/>
              <w:left w:val="nil"/>
              <w:bottom w:val="single" w:sz="8" w:space="0" w:color="009649"/>
              <w:right w:val="nil"/>
            </w:tcBorders>
            <w:shd w:val="clear" w:color="auto" w:fill="FFFFFF"/>
          </w:tcPr>
          <w:p w:rsidR="00ED665B" w:rsidRPr="00907702" w:rsidRDefault="00ED665B" w:rsidP="00FE7B24">
            <w:pPr>
              <w:spacing w:line="216" w:lineRule="auto"/>
              <w:rPr>
                <w:rFonts w:ascii="Calibri" w:hAnsi="Calibri" w:cs="Calibri"/>
              </w:rPr>
            </w:pPr>
          </w:p>
        </w:tc>
        <w:tc>
          <w:tcPr>
            <w:tcW w:w="6298" w:type="dxa"/>
            <w:tcBorders>
              <w:top w:val="single" w:sz="8" w:space="0" w:color="009649"/>
              <w:left w:val="nil"/>
              <w:bottom w:val="single" w:sz="8" w:space="0" w:color="009649"/>
              <w:right w:val="nil"/>
            </w:tcBorders>
            <w:shd w:val="clear" w:color="auto" w:fill="FFFFFF"/>
          </w:tcPr>
          <w:p w:rsidR="00ED665B" w:rsidRPr="00907702" w:rsidRDefault="006C7D2F" w:rsidP="00FE7B24">
            <w:pPr>
              <w:spacing w:line="216" w:lineRule="auto"/>
              <w:ind w:left="34" w:right="101"/>
              <w:rPr>
                <w:rFonts w:ascii="Calibri" w:hAnsi="Calibri" w:cs="Calibri"/>
              </w:rPr>
            </w:pPr>
            <w:r>
              <w:rPr>
                <w:rFonts w:ascii="Calibri" w:hAnsi="Calibri"/>
                <w:color w:val="000000"/>
              </w:rPr>
              <w:t>Повторне тестування Xpert MTB/RIF та Xpert Ultra для дорослих та дітей з ознаками та симптомами легеневого ТБ</w:t>
            </w:r>
          </w:p>
          <w:p w:rsidR="00ED665B" w:rsidRPr="00907702" w:rsidRDefault="006C7D2F" w:rsidP="00FE7B24">
            <w:pPr>
              <w:tabs>
                <w:tab w:val="left" w:pos="389"/>
              </w:tabs>
              <w:spacing w:line="216" w:lineRule="auto"/>
              <w:ind w:left="280" w:right="101" w:hanging="246"/>
              <w:rPr>
                <w:rFonts w:ascii="Calibri" w:hAnsi="Calibri" w:cs="Calibri"/>
              </w:rPr>
            </w:pPr>
            <w:r>
              <w:rPr>
                <w:rFonts w:ascii="Calibri" w:hAnsi="Calibri"/>
                <w:color w:val="000000"/>
              </w:rPr>
              <w:t>1.</w:t>
            </w:r>
            <w:r>
              <w:rPr>
                <w:rFonts w:ascii="Calibri" w:hAnsi="Calibri"/>
                <w:color w:val="000000"/>
              </w:rPr>
              <w:tab/>
              <w:t>У дорослих з ознаками та симптомами легеневого ТБ, які мають позитивні результати первинного тесту Xpert Ultra, повторне тестування з Ultra застосовувати не можна (умовна рекомендація, дуже низька якість доказових даних щодо точності тесту).</w:t>
            </w:r>
          </w:p>
          <w:p w:rsidR="00ED665B" w:rsidRPr="00907702" w:rsidRDefault="006C7D2F" w:rsidP="00FE7B24">
            <w:pPr>
              <w:tabs>
                <w:tab w:val="left" w:pos="389"/>
              </w:tabs>
              <w:spacing w:line="216" w:lineRule="auto"/>
              <w:ind w:left="280" w:right="101" w:hanging="246"/>
              <w:rPr>
                <w:rFonts w:ascii="Calibri" w:hAnsi="Calibri" w:cs="Calibri"/>
              </w:rPr>
            </w:pPr>
            <w:r>
              <w:rPr>
                <w:rFonts w:ascii="Calibri" w:hAnsi="Calibri"/>
                <w:color w:val="000000"/>
              </w:rPr>
              <w:t>2.</w:t>
            </w:r>
            <w:r>
              <w:rPr>
                <w:rFonts w:ascii="Calibri" w:hAnsi="Calibri"/>
                <w:color w:val="000000"/>
              </w:rPr>
              <w:tab/>
              <w:t>У дітей з ознаками та симптомами легеневого ТБ в умовах зі ймовірністю наявності хвороби до проведення тесту нижче 5% та негативним результатом Xpert MTB/RIF при початковому тесті повторне тестування з Xpert MTB/RIF у мокротинні, шлунковій рідині, аспіраті носоглотки чи калі не застосовується (умовна рекомендація, низька якість доказових даних щодо точності тесту у мокротинні і дуже низька для інших видів зразків).</w:t>
            </w:r>
          </w:p>
          <w:p w:rsidR="00ED665B" w:rsidRPr="00907702" w:rsidRDefault="006C7D2F" w:rsidP="00FE7B24">
            <w:pPr>
              <w:tabs>
                <w:tab w:val="left" w:pos="389"/>
              </w:tabs>
              <w:spacing w:line="216" w:lineRule="auto"/>
              <w:ind w:left="280" w:right="101" w:hanging="246"/>
              <w:rPr>
                <w:rFonts w:ascii="Calibri" w:hAnsi="Calibri" w:cs="Calibri"/>
              </w:rPr>
            </w:pPr>
            <w:r>
              <w:rPr>
                <w:rFonts w:ascii="Calibri" w:hAnsi="Calibri"/>
                <w:color w:val="000000"/>
              </w:rPr>
              <w:t>3.</w:t>
            </w:r>
            <w:r>
              <w:rPr>
                <w:rFonts w:ascii="Calibri" w:hAnsi="Calibri"/>
                <w:color w:val="000000"/>
              </w:rPr>
              <w:tab/>
              <w:t>У дітей з ознаками та симптомами легеневого ТБ в умовах зі ймовірністю наявності хвороби до проведення тесту 5% та більше та негативним результатом Xpert MTB/RIF при первинному тесті може застосовуватися повторне тестування з Xpert MTB/RIF (за результатами двох тестів) у мокротинні, шлунковій рідині, аспіраті носоглотки чи калі (умовна рекомендація, низька якість доказових даних щодо точності тесту у мокротинні і дуже низька для інших видів зразків).</w:t>
            </w:r>
          </w:p>
          <w:p w:rsidR="00ED665B" w:rsidRPr="00907702" w:rsidRDefault="006C7D2F" w:rsidP="00FE7B24">
            <w:pPr>
              <w:tabs>
                <w:tab w:val="left" w:pos="389"/>
              </w:tabs>
              <w:spacing w:line="216" w:lineRule="auto"/>
              <w:ind w:left="280" w:right="101" w:hanging="246"/>
              <w:rPr>
                <w:rFonts w:ascii="Calibri" w:hAnsi="Calibri" w:cs="Calibri"/>
              </w:rPr>
            </w:pPr>
            <w:r>
              <w:rPr>
                <w:rFonts w:ascii="Calibri" w:hAnsi="Calibri"/>
                <w:color w:val="000000"/>
              </w:rPr>
              <w:t>4.</w:t>
            </w:r>
            <w:r>
              <w:rPr>
                <w:rFonts w:ascii="Calibri" w:hAnsi="Calibri"/>
                <w:color w:val="000000"/>
              </w:rPr>
              <w:tab/>
              <w:t>У дітей з ознаками та симптомами легеневого ТБ в умовах зі ймовірністю наявності хвороби до проведення тесту нижче 5% та негативним результатом Xpert Ultra при первинному тесті повторне тестування з Xpert Ultra у мокротинні або аспіраті носоглотки застосовувати не можна (умовна рекомендація, дуже низька якість доказових даних щодо точності тесту).</w:t>
            </w:r>
          </w:p>
          <w:p w:rsidR="00ED665B" w:rsidRPr="00907702" w:rsidRDefault="006C7D2F" w:rsidP="00FE7B24">
            <w:pPr>
              <w:tabs>
                <w:tab w:val="left" w:pos="389"/>
              </w:tabs>
              <w:spacing w:line="216" w:lineRule="auto"/>
              <w:ind w:left="280" w:right="101" w:hanging="246"/>
              <w:rPr>
                <w:rFonts w:ascii="Calibri" w:hAnsi="Calibri" w:cs="Calibri"/>
              </w:rPr>
            </w:pPr>
            <w:r>
              <w:rPr>
                <w:rFonts w:ascii="Calibri" w:hAnsi="Calibri"/>
                <w:color w:val="000000"/>
              </w:rPr>
              <w:t>5.</w:t>
            </w:r>
            <w:r>
              <w:rPr>
                <w:rFonts w:ascii="Calibri" w:hAnsi="Calibri"/>
                <w:color w:val="000000"/>
              </w:rPr>
              <w:tab/>
              <w:t>У дітей з ознаками та симптомами легеневого ТБ в умовах зі ймовірністю наявності хвороби до проведення тесту 5% або більше та негативним результатом Xpert Ultra при першому тестуванні повторний один тест Xpert Ultra (загалом два тести) може використовуватися у зразках мокротиння та аспіраті носоглотки (умовна рекомендація, дуже низька якість доказових даних щодо точності тесту).</w:t>
            </w:r>
          </w:p>
        </w:tc>
        <w:tc>
          <w:tcPr>
            <w:tcW w:w="3283" w:type="dxa"/>
            <w:tcBorders>
              <w:top w:val="single" w:sz="8" w:space="0" w:color="009649"/>
              <w:left w:val="nil"/>
              <w:bottom w:val="single" w:sz="8" w:space="0" w:color="009649"/>
              <w:right w:val="nil"/>
            </w:tcBorders>
            <w:shd w:val="clear" w:color="auto" w:fill="FFFFFF"/>
          </w:tcPr>
          <w:p w:rsidR="00ED665B" w:rsidRPr="00907702" w:rsidRDefault="006C7D2F" w:rsidP="00FE7B24">
            <w:pPr>
              <w:tabs>
                <w:tab w:val="left" w:pos="355"/>
              </w:tabs>
              <w:spacing w:line="216" w:lineRule="auto"/>
              <w:ind w:left="280" w:right="77" w:hanging="246"/>
              <w:rPr>
                <w:rFonts w:ascii="Calibri" w:hAnsi="Calibri" w:cs="Calibri"/>
              </w:rPr>
            </w:pPr>
            <w:r>
              <w:rPr>
                <w:rFonts w:ascii="Calibri" w:hAnsi="Calibri"/>
                <w:color w:val="000000"/>
              </w:rPr>
              <w:t>1.</w:t>
            </w:r>
            <w:r>
              <w:rPr>
                <w:rFonts w:ascii="Calibri" w:hAnsi="Calibri"/>
                <w:color w:val="000000"/>
              </w:rPr>
              <w:tab/>
              <w:t>Не рекомендується повторне застосування Xpert Ultra дорослим, у яких при первинному тестуванні Xpert Ultra було отримано позитивний результат.</w:t>
            </w:r>
          </w:p>
          <w:p w:rsidR="00ED665B" w:rsidRPr="00907702" w:rsidRDefault="006C7D2F" w:rsidP="00FE7B24">
            <w:pPr>
              <w:tabs>
                <w:tab w:val="left" w:pos="355"/>
              </w:tabs>
              <w:spacing w:line="216" w:lineRule="auto"/>
              <w:ind w:left="280" w:right="77" w:hanging="246"/>
              <w:rPr>
                <w:rFonts w:ascii="Calibri" w:hAnsi="Calibri" w:cs="Calibri"/>
              </w:rPr>
            </w:pPr>
            <w:r>
              <w:rPr>
                <w:rFonts w:ascii="Calibri" w:hAnsi="Calibri"/>
                <w:color w:val="000000"/>
              </w:rPr>
              <w:t>2.</w:t>
            </w:r>
            <w:r>
              <w:rPr>
                <w:rFonts w:ascii="Calibri" w:hAnsi="Calibri"/>
                <w:color w:val="000000"/>
              </w:rPr>
              <w:tab/>
              <w:t>Не рекомендується повторне застосування Xpert MTB/RIF дітям в умовах низького рівня поширеності захворюваності.</w:t>
            </w:r>
          </w:p>
          <w:p w:rsidR="00ED665B" w:rsidRPr="00907702" w:rsidRDefault="006C7D2F" w:rsidP="00FE7B24">
            <w:pPr>
              <w:tabs>
                <w:tab w:val="left" w:pos="355"/>
              </w:tabs>
              <w:spacing w:line="216" w:lineRule="auto"/>
              <w:ind w:left="280" w:right="77" w:hanging="246"/>
              <w:rPr>
                <w:rFonts w:ascii="Calibri" w:hAnsi="Calibri" w:cs="Calibri"/>
              </w:rPr>
            </w:pPr>
            <w:r>
              <w:rPr>
                <w:rFonts w:ascii="Calibri" w:hAnsi="Calibri"/>
                <w:color w:val="000000"/>
              </w:rPr>
              <w:t>3.</w:t>
            </w:r>
            <w:r>
              <w:rPr>
                <w:rFonts w:ascii="Calibri" w:hAnsi="Calibri"/>
                <w:color w:val="000000"/>
              </w:rPr>
              <w:tab/>
              <w:t>Рекомендовано повторне застосування Xpert MTB/RIF у дітей в умовах високого рівня поширеності захворюваності у зразках мокротиння, шлункової рідини, аспіраті носоглотки та калі.</w:t>
            </w:r>
          </w:p>
          <w:p w:rsidR="00ED665B" w:rsidRPr="00907702" w:rsidRDefault="006C7D2F" w:rsidP="00FE7B24">
            <w:pPr>
              <w:tabs>
                <w:tab w:val="left" w:pos="355"/>
              </w:tabs>
              <w:spacing w:line="216" w:lineRule="auto"/>
              <w:ind w:left="280" w:right="77" w:hanging="246"/>
              <w:rPr>
                <w:rFonts w:ascii="Calibri" w:hAnsi="Calibri" w:cs="Calibri"/>
              </w:rPr>
            </w:pPr>
            <w:r>
              <w:rPr>
                <w:rFonts w:ascii="Calibri" w:hAnsi="Calibri"/>
                <w:color w:val="000000"/>
              </w:rPr>
              <w:t>4.</w:t>
            </w:r>
            <w:r>
              <w:rPr>
                <w:rFonts w:ascii="Calibri" w:hAnsi="Calibri"/>
                <w:color w:val="000000"/>
              </w:rPr>
              <w:tab/>
              <w:t>Рекомендовано повторне застосування Xpert Ultra дітям в умовах як низького, так і високого рівня поширеності захворюваності у зразках мокротиння та аспіраті носоглотки.</w:t>
            </w:r>
          </w:p>
        </w:tc>
      </w:tr>
    </w:tbl>
    <w:p w:rsidR="00ED665B" w:rsidRPr="00907702" w:rsidRDefault="00ED665B" w:rsidP="00DC2656">
      <w:pPr>
        <w:rPr>
          <w:rFonts w:ascii="Calibri" w:hAnsi="Calibri" w:cs="Calibri"/>
        </w:rPr>
        <w:sectPr w:rsidR="00ED665B" w:rsidRPr="00907702" w:rsidSect="00F44E6E">
          <w:pgSz w:w="16838" w:h="11904" w:orient="landscape"/>
          <w:pgMar w:top="1435" w:right="1402" w:bottom="709" w:left="1406" w:header="720" w:footer="720" w:gutter="0"/>
          <w:cols w:space="60"/>
          <w:noEndnote/>
        </w:sectPr>
      </w:pPr>
    </w:p>
    <w:tbl>
      <w:tblPr>
        <w:tblW w:w="14040" w:type="dxa"/>
        <w:tblInd w:w="40" w:type="dxa"/>
        <w:tblLayout w:type="fixed"/>
        <w:tblCellMar>
          <w:left w:w="40" w:type="dxa"/>
          <w:right w:w="40" w:type="dxa"/>
        </w:tblCellMar>
        <w:tblLook w:val="0000" w:firstRow="0" w:lastRow="0" w:firstColumn="0" w:lastColumn="0" w:noHBand="0" w:noVBand="0"/>
      </w:tblPr>
      <w:tblGrid>
        <w:gridCol w:w="4445"/>
        <w:gridCol w:w="6269"/>
        <w:gridCol w:w="3326"/>
      </w:tblGrid>
      <w:tr w:rsidR="009B3894" w:rsidRPr="005410EA" w:rsidTr="009B3894">
        <w:trPr>
          <w:trHeight w:val="794"/>
        </w:trPr>
        <w:tc>
          <w:tcPr>
            <w:tcW w:w="444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406A04" w:rsidRDefault="009B3894" w:rsidP="009B3894">
            <w:pPr>
              <w:spacing w:line="216" w:lineRule="auto"/>
              <w:ind w:left="38" w:right="230"/>
              <w:rPr>
                <w:rFonts w:ascii="Calibri" w:hAnsi="Calibri" w:cs="Calibri"/>
                <w:b/>
                <w:bCs/>
                <w:lang w:val="ru-RU"/>
              </w:rPr>
            </w:pPr>
            <w:r w:rsidRPr="009B3894">
              <w:rPr>
                <w:rFonts w:ascii="Calibri" w:hAnsi="Calibri"/>
                <w:b/>
                <w:color w:val="000000"/>
              </w:rPr>
              <w:lastRenderedPageBreak/>
              <w:t xml:space="preserve">Тест Xpert MTB/RIF для діагностики легеневого та позалегеневого туберкульозу у дорослих та дітей. Оновлення політики (2013) </w:t>
            </w:r>
            <w:r w:rsidRPr="009B3894">
              <w:rPr>
                <w:rFonts w:ascii="Calibri" w:hAnsi="Calibri"/>
                <w:b/>
                <w:i/>
                <w:color w:val="000000"/>
              </w:rPr>
              <w:t>(11)</w:t>
            </w:r>
          </w:p>
        </w:tc>
        <w:tc>
          <w:tcPr>
            <w:tcW w:w="6269"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F44E6E" w:rsidRDefault="009B3894" w:rsidP="009B3894">
            <w:pPr>
              <w:spacing w:line="216" w:lineRule="auto"/>
              <w:ind w:left="58" w:right="134"/>
              <w:rPr>
                <w:rFonts w:ascii="Calibri" w:hAnsi="Calibri" w:cs="Calibri"/>
                <w:b/>
                <w:bCs/>
              </w:rPr>
            </w:pPr>
            <w:r w:rsidRPr="009B3894">
              <w:rPr>
                <w:rFonts w:ascii="Calibri" w:hAnsi="Calibri"/>
                <w:b/>
                <w:color w:val="000000"/>
              </w:rPr>
              <w:t xml:space="preserve">Молекулярні аналізи, призначені в якості початкових тестів для діагностики легеневого та позалегеневого туберкульозу та резистентності до рифампіцину у дорослих та дітей: інформаційний лист. Оновлення політики (2020) </w:t>
            </w:r>
            <w:r w:rsidRPr="009B3894">
              <w:rPr>
                <w:rFonts w:ascii="Calibri" w:hAnsi="Calibri"/>
                <w:b/>
                <w:i/>
                <w:color w:val="000000"/>
              </w:rPr>
              <w:t>(12)</w:t>
            </w:r>
          </w:p>
        </w:tc>
        <w:tc>
          <w:tcPr>
            <w:tcW w:w="332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5410EA" w:rsidRDefault="009B3894" w:rsidP="009B3894">
            <w:pPr>
              <w:spacing w:line="216" w:lineRule="auto"/>
              <w:ind w:left="53"/>
              <w:rPr>
                <w:rFonts w:ascii="Calibri" w:hAnsi="Calibri" w:cs="Calibri"/>
                <w:b/>
                <w:bCs/>
              </w:rPr>
            </w:pPr>
            <w:r>
              <w:rPr>
                <w:rFonts w:ascii="Calibri" w:hAnsi="Calibri"/>
                <w:b/>
                <w:color w:val="000000"/>
              </w:rPr>
              <w:t>Зміни</w:t>
            </w:r>
          </w:p>
        </w:tc>
      </w:tr>
      <w:tr w:rsidR="00ED665B" w:rsidRPr="00907702" w:rsidTr="009B3894">
        <w:trPr>
          <w:trHeight w:val="4406"/>
        </w:trPr>
        <w:tc>
          <w:tcPr>
            <w:tcW w:w="4445" w:type="dxa"/>
            <w:tcBorders>
              <w:top w:val="single" w:sz="8" w:space="0" w:color="009649"/>
              <w:left w:val="nil"/>
              <w:bottom w:val="single" w:sz="8" w:space="0" w:color="009649"/>
              <w:right w:val="nil"/>
            </w:tcBorders>
            <w:shd w:val="clear" w:color="auto" w:fill="FFFFFF"/>
          </w:tcPr>
          <w:p w:rsidR="00ED665B" w:rsidRPr="00907702" w:rsidRDefault="00ED665B" w:rsidP="00FE7B24">
            <w:pPr>
              <w:spacing w:line="216" w:lineRule="auto"/>
              <w:rPr>
                <w:rFonts w:ascii="Calibri" w:hAnsi="Calibri" w:cs="Calibri"/>
              </w:rPr>
            </w:pPr>
          </w:p>
        </w:tc>
        <w:tc>
          <w:tcPr>
            <w:tcW w:w="6269" w:type="dxa"/>
            <w:tcBorders>
              <w:top w:val="single" w:sz="8" w:space="0" w:color="009649"/>
              <w:left w:val="nil"/>
              <w:bottom w:val="single" w:sz="8" w:space="0" w:color="009649"/>
              <w:right w:val="nil"/>
            </w:tcBorders>
            <w:shd w:val="clear" w:color="auto" w:fill="FFFFFF"/>
          </w:tcPr>
          <w:p w:rsidR="00ED665B" w:rsidRPr="00907702" w:rsidRDefault="006C7D2F" w:rsidP="00FE7B24">
            <w:pPr>
              <w:spacing w:line="216" w:lineRule="auto"/>
              <w:ind w:left="48" w:right="38"/>
              <w:rPr>
                <w:rFonts w:ascii="Calibri" w:hAnsi="Calibri" w:cs="Calibri"/>
              </w:rPr>
            </w:pPr>
            <w:r>
              <w:rPr>
                <w:rFonts w:ascii="Calibri" w:hAnsi="Calibri"/>
                <w:color w:val="000000"/>
              </w:rPr>
              <w:t>Xpert MTB/RIF та Xpert Ultra в якості первинних тестів на легеневий ТБ серед загальної популяції дорослих, дорослих з ознаками та симптомами ТБ або рентгенограмою грудної клітки з патологіями легень, або обома</w:t>
            </w:r>
          </w:p>
          <w:p w:rsidR="00ED665B" w:rsidRPr="00907702" w:rsidRDefault="006C7D2F" w:rsidP="00406A04">
            <w:pPr>
              <w:tabs>
                <w:tab w:val="left" w:pos="720"/>
              </w:tabs>
              <w:spacing w:line="216" w:lineRule="auto"/>
              <w:ind w:left="347" w:right="38" w:hanging="299"/>
              <w:rPr>
                <w:rFonts w:ascii="Calibri" w:hAnsi="Calibri" w:cs="Calibri"/>
              </w:rPr>
            </w:pPr>
            <w:r>
              <w:rPr>
                <w:rFonts w:ascii="Calibri" w:hAnsi="Calibri"/>
                <w:color w:val="000000"/>
              </w:rPr>
              <w:t>1.</w:t>
            </w:r>
            <w:r>
              <w:rPr>
                <w:rFonts w:ascii="Calibri" w:hAnsi="Calibri"/>
                <w:color w:val="000000"/>
              </w:rPr>
              <w:tab/>
              <w:t>Серед загальної популяції дорослих, які мали ознаки або симптоми ТБ, або на рентгенографії органів грудної клітки яких спостерігається патологія легенів, або обидва варіанти, Xpert MTB/RIF або Xpert Ultra можуть замінити культуральний тест, який робиться в якості первинного тесту на легеневий ТБ (умовна рекомендація, низька якість доказових даних щодо точності тесту для Xpert MTB/RIF та помірна якість доказових даних для Xpert Ultra).</w:t>
            </w:r>
          </w:p>
          <w:p w:rsidR="00ED665B" w:rsidRPr="00907702" w:rsidRDefault="006C7D2F" w:rsidP="00406A04">
            <w:pPr>
              <w:tabs>
                <w:tab w:val="left" w:pos="720"/>
              </w:tabs>
              <w:spacing w:line="216" w:lineRule="auto"/>
              <w:ind w:left="347" w:right="38" w:hanging="299"/>
              <w:rPr>
                <w:rFonts w:ascii="Calibri" w:hAnsi="Calibri" w:cs="Calibri"/>
              </w:rPr>
            </w:pPr>
            <w:r>
              <w:rPr>
                <w:rFonts w:ascii="Calibri" w:hAnsi="Calibri"/>
                <w:color w:val="000000"/>
              </w:rPr>
              <w:t>2.</w:t>
            </w:r>
            <w:r>
              <w:rPr>
                <w:rFonts w:ascii="Calibri" w:hAnsi="Calibri"/>
                <w:color w:val="000000"/>
              </w:rPr>
              <w:tab/>
              <w:t>Серед загальної популяції дорослих, які мали або позитивний скрин симптомів ТБ, на рентгенографії грудної клітки яких спостерігається патологія легень, або і тим, і тим, може бути використаний один тест Xpert Ultra, а не два тести Xpert Ultra в якості первинного тесту на легеневий ТБ (умовна рекомендація, дуже низька якість доказових даних щодо точності тесту).</w:t>
            </w:r>
          </w:p>
        </w:tc>
        <w:tc>
          <w:tcPr>
            <w:tcW w:w="3326" w:type="dxa"/>
            <w:tcBorders>
              <w:top w:val="single" w:sz="8" w:space="0" w:color="009649"/>
              <w:left w:val="nil"/>
              <w:bottom w:val="single" w:sz="8" w:space="0" w:color="009649"/>
              <w:right w:val="nil"/>
            </w:tcBorders>
            <w:shd w:val="clear" w:color="auto" w:fill="FFFFFF"/>
          </w:tcPr>
          <w:p w:rsidR="00ED665B" w:rsidRPr="00907702" w:rsidRDefault="006C7D2F" w:rsidP="00FE7B24">
            <w:pPr>
              <w:spacing w:line="216" w:lineRule="auto"/>
              <w:ind w:left="48" w:right="48"/>
              <w:rPr>
                <w:rFonts w:ascii="Calibri" w:hAnsi="Calibri" w:cs="Calibri"/>
              </w:rPr>
            </w:pPr>
            <w:r>
              <w:rPr>
                <w:rFonts w:ascii="Calibri" w:hAnsi="Calibri"/>
                <w:color w:val="000000"/>
              </w:rPr>
              <w:t>Умовна рекомендація щодо використання Xpert MTB/RIF або Xpert Ultra для індивідуального ведення випадків у осіб з рентгенологічними патологіями (але не в обстеженнях, що оцінюють тягар хвороби).</w:t>
            </w:r>
          </w:p>
        </w:tc>
      </w:tr>
      <w:tr w:rsidR="00ED665B" w:rsidRPr="00907702" w:rsidTr="009B3894">
        <w:trPr>
          <w:trHeight w:val="415"/>
        </w:trPr>
        <w:tc>
          <w:tcPr>
            <w:tcW w:w="14040" w:type="dxa"/>
            <w:gridSpan w:val="3"/>
            <w:tcBorders>
              <w:top w:val="single" w:sz="8" w:space="0" w:color="009649"/>
              <w:left w:val="nil"/>
              <w:bottom w:val="nil"/>
              <w:right w:val="nil"/>
            </w:tcBorders>
            <w:shd w:val="clear" w:color="auto" w:fill="FFFFFF"/>
          </w:tcPr>
          <w:p w:rsidR="00ED665B" w:rsidRPr="00907702" w:rsidRDefault="006C7D2F" w:rsidP="00FE7B24">
            <w:pPr>
              <w:spacing w:after="120"/>
              <w:rPr>
                <w:rFonts w:ascii="Calibri" w:hAnsi="Calibri" w:cs="Calibri"/>
              </w:rPr>
            </w:pPr>
            <w:r>
              <w:rPr>
                <w:rFonts w:ascii="Calibri" w:hAnsi="Calibri"/>
                <w:color w:val="000000"/>
                <w:sz w:val="16"/>
              </w:rPr>
              <w:t>СМР: спинномозкова рідина; ТМЧ: тест медикаментозної чутливості; ВІЛ: вірус імунодефіциту людини; MЛС-TБ: туберкульоз із множинною лікарською стійкістю; ТБ: туберкульоз.</w:t>
            </w:r>
          </w:p>
        </w:tc>
      </w:tr>
    </w:tbl>
    <w:p w:rsidR="00ED665B" w:rsidRPr="00907702" w:rsidRDefault="00ED665B" w:rsidP="00DC2656">
      <w:pPr>
        <w:rPr>
          <w:rFonts w:ascii="Calibri" w:hAnsi="Calibri" w:cs="Calibri"/>
        </w:rPr>
        <w:sectPr w:rsidR="00ED665B" w:rsidRPr="00907702" w:rsidSect="005410EA">
          <w:pgSz w:w="16838" w:h="11904" w:orient="landscape"/>
          <w:pgMar w:top="1406" w:right="1402" w:bottom="3402" w:left="1397" w:header="720" w:footer="720" w:gutter="0"/>
          <w:cols w:space="60"/>
          <w:noEndnote/>
        </w:sectPr>
      </w:pPr>
    </w:p>
    <w:p w:rsidR="00ED665B" w:rsidRPr="005410EA" w:rsidRDefault="006C7D2F" w:rsidP="00DC2656">
      <w:pPr>
        <w:ind w:left="34"/>
        <w:rPr>
          <w:rFonts w:ascii="Calibri" w:hAnsi="Calibri" w:cs="Calibri"/>
          <w:b/>
          <w:bCs/>
        </w:rPr>
      </w:pPr>
      <w:bookmarkStart w:id="8" w:name="bookmark9"/>
      <w:r>
        <w:rPr>
          <w:rFonts w:ascii="Calibri" w:hAnsi="Calibri"/>
          <w:b/>
          <w:color w:val="009649"/>
          <w:sz w:val="28"/>
        </w:rPr>
        <w:lastRenderedPageBreak/>
        <w:t>Тести T</w:t>
      </w:r>
      <w:bookmarkEnd w:id="8"/>
      <w:r>
        <w:rPr>
          <w:rFonts w:ascii="Calibri" w:hAnsi="Calibri"/>
          <w:b/>
          <w:color w:val="009649"/>
          <w:sz w:val="28"/>
        </w:rPr>
        <w:t>ruenat MTB, MTB Plus та MTB-RIF Dx assays</w:t>
      </w:r>
    </w:p>
    <w:p w:rsidR="00ED665B" w:rsidRPr="00907702" w:rsidRDefault="006C7D2F" w:rsidP="00DC2656">
      <w:pPr>
        <w:spacing w:before="168"/>
        <w:ind w:left="34"/>
        <w:jc w:val="both"/>
        <w:rPr>
          <w:rFonts w:ascii="Calibri" w:hAnsi="Calibri" w:cs="Calibri"/>
        </w:rPr>
      </w:pPr>
      <w:r>
        <w:rPr>
          <w:rFonts w:ascii="Calibri" w:hAnsi="Calibri"/>
          <w:color w:val="000000"/>
          <w:sz w:val="22"/>
        </w:rPr>
        <w:t>Нові молекулярні аналізи – тести Truenat MTB, MTB Plus і MTB-RIF Dx (Molbio Diagnostics, Гоа, Індія), далі – Truenat – були розроблені в Індії і можуть використовуватися на тому ж рівні системи охорони здоров’я, що і Xpert MTB/RIF. З усіх вищезазначених аналізів MTB і MTB Plus використовуються в якості первинних діагностичних тестів на ТБ, тоді як MTB-RIF Dx використовується як контрольний тест для виявлення резистентності до рифампіцину для тих, хто має позитивні результати первинних тестів Truenat. Фонд інноваційної діагностики (FIND) та центр співпраці ВООЗ з оцінки нових діагностичних технологій здійснюють багатоцентрові міжнародні оцінки параметрів цільового використання. Враховуючи схожість експлуатаційних характеристик для Xpert MTB/RIF та Truenat, результати дослідження Truenat були розглянуті в рамках того самого засідання Групи з розробки керівництва (ГРН).</w:t>
      </w:r>
    </w:p>
    <w:p w:rsidR="00ED665B" w:rsidRPr="005410EA" w:rsidRDefault="006C7D2F" w:rsidP="00DC2656">
      <w:pPr>
        <w:spacing w:before="235"/>
        <w:ind w:left="34"/>
        <w:rPr>
          <w:rFonts w:ascii="Calibri" w:hAnsi="Calibri" w:cs="Calibri"/>
          <w:b/>
          <w:bCs/>
        </w:rPr>
      </w:pPr>
      <w:r>
        <w:rPr>
          <w:rFonts w:ascii="Calibri" w:hAnsi="Calibri"/>
          <w:b/>
          <w:color w:val="009649"/>
          <w:sz w:val="28"/>
        </w:rPr>
        <w:t>Рекомендації</w:t>
      </w:r>
    </w:p>
    <w:p w:rsidR="00ED665B" w:rsidRPr="00FE7B24" w:rsidRDefault="006C7D2F" w:rsidP="00DC2656">
      <w:pPr>
        <w:spacing w:before="274"/>
        <w:ind w:left="34"/>
        <w:rPr>
          <w:rFonts w:ascii="Calibri" w:hAnsi="Calibri" w:cs="Calibri"/>
          <w:b/>
          <w:bCs/>
          <w:i/>
        </w:rPr>
      </w:pPr>
      <w:r w:rsidRPr="00FE7B24">
        <w:rPr>
          <w:rFonts w:ascii="Calibri" w:hAnsi="Calibri"/>
          <w:b/>
          <w:i/>
          <w:color w:val="009649"/>
          <w:sz w:val="24"/>
        </w:rPr>
        <w:t>Рекомендації щодо Truenat MTB, MTB Plus та Truenat MTB-RIF Dx у дорослих та дітей з ознаками та симптомами легеневого ТБ</w:t>
      </w:r>
    </w:p>
    <w:p w:rsidR="00ED665B" w:rsidRPr="00907702" w:rsidRDefault="00ED665B" w:rsidP="00DC2656">
      <w:pPr>
        <w:spacing w:after="206"/>
        <w:rPr>
          <w:rFonts w:ascii="Calibri" w:hAnsi="Calibri" w:cs="Calibri"/>
          <w:sz w:val="2"/>
          <w:szCs w:val="2"/>
        </w:rPr>
      </w:pPr>
    </w:p>
    <w:tbl>
      <w:tblPr>
        <w:tblW w:w="9077" w:type="dxa"/>
        <w:tblInd w:w="40" w:type="dxa"/>
        <w:tblLayout w:type="fixed"/>
        <w:tblCellMar>
          <w:left w:w="40" w:type="dxa"/>
          <w:right w:w="40" w:type="dxa"/>
        </w:tblCellMar>
        <w:tblLook w:val="0000" w:firstRow="0" w:lastRow="0" w:firstColumn="0" w:lastColumn="0" w:noHBand="0" w:noVBand="0"/>
      </w:tblPr>
      <w:tblGrid>
        <w:gridCol w:w="9077"/>
      </w:tblGrid>
      <w:tr w:rsidR="00ED665B" w:rsidRPr="00907702" w:rsidTr="00FE7B24">
        <w:trPr>
          <w:trHeight w:hRule="exact" w:val="2945"/>
        </w:trPr>
        <w:tc>
          <w:tcPr>
            <w:tcW w:w="9077"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5410EA">
            <w:pPr>
              <w:tabs>
                <w:tab w:val="left" w:pos="787"/>
              </w:tabs>
              <w:spacing w:before="120"/>
              <w:ind w:left="672" w:right="149" w:hanging="461"/>
              <w:rPr>
                <w:rFonts w:ascii="Calibri" w:hAnsi="Calibri" w:cs="Calibri"/>
              </w:rPr>
            </w:pPr>
            <w:r>
              <w:rPr>
                <w:rFonts w:ascii="Calibri" w:hAnsi="Calibri"/>
                <w:color w:val="000000"/>
                <w:sz w:val="22"/>
              </w:rPr>
              <w:t>1.</w:t>
            </w:r>
            <w:r>
              <w:rPr>
                <w:rFonts w:ascii="Calibri" w:hAnsi="Calibri"/>
                <w:color w:val="000000"/>
                <w:sz w:val="22"/>
              </w:rPr>
              <w:tab/>
              <w:t xml:space="preserve">У дорослих та дітей з ознаками та симптомами легеневого ТБ в якості первинного діагностичного тесту на ТБ може використовуватися Truenat MTB або MTB Plus, а не мікроскопія мазка/посів. </w:t>
            </w:r>
            <w:r w:rsidRPr="00FE7B24">
              <w:rPr>
                <w:rFonts w:ascii="Calibri" w:hAnsi="Calibri"/>
                <w:i/>
                <w:color w:val="000000"/>
                <w:sz w:val="22"/>
              </w:rPr>
              <w:t>(Умовна рекомендація, середня якість доказових даних щодо точності тесту)</w:t>
            </w:r>
          </w:p>
          <w:p w:rsidR="00ED665B" w:rsidRPr="00907702" w:rsidRDefault="006C7D2F" w:rsidP="005410EA">
            <w:pPr>
              <w:tabs>
                <w:tab w:val="left" w:pos="787"/>
              </w:tabs>
              <w:spacing w:before="120"/>
              <w:ind w:left="672" w:right="149" w:hanging="461"/>
              <w:rPr>
                <w:rFonts w:ascii="Calibri" w:hAnsi="Calibri" w:cs="Calibri"/>
              </w:rPr>
            </w:pPr>
            <w:r>
              <w:rPr>
                <w:rFonts w:ascii="Calibri" w:hAnsi="Calibri"/>
                <w:color w:val="000000"/>
                <w:sz w:val="22"/>
              </w:rPr>
              <w:t>2.</w:t>
            </w:r>
            <w:r>
              <w:rPr>
                <w:rFonts w:ascii="Calibri" w:hAnsi="Calibri"/>
                <w:color w:val="000000"/>
                <w:sz w:val="22"/>
              </w:rPr>
              <w:tab/>
              <w:t xml:space="preserve">У дорослих та дітей з ознаками та симптомами легеневого туберкульозу та позитивним результатом Truenat MTB або MTB Plus в якості первинного тесту на резистентність до рифампіцину може використовуватися Truenat MTB-RIF Dx, а не посів та фенотипічний ТМЧ: </w:t>
            </w:r>
            <w:r w:rsidRPr="00FE7B24">
              <w:rPr>
                <w:rFonts w:ascii="Calibri" w:hAnsi="Calibri"/>
                <w:i/>
                <w:color w:val="000000"/>
                <w:sz w:val="22"/>
              </w:rPr>
              <w:t>(Умовна рекомендація, дуже низька якість доказових даних щодо точності тесту)</w:t>
            </w:r>
          </w:p>
        </w:tc>
      </w:tr>
    </w:tbl>
    <w:p w:rsidR="00ED665B" w:rsidRPr="005410EA" w:rsidRDefault="006C7D2F" w:rsidP="00DC2656">
      <w:pPr>
        <w:spacing w:before="346"/>
        <w:ind w:left="34"/>
        <w:rPr>
          <w:rFonts w:ascii="Calibri" w:hAnsi="Calibri" w:cs="Calibri"/>
          <w:b/>
          <w:bCs/>
        </w:rPr>
      </w:pPr>
      <w:r>
        <w:rPr>
          <w:rFonts w:ascii="Calibri" w:hAnsi="Calibri"/>
          <w:b/>
          <w:color w:val="000000"/>
          <w:sz w:val="24"/>
        </w:rPr>
        <w:t>Примітки</w:t>
      </w:r>
    </w:p>
    <w:p w:rsidR="00ED665B" w:rsidRPr="00907702" w:rsidRDefault="006C7D2F" w:rsidP="00DC2656">
      <w:pPr>
        <w:spacing w:before="182"/>
        <w:ind w:left="34"/>
        <w:jc w:val="both"/>
        <w:rPr>
          <w:rFonts w:ascii="Calibri" w:hAnsi="Calibri" w:cs="Calibri"/>
        </w:rPr>
      </w:pPr>
      <w:r>
        <w:rPr>
          <w:rFonts w:ascii="Calibri" w:hAnsi="Calibri"/>
          <w:b/>
          <w:color w:val="000000"/>
          <w:sz w:val="22"/>
        </w:rPr>
        <w:t>Щодо рекомендації 1:</w:t>
      </w:r>
      <w:r>
        <w:rPr>
          <w:rFonts w:ascii="Calibri" w:hAnsi="Calibri"/>
          <w:color w:val="000000"/>
          <w:sz w:val="22"/>
        </w:rPr>
        <w:t xml:space="preserve"> Рекомендація стосується пацієнтів, які мають негативний мазок. Щодо використання цих аналізів у ЛЖВ існує певна невизначеність. У пацієнтів, чий мазок виявився негативним, чутливість нижча, ніж у всіх інших пацієнтів. Непрямі дані про точність тесту у пацієнтів з негативними мазками (враховуючи відсутність даних про ЛЖВ для цієї версії Truenat) дали змогу екстраполювати цю рекомендацію на ЛЖВ. Однак визначеність даних щодо точності тесту необхідно зменшити для врахування додаткової опосередкованості. Якщо йдеться про дітей, то не було даних про оцінку точності тесту в різних зразках, і не було достатньо опосередкованих даних для екстраполяції на зразки, відмінні від мокротиння. Ця рекомендація екстраполюється на дітей, у яких в якості зразка бралося мокротиння, хоча очікується, що аналізи у дітей будуть менш чутливими.</w:t>
      </w:r>
    </w:p>
    <w:p w:rsidR="00ED665B" w:rsidRPr="00907702" w:rsidRDefault="006C7D2F" w:rsidP="00DC2656">
      <w:pPr>
        <w:spacing w:before="168"/>
        <w:ind w:left="34"/>
        <w:jc w:val="both"/>
        <w:rPr>
          <w:rFonts w:ascii="Calibri" w:hAnsi="Calibri" w:cs="Calibri"/>
        </w:rPr>
      </w:pPr>
      <w:r>
        <w:rPr>
          <w:rFonts w:ascii="Calibri" w:hAnsi="Calibri"/>
          <w:b/>
          <w:color w:val="000000"/>
          <w:sz w:val="22"/>
        </w:rPr>
        <w:t>Щодо рекомендації 2:</w:t>
      </w:r>
      <w:r>
        <w:rPr>
          <w:rFonts w:ascii="Calibri" w:hAnsi="Calibri"/>
          <w:color w:val="000000"/>
          <w:sz w:val="22"/>
        </w:rPr>
        <w:t xml:space="preserve"> Truenat – це контрольний (двоетапний) тест на резистентність до рифампіцину. Отже, рекомендація щодо Truenat MTB-RIF Dx застосовується лише для пацієнтів з позитивними результатами Truenat MTB або MTB Plus.</w:t>
      </w:r>
    </w:p>
    <w:p w:rsidR="00ED665B" w:rsidRPr="00907702" w:rsidRDefault="00ED665B" w:rsidP="00DC2656">
      <w:pPr>
        <w:spacing w:before="168"/>
        <w:ind w:left="34"/>
        <w:jc w:val="both"/>
        <w:rPr>
          <w:rFonts w:ascii="Calibri" w:hAnsi="Calibri" w:cs="Calibri"/>
        </w:rPr>
        <w:sectPr w:rsidR="00ED665B" w:rsidRPr="00907702">
          <w:headerReference w:type="default" r:id="rId49"/>
          <w:footerReference w:type="default" r:id="rId50"/>
          <w:pgSz w:w="11904" w:h="16838"/>
          <w:pgMar w:top="1378" w:right="1416" w:bottom="2342" w:left="1382" w:header="720" w:footer="720" w:gutter="0"/>
          <w:cols w:space="60"/>
          <w:noEndnote/>
        </w:sectPr>
      </w:pPr>
    </w:p>
    <w:p w:rsidR="00ED665B" w:rsidRPr="005410EA" w:rsidRDefault="006C7D2F" w:rsidP="00DC2656">
      <w:pPr>
        <w:ind w:left="5"/>
        <w:rPr>
          <w:rFonts w:ascii="Calibri" w:hAnsi="Calibri" w:cs="Calibri"/>
          <w:b/>
          <w:bCs/>
        </w:rPr>
      </w:pPr>
      <w:r>
        <w:rPr>
          <w:rFonts w:ascii="Calibri" w:hAnsi="Calibri"/>
          <w:b/>
          <w:color w:val="009649"/>
          <w:sz w:val="28"/>
        </w:rPr>
        <w:lastRenderedPageBreak/>
        <w:t>Описи тестів</w:t>
      </w:r>
    </w:p>
    <w:p w:rsidR="00ED665B" w:rsidRPr="00907702" w:rsidRDefault="006C7D2F" w:rsidP="00DC2656">
      <w:pPr>
        <w:spacing w:before="163"/>
        <w:ind w:right="19"/>
        <w:jc w:val="both"/>
        <w:rPr>
          <w:rFonts w:ascii="Calibri" w:hAnsi="Calibri" w:cs="Calibri"/>
        </w:rPr>
      </w:pPr>
      <w:r>
        <w:rPr>
          <w:rFonts w:ascii="Calibri" w:hAnsi="Calibri"/>
          <w:color w:val="000000"/>
          <w:sz w:val="22"/>
        </w:rPr>
        <w:t>Нові молекулярні аналізи, тести Truenat MTB, MTB Plus та MTB-RIF Dx, розроблені в Індії, можуть використовуватися на тому ж рівні системи охорони здоров’я, що і Xpert MTB/RIF. Ця політика спрямована на такі пристрої Molbio та діагностичні тести</w:t>
      </w:r>
      <w:r w:rsidR="00FE7B24">
        <w:rPr>
          <w:rFonts w:ascii="Calibri" w:hAnsi="Calibri"/>
          <w:color w:val="000000"/>
          <w:sz w:val="22"/>
        </w:rPr>
        <w:t xml:space="preserve"> </w:t>
      </w:r>
      <w:r>
        <w:rPr>
          <w:rFonts w:ascii="Calibri" w:hAnsi="Calibri"/>
          <w:i/>
          <w:color w:val="000000"/>
          <w:sz w:val="22"/>
        </w:rPr>
        <w:t>(13):</w:t>
      </w:r>
    </w:p>
    <w:p w:rsidR="00ED665B" w:rsidRPr="00907702" w:rsidRDefault="006C7D2F" w:rsidP="00DC2656">
      <w:pPr>
        <w:numPr>
          <w:ilvl w:val="0"/>
          <w:numId w:val="10"/>
        </w:numPr>
        <w:tabs>
          <w:tab w:val="left" w:pos="278"/>
        </w:tabs>
        <w:spacing w:before="86"/>
        <w:ind w:left="19"/>
        <w:rPr>
          <w:rFonts w:ascii="Calibri" w:hAnsi="Calibri" w:cs="Calibri"/>
          <w:color w:val="009649"/>
          <w:sz w:val="22"/>
          <w:szCs w:val="22"/>
        </w:rPr>
      </w:pPr>
      <w:r>
        <w:rPr>
          <w:rFonts w:ascii="Calibri" w:hAnsi="Calibri"/>
          <w:color w:val="000000"/>
          <w:sz w:val="22"/>
        </w:rPr>
        <w:t>Система екстракції ДНК Trueprep Auto;</w:t>
      </w:r>
    </w:p>
    <w:p w:rsidR="00ED665B" w:rsidRPr="00907702" w:rsidRDefault="006C7D2F" w:rsidP="00DC2656">
      <w:pPr>
        <w:numPr>
          <w:ilvl w:val="0"/>
          <w:numId w:val="10"/>
        </w:numPr>
        <w:tabs>
          <w:tab w:val="left" w:pos="278"/>
        </w:tabs>
        <w:ind w:left="19"/>
        <w:rPr>
          <w:rFonts w:ascii="Calibri" w:hAnsi="Calibri" w:cs="Calibri"/>
          <w:color w:val="009649"/>
          <w:sz w:val="22"/>
          <w:szCs w:val="22"/>
        </w:rPr>
      </w:pPr>
      <w:r>
        <w:rPr>
          <w:rFonts w:ascii="Calibri" w:hAnsi="Calibri"/>
          <w:color w:val="000000"/>
          <w:sz w:val="22"/>
        </w:rPr>
        <w:t>Мікро-ПЛР аналізатори Truelab DuoDx та Truelab QuattroDx;</w:t>
      </w:r>
    </w:p>
    <w:p w:rsidR="00ED665B" w:rsidRPr="00907702" w:rsidRDefault="006C7D2F" w:rsidP="00DC2656">
      <w:pPr>
        <w:numPr>
          <w:ilvl w:val="0"/>
          <w:numId w:val="10"/>
        </w:numPr>
        <w:tabs>
          <w:tab w:val="left" w:pos="278"/>
        </w:tabs>
        <w:ind w:left="19"/>
        <w:rPr>
          <w:rFonts w:ascii="Calibri" w:hAnsi="Calibri" w:cs="Calibri"/>
          <w:color w:val="009649"/>
          <w:sz w:val="22"/>
          <w:szCs w:val="22"/>
        </w:rPr>
      </w:pPr>
      <w:r>
        <w:rPr>
          <w:rFonts w:ascii="Calibri" w:hAnsi="Calibri"/>
          <w:color w:val="000000"/>
          <w:sz w:val="22"/>
        </w:rPr>
        <w:t>Чип Truelab MTB;</w:t>
      </w:r>
    </w:p>
    <w:p w:rsidR="00ED665B" w:rsidRPr="00907702" w:rsidRDefault="006C7D2F" w:rsidP="00DC2656">
      <w:pPr>
        <w:numPr>
          <w:ilvl w:val="0"/>
          <w:numId w:val="10"/>
        </w:numPr>
        <w:tabs>
          <w:tab w:val="left" w:pos="278"/>
        </w:tabs>
        <w:ind w:left="19"/>
        <w:rPr>
          <w:rFonts w:ascii="Calibri" w:hAnsi="Calibri" w:cs="Calibri"/>
          <w:color w:val="009649"/>
          <w:sz w:val="22"/>
          <w:szCs w:val="22"/>
        </w:rPr>
      </w:pPr>
      <w:r>
        <w:rPr>
          <w:rFonts w:ascii="Calibri" w:hAnsi="Calibri"/>
          <w:color w:val="000000"/>
          <w:sz w:val="22"/>
        </w:rPr>
        <w:t>Чип Truelab MTB Plus; і</w:t>
      </w:r>
    </w:p>
    <w:p w:rsidR="00ED665B" w:rsidRPr="00907702" w:rsidRDefault="006C7D2F" w:rsidP="00DC2656">
      <w:pPr>
        <w:numPr>
          <w:ilvl w:val="0"/>
          <w:numId w:val="10"/>
        </w:numPr>
        <w:tabs>
          <w:tab w:val="left" w:pos="278"/>
        </w:tabs>
        <w:ind w:left="19"/>
        <w:rPr>
          <w:rFonts w:ascii="Calibri" w:hAnsi="Calibri" w:cs="Calibri"/>
          <w:color w:val="009649"/>
          <w:sz w:val="22"/>
          <w:szCs w:val="22"/>
        </w:rPr>
      </w:pPr>
      <w:r>
        <w:rPr>
          <w:rFonts w:ascii="Calibri" w:hAnsi="Calibri"/>
          <w:color w:val="000000"/>
          <w:sz w:val="22"/>
        </w:rPr>
        <w:t>Чип Truelab MTB-RIF Dx.</w:t>
      </w:r>
    </w:p>
    <w:p w:rsidR="00ED665B" w:rsidRPr="00907702" w:rsidRDefault="006C7D2F" w:rsidP="00DC2656">
      <w:pPr>
        <w:spacing w:before="173"/>
        <w:jc w:val="both"/>
        <w:rPr>
          <w:rFonts w:ascii="Calibri" w:hAnsi="Calibri" w:cs="Calibri"/>
        </w:rPr>
      </w:pPr>
      <w:r>
        <w:rPr>
          <w:rFonts w:ascii="Calibri" w:hAnsi="Calibri"/>
          <w:color w:val="000000"/>
          <w:sz w:val="22"/>
        </w:rPr>
        <w:t xml:space="preserve">Тести Truenat MTB і MTB Plus та контрольний аналіз для виявлення резистентності до рифампіцину (Truenat MTB-RIF Dx) (Molbio Diagnostics, Індія) використовують мікрокристалічну рентгенографію в реальному часі для виявлення </w:t>
      </w:r>
      <w:r>
        <w:rPr>
          <w:rFonts w:ascii="Calibri" w:hAnsi="Calibri"/>
          <w:i/>
          <w:color w:val="000000"/>
          <w:sz w:val="22"/>
        </w:rPr>
        <w:t>M. tuberculosis</w:t>
      </w:r>
      <w:r>
        <w:rPr>
          <w:rFonts w:ascii="Calibri" w:hAnsi="Calibri"/>
          <w:color w:val="000000"/>
          <w:sz w:val="22"/>
        </w:rPr>
        <w:t xml:space="preserve"> та вибраної резистентності до рифампіцину у ДНК, вилученій із зразка мокротиння пацієнта (</w:t>
      </w:r>
      <w:r>
        <w:rPr>
          <w:rFonts w:ascii="Calibri" w:hAnsi="Calibri"/>
          <w:color w:val="1B61AF"/>
          <w:sz w:val="22"/>
        </w:rPr>
        <w:t>Рис. 2.1.3</w:t>
      </w:r>
      <w:r>
        <w:rPr>
          <w:rFonts w:ascii="Calibri" w:hAnsi="Calibri"/>
          <w:color w:val="000000"/>
          <w:sz w:val="22"/>
        </w:rPr>
        <w:t>). Для аналізів використовуються автоматизовані пристрої, що працюють на батареях, для екстракції, ампліфікації та підтвердження наявності специфічних локусів геномної ДНК, що дозволяє швидко діагностувати туберкульозні інфекції з мінімальним втручанням користувача. Ці пристрої призначені для експлуатації у периферійних лабораторіях з мінімальною інфраструктурою, а технічні працівники, які мають лише мінімальну підготовку, можуть легко проводити ці тести на регулярній основі у своїх закладах та повідомляти результати менше ніж за 1 годину. Більше того, за допомогою цих пристроїв тестування на ПЛР можна також розпочати на місцевому рівні, у центрі.</w:t>
      </w:r>
    </w:p>
    <w:p w:rsidR="00ED665B" w:rsidRPr="00907702" w:rsidRDefault="006C7D2F" w:rsidP="00DC2656">
      <w:pPr>
        <w:spacing w:before="168"/>
        <w:ind w:left="5" w:right="10"/>
        <w:jc w:val="both"/>
        <w:rPr>
          <w:rFonts w:ascii="Calibri" w:hAnsi="Calibri" w:cs="Calibri"/>
        </w:rPr>
      </w:pPr>
      <w:r>
        <w:rPr>
          <w:rFonts w:ascii="Calibri" w:hAnsi="Calibri"/>
          <w:color w:val="000000"/>
          <w:sz w:val="22"/>
        </w:rPr>
        <w:t xml:space="preserve">Якщо результат аналізу Truenat MTB позитивний, то користувач може потім взяти іншу аліквоту екстрагованої ДНК і провести тест MTB-RIF Dx, щоб виявити наявність вибраних мутацій, пов’язаних із резистентністю до рифампіцину. Діагностична ефективність цих тестів раніше оцінювалася в центрах мікроскопії в Індії </w:t>
      </w:r>
      <w:r>
        <w:rPr>
          <w:rFonts w:ascii="Calibri" w:hAnsi="Calibri"/>
          <w:i/>
          <w:color w:val="000000"/>
          <w:sz w:val="22"/>
        </w:rPr>
        <w:t>(13)</w:t>
      </w:r>
      <w:r>
        <w:rPr>
          <w:rFonts w:ascii="Calibri" w:hAnsi="Calibri"/>
          <w:color w:val="000000"/>
          <w:sz w:val="22"/>
        </w:rPr>
        <w:t>, але для підтвердження результатів аналізу необхідна більш детальна оцінка експлуатаційних характеристик та прийнятності технології в передбачуваних умовах використання.</w:t>
      </w:r>
    </w:p>
    <w:p w:rsidR="00ED665B" w:rsidRPr="005410EA" w:rsidRDefault="006C7D2F" w:rsidP="00DC2656">
      <w:pPr>
        <w:spacing w:before="274"/>
        <w:ind w:left="14"/>
        <w:rPr>
          <w:rFonts w:ascii="Calibri" w:hAnsi="Calibri" w:cs="Calibri"/>
          <w:b/>
          <w:bCs/>
          <w:color w:val="7F7F7F" w:themeColor="text1" w:themeTint="80"/>
        </w:rPr>
      </w:pPr>
      <w:bookmarkStart w:id="9" w:name="bookmark10"/>
      <w:r>
        <w:rPr>
          <w:rFonts w:ascii="Calibri" w:hAnsi="Calibri"/>
          <w:b/>
          <w:color w:val="7F7F7F" w:themeColor="text1" w:themeTint="80"/>
          <w:sz w:val="22"/>
        </w:rPr>
        <w:t>Р</w:t>
      </w:r>
      <w:bookmarkEnd w:id="9"/>
      <w:r>
        <w:rPr>
          <w:rFonts w:ascii="Calibri" w:hAnsi="Calibri"/>
          <w:b/>
          <w:color w:val="7F7F7F" w:themeColor="text1" w:themeTint="80"/>
          <w:sz w:val="22"/>
        </w:rPr>
        <w:t>ис. 2.1.3. Обладнання Molbio для запуску тестів Truenat MTB, MTB Plus і MTB-RIF Dx: (а) Інструмент Trueprep для підготовки зразків; (б) інструмент ПЛР у реальному часі Truelab Uno Dx для проведення тестів та (в) чип для ПЛР у реальному часі.</w:t>
      </w:r>
    </w:p>
    <w:p w:rsidR="00ED665B" w:rsidRPr="00907702" w:rsidRDefault="00CD1F71" w:rsidP="00DC2656">
      <w:pPr>
        <w:spacing w:before="178"/>
        <w:rPr>
          <w:rFonts w:ascii="Calibri" w:hAnsi="Calibri" w:cs="Calibri"/>
        </w:rPr>
      </w:pPr>
      <w:r>
        <w:rPr>
          <w:rFonts w:ascii="Calibri" w:hAnsi="Calibri"/>
          <w:noProof/>
          <w:lang w:val="en-US" w:bidi="ar-SA"/>
        </w:rPr>
        <w:drawing>
          <wp:inline distT="0" distB="0" distL="0" distR="0">
            <wp:extent cx="5852160" cy="149479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2160" cy="1494790"/>
                    </a:xfrm>
                    <a:prstGeom prst="rect">
                      <a:avLst/>
                    </a:prstGeom>
                    <a:noFill/>
                    <a:ln>
                      <a:noFill/>
                    </a:ln>
                  </pic:spPr>
                </pic:pic>
              </a:graphicData>
            </a:graphic>
          </wp:inline>
        </w:drawing>
      </w:r>
    </w:p>
    <w:p w:rsidR="00ED665B" w:rsidRPr="00907702" w:rsidRDefault="006C7D2F" w:rsidP="00DC2656">
      <w:pPr>
        <w:spacing w:before="24"/>
        <w:ind w:left="10"/>
        <w:rPr>
          <w:rFonts w:ascii="Calibri" w:hAnsi="Calibri" w:cs="Calibri"/>
        </w:rPr>
      </w:pPr>
      <w:r>
        <w:rPr>
          <w:rFonts w:ascii="Calibri" w:hAnsi="Calibri"/>
          <w:color w:val="000000"/>
          <w:sz w:val="16"/>
        </w:rPr>
        <w:t>ПЛР: полімеразна ланцюгова реакція.</w:t>
      </w:r>
    </w:p>
    <w:p w:rsidR="00ED665B" w:rsidRPr="00907702" w:rsidRDefault="006C7D2F" w:rsidP="00DC2656">
      <w:pPr>
        <w:spacing w:before="91"/>
        <w:ind w:left="5"/>
        <w:rPr>
          <w:rFonts w:ascii="Calibri" w:hAnsi="Calibri" w:cs="Calibri"/>
        </w:rPr>
      </w:pPr>
      <w:r>
        <w:rPr>
          <w:rFonts w:ascii="Calibri" w:hAnsi="Calibri"/>
          <w:color w:val="000000"/>
          <w:sz w:val="16"/>
        </w:rPr>
        <w:t>Джерело: Відтворено з дозволу компанії «Molbio Diagnostics», © 2021. Усі права захищені.</w:t>
      </w:r>
    </w:p>
    <w:p w:rsidR="00ED665B" w:rsidRPr="00406A04" w:rsidRDefault="00640824" w:rsidP="00DC2656">
      <w:pPr>
        <w:spacing w:before="379"/>
        <w:ind w:left="5"/>
        <w:rPr>
          <w:rFonts w:ascii="Calibri" w:hAnsi="Calibri" w:cs="Calibri"/>
          <w:b/>
          <w:color w:val="009649"/>
        </w:rPr>
      </w:pPr>
      <w:r w:rsidRPr="00406A04">
        <w:rPr>
          <w:rFonts w:ascii="Calibri" w:hAnsi="Calibri"/>
          <w:b/>
          <w:color w:val="009649"/>
          <w:sz w:val="28"/>
        </w:rPr>
        <w:t>Обґрунтування та дані</w:t>
      </w:r>
    </w:p>
    <w:p w:rsidR="00ED665B" w:rsidRPr="00907702" w:rsidRDefault="006C7D2F" w:rsidP="00DC2656">
      <w:pPr>
        <w:spacing w:before="163"/>
        <w:ind w:left="14" w:right="14"/>
        <w:jc w:val="both"/>
        <w:rPr>
          <w:rFonts w:ascii="Calibri" w:hAnsi="Calibri" w:cs="Calibri"/>
        </w:rPr>
      </w:pPr>
      <w:r>
        <w:rPr>
          <w:rFonts w:ascii="Calibri" w:hAnsi="Calibri"/>
          <w:color w:val="000000"/>
          <w:sz w:val="22"/>
        </w:rPr>
        <w:t>Дані про використання систем Truenat MTB, MTB Plus та MTB-RIF Dx були сформовані багатосторонніми міжнародними оцінками в умовах цільового використання, реалізованих FIND.</w:t>
      </w:r>
    </w:p>
    <w:p w:rsidR="00ED665B" w:rsidRPr="00907702" w:rsidRDefault="00ED665B" w:rsidP="00DC2656">
      <w:pPr>
        <w:spacing w:before="163"/>
        <w:ind w:left="14" w:right="14"/>
        <w:jc w:val="both"/>
        <w:rPr>
          <w:rFonts w:ascii="Calibri" w:hAnsi="Calibri" w:cs="Calibri"/>
        </w:rPr>
        <w:sectPr w:rsidR="00ED665B" w:rsidRPr="00907702">
          <w:headerReference w:type="even" r:id="rId52"/>
          <w:footerReference w:type="even" r:id="rId53"/>
          <w:pgSz w:w="11904" w:h="16838"/>
          <w:pgMar w:top="1387" w:right="1301" w:bottom="1762" w:left="1382" w:header="720" w:footer="720" w:gutter="0"/>
          <w:cols w:space="60"/>
          <w:noEndnote/>
        </w:sectPr>
      </w:pPr>
    </w:p>
    <w:p w:rsidR="00ED665B" w:rsidRPr="00907702" w:rsidRDefault="006C7D2F" w:rsidP="00DC2656">
      <w:pPr>
        <w:ind w:right="10"/>
        <w:jc w:val="both"/>
        <w:rPr>
          <w:rFonts w:ascii="Calibri" w:hAnsi="Calibri" w:cs="Calibri"/>
        </w:rPr>
      </w:pPr>
      <w:r>
        <w:rPr>
          <w:rFonts w:ascii="Calibri" w:hAnsi="Calibri"/>
          <w:color w:val="000000"/>
          <w:sz w:val="22"/>
        </w:rPr>
        <w:lastRenderedPageBreak/>
        <w:t>Питання щодо кількості населення, заходів, порівняння, результату (PICO) були розроблені, щоб створити основу для пошуку, зберігання та аналізу даних.</w:t>
      </w:r>
    </w:p>
    <w:p w:rsidR="00981A43" w:rsidRPr="00907702" w:rsidRDefault="00981A43" w:rsidP="00981A43">
      <w:pPr>
        <w:tabs>
          <w:tab w:val="left" w:pos="739"/>
        </w:tabs>
        <w:spacing w:before="5280"/>
        <w:ind w:left="514"/>
        <w:rPr>
          <w:rFonts w:ascii="Calibri" w:hAnsi="Calibri" w:cs="Calibri"/>
        </w:rPr>
      </w:pPr>
      <w:r>
        <w:rPr>
          <w:rFonts w:ascii="Calibri" w:hAnsi="Calibri"/>
          <w:noProof/>
          <w:lang w:val="en-US" w:bidi="ar-SA"/>
        </w:rPr>
        <mc:AlternateContent>
          <mc:Choice Requires="wpg">
            <w:drawing>
              <wp:anchor distT="0" distB="0" distL="114300" distR="114300" simplePos="0" relativeHeight="251681792" behindDoc="0" locked="0" layoutInCell="1" allowOverlap="1" wp14:anchorId="1EB9C71A" wp14:editId="5817ED23">
                <wp:simplePos x="0" y="0"/>
                <wp:positionH relativeFrom="margin">
                  <wp:posOffset>23940</wp:posOffset>
                </wp:positionH>
                <wp:positionV relativeFrom="paragraph">
                  <wp:posOffset>225079</wp:posOffset>
                </wp:positionV>
                <wp:extent cx="5779104" cy="3693226"/>
                <wp:effectExtent l="0" t="0" r="0" b="2540"/>
                <wp:wrapNone/>
                <wp:docPr id="535" name="Группа 535"/>
                <wp:cNvGraphicFramePr/>
                <a:graphic xmlns:a="http://schemas.openxmlformats.org/drawingml/2006/main">
                  <a:graphicData uri="http://schemas.microsoft.com/office/word/2010/wordprocessingGroup">
                    <wpg:wgp>
                      <wpg:cNvGrpSpPr/>
                      <wpg:grpSpPr>
                        <a:xfrm>
                          <a:off x="0" y="0"/>
                          <a:ext cx="5779104" cy="3693226"/>
                          <a:chOff x="-141" y="485"/>
                          <a:chExt cx="5779661" cy="3384753"/>
                        </a:xfrm>
                      </wpg:grpSpPr>
                      <wps:wsp>
                        <wps:cNvPr id="536" name="Прямоугольник с двумя скругленными соседними углами 536"/>
                        <wps:cNvSpPr/>
                        <wps:spPr>
                          <a:xfrm rot="5400000">
                            <a:off x="1276633" y="-1117648"/>
                            <a:ext cx="3384753"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Прямоугольник с двумя скругленными соседними углами 537"/>
                        <wps:cNvSpPr/>
                        <wps:spPr>
                          <a:xfrm rot="5400000">
                            <a:off x="1391203" y="-1242494"/>
                            <a:ext cx="340793" cy="3123481"/>
                          </a:xfrm>
                          <a:prstGeom prst="round2SameRect">
                            <a:avLst>
                              <a:gd name="adj1" fmla="val 50000"/>
                              <a:gd name="adj2" fmla="val 0"/>
                            </a:avLst>
                          </a:prstGeom>
                          <a:solidFill>
                            <a:srgbClr val="0096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Надпись 538"/>
                        <wps:cNvSpPr txBox="1"/>
                        <wps:spPr>
                          <a:xfrm>
                            <a:off x="161888" y="219896"/>
                            <a:ext cx="5029200" cy="287020"/>
                          </a:xfrm>
                          <a:prstGeom prst="rect">
                            <a:avLst/>
                          </a:prstGeom>
                          <a:noFill/>
                          <a:ln w="6350">
                            <a:noFill/>
                          </a:ln>
                        </wps:spPr>
                        <wps:txbx>
                          <w:txbxContent>
                            <w:p w:rsidR="00BE6F5B" w:rsidRPr="00A3729E" w:rsidRDefault="00BE6F5B" w:rsidP="007C33E8">
                              <w:pPr>
                                <w:rPr>
                                  <w:rFonts w:asciiTheme="minorHAnsi" w:hAnsiTheme="minorHAnsi" w:cstheme="minorHAnsi"/>
                                </w:rPr>
                              </w:pPr>
                              <w:r>
                                <w:rPr>
                                  <w:rFonts w:asciiTheme="minorHAnsi" w:hAnsiTheme="minorHAnsi"/>
                                  <w:b/>
                                  <w:color w:val="FFFFFF"/>
                                  <w:sz w:val="22"/>
                                </w:rPr>
                                <w:t>Вставка 2.1.2. Питання та підпитання PICO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9" name="Надпись 539"/>
                        <wps:cNvSpPr txBox="1"/>
                        <wps:spPr>
                          <a:xfrm>
                            <a:off x="385092" y="570723"/>
                            <a:ext cx="5082362" cy="2716564"/>
                          </a:xfrm>
                          <a:prstGeom prst="rect">
                            <a:avLst/>
                          </a:prstGeom>
                          <a:noFill/>
                          <a:ln w="6350">
                            <a:noFill/>
                          </a:ln>
                        </wps:spPr>
                        <wps:txbx>
                          <w:txbxContent>
                            <w:p w:rsidR="00BE6F5B" w:rsidRPr="00F85B2E" w:rsidRDefault="00BE6F5B" w:rsidP="00406A04">
                              <w:pPr>
                                <w:spacing w:after="120"/>
                                <w:ind w:left="993" w:hanging="993"/>
                                <w:jc w:val="both"/>
                                <w:rPr>
                                  <w:rFonts w:ascii="Calibri" w:hAnsi="Calibri" w:cs="Calibri"/>
                                  <w:b/>
                                  <w:bCs/>
                                  <w:color w:val="000000"/>
                                </w:rPr>
                              </w:pPr>
                              <w:r>
                                <w:rPr>
                                  <w:rFonts w:ascii="Calibri" w:hAnsi="Calibri"/>
                                  <w:b/>
                                  <w:color w:val="000000"/>
                                </w:rPr>
                                <w:t xml:space="preserve">PICO 1: </w:t>
                              </w:r>
                              <w:r>
                                <w:rPr>
                                  <w:rFonts w:ascii="Calibri" w:hAnsi="Calibri"/>
                                  <w:b/>
                                  <w:color w:val="000000"/>
                                </w:rPr>
                                <w:tab/>
                                <w:t>Чи слід застосовувати Molbio Truenat MTB, MTB Plus та MTB-RIF Dx серед людей з ознаками та симптомами легеневого ТБ у лікувальних закладах в якості первинного тесту для діагностики легеневого ТБ та резистентності до рифампіцину?</w:t>
                              </w:r>
                            </w:p>
                            <w:p w:rsidR="00BE6F5B" w:rsidRPr="007C33E8" w:rsidRDefault="00BE6F5B" w:rsidP="00406A04">
                              <w:pPr>
                                <w:tabs>
                                  <w:tab w:val="left" w:pos="426"/>
                                </w:tabs>
                                <w:spacing w:after="120"/>
                                <w:jc w:val="both"/>
                                <w:rPr>
                                  <w:rFonts w:ascii="Calibri" w:hAnsi="Calibri" w:cs="Calibri"/>
                                  <w:color w:val="000000"/>
                                </w:rPr>
                              </w:pPr>
                              <w:r>
                                <w:rPr>
                                  <w:rFonts w:ascii="Calibri" w:hAnsi="Calibri"/>
                                  <w:color w:val="000000"/>
                                </w:rPr>
                                <w:t>1.1 Яка діагностична точність Truenat MTB для діагностики легеневого ТБ у дорослих людей з ознаками та симптомами легеневого ТБ порівняно з МРС?</w:t>
                              </w:r>
                            </w:p>
                            <w:p w:rsidR="00BE6F5B" w:rsidRPr="007C33E8" w:rsidRDefault="00BE6F5B" w:rsidP="00406A04">
                              <w:pPr>
                                <w:tabs>
                                  <w:tab w:val="left" w:pos="426"/>
                                </w:tabs>
                                <w:spacing w:after="120"/>
                                <w:jc w:val="both"/>
                                <w:rPr>
                                  <w:rFonts w:ascii="Calibri" w:hAnsi="Calibri" w:cs="Calibri"/>
                                  <w:color w:val="000000"/>
                                </w:rPr>
                              </w:pPr>
                              <w:r>
                                <w:rPr>
                                  <w:rFonts w:ascii="Calibri" w:hAnsi="Calibri"/>
                                  <w:color w:val="000000"/>
                                </w:rPr>
                                <w:t>1.2 Яка діагностична точність Truenat MTB Plus для діагностики легеневого ТБ у дорослих людей з ознаками та симптомами легеневого ТБ порівняно з МРС?</w:t>
                              </w:r>
                            </w:p>
                            <w:p w:rsidR="00BE6F5B" w:rsidRPr="007C33E8" w:rsidRDefault="00BE6F5B" w:rsidP="00406A04">
                              <w:pPr>
                                <w:tabs>
                                  <w:tab w:val="left" w:pos="426"/>
                                </w:tabs>
                                <w:spacing w:after="120"/>
                                <w:jc w:val="both"/>
                                <w:rPr>
                                  <w:rFonts w:ascii="Calibri" w:hAnsi="Calibri" w:cs="Calibri"/>
                                  <w:color w:val="000000"/>
                                </w:rPr>
                              </w:pPr>
                              <w:r>
                                <w:rPr>
                                  <w:rFonts w:ascii="Calibri" w:hAnsi="Calibri"/>
                                  <w:color w:val="000000"/>
                                </w:rPr>
                                <w:t>1.3 Яка діагностична точність Truenat MTB-RIF Dx для діагностики резистентності до рифампіцину у дорослих з ознаками та симптомами легеневого ТБ порівняно з МРС?</w:t>
                              </w:r>
                            </w:p>
                            <w:p w:rsidR="00BE6F5B" w:rsidRPr="00406A04" w:rsidRDefault="00BE6F5B" w:rsidP="00406A04">
                              <w:pPr>
                                <w:spacing w:after="120"/>
                                <w:jc w:val="both"/>
                                <w:rPr>
                                  <w:rFonts w:ascii="Calibri" w:hAnsi="Calibri" w:cs="Calibri"/>
                                  <w:b/>
                                  <w:color w:val="000000"/>
                                </w:rPr>
                              </w:pPr>
                              <w:r w:rsidRPr="00406A04">
                                <w:rPr>
                                  <w:rFonts w:ascii="Calibri" w:hAnsi="Calibri"/>
                                  <w:b/>
                                  <w:color w:val="000000"/>
                                </w:rPr>
                                <w:t>Додаткові питання</w:t>
                              </w:r>
                            </w:p>
                            <w:p w:rsidR="00BE6F5B" w:rsidRPr="007C33E8" w:rsidRDefault="00BE6F5B" w:rsidP="00406A04">
                              <w:pPr>
                                <w:tabs>
                                  <w:tab w:val="left" w:pos="284"/>
                                </w:tabs>
                                <w:spacing w:after="120"/>
                                <w:jc w:val="both"/>
                                <w:rPr>
                                  <w:rFonts w:ascii="Calibri" w:hAnsi="Calibri" w:cs="Calibri"/>
                                  <w:color w:val="000000"/>
                                </w:rPr>
                              </w:pPr>
                              <w:r>
                                <w:rPr>
                                  <w:rFonts w:ascii="Calibri" w:hAnsi="Calibri"/>
                                  <w:color w:val="000000"/>
                                </w:rPr>
                                <w:t>1.</w:t>
                              </w:r>
                              <w:r>
                                <w:rPr>
                                  <w:rFonts w:ascii="Calibri" w:hAnsi="Calibri"/>
                                  <w:color w:val="000000"/>
                                </w:rPr>
                                <w:tab/>
                                <w:t>Якими є порівняльні витрати, доступність та співвідношення витрати / ефективність щодо впровадження систем Truenat MTB, MTB Plus та MTB-RIF Dx?</w:t>
                              </w:r>
                            </w:p>
                            <w:p w:rsidR="00BE6F5B" w:rsidRPr="00F85B2E" w:rsidRDefault="00BE6F5B" w:rsidP="00406A04">
                              <w:pPr>
                                <w:tabs>
                                  <w:tab w:val="left" w:pos="284"/>
                                </w:tabs>
                                <w:spacing w:after="120"/>
                                <w:jc w:val="both"/>
                                <w:rPr>
                                  <w:rFonts w:asciiTheme="minorHAnsi" w:hAnsiTheme="minorHAnsi" w:cstheme="minorHAnsi"/>
                                </w:rPr>
                              </w:pPr>
                              <w:r>
                                <w:rPr>
                                  <w:rFonts w:ascii="Calibri" w:hAnsi="Calibri"/>
                                  <w:color w:val="000000"/>
                                </w:rPr>
                                <w:t>2.</w:t>
                              </w:r>
                              <w:r>
                                <w:rPr>
                                  <w:rFonts w:ascii="Calibri" w:hAnsi="Calibri"/>
                                  <w:color w:val="000000"/>
                                </w:rPr>
                                <w:tab/>
                                <w:t>Чи є наслідки щодо доцільності, доступності, рівності можливостей для пацієнтів та стосовно забезпечення прав людини від впровадження систем Truenat MTB, MTB Plus та MTB-RIF Dx?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9C71A" id="Группа 535" o:spid="_x0000_s1043" style="position:absolute;left:0;text-align:left;margin-left:1.9pt;margin-top:17.7pt;width:455.05pt;height:290.8pt;z-index:251681792;mso-position-horizontal-relative:margin;mso-width-relative:margin;mso-height-relative:margin" coordorigin="-1,4" coordsize="57796,3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">
                <v:shape id="Прямоугольник с двумя скругленными соседними углами 536" o:spid="_x0000_s1044" style="position:absolute;left:12766;top:-11177;width:33848;height:56210;rotation:90;visibility:visible;mso-wrap-style:square;v-text-anchor:middle" coordsize="3384753,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" path="m279682,l3105071,v154464,,279682,125218,279682,279682l3384753,5621020r,l,5621020r,l,279682c,125218,125218,,279682,xe" fillcolor="#c6e0ce" stroked="f" strokeweight="1pt">
                  <v:stroke joinstyle="miter"/>
                  <v:path arrowok="t" o:connecttype="custom" o:connectlocs="279682,0;3105071,0;3384753,279682;3384753,5621020;3384753,5621020;0,5621020;0,5621020;0,279682;279682,0" o:connectangles="0,0,0,0,0,0,0,0,0"/>
                </v:shape>
                <v:shape id="Прямоугольник с двумя скругленными соседними углами 537" o:spid="_x0000_s1045" style="position:absolute;left:13912;top:-12425;width:3408;height:31234;rotation:90;visibility:visible;mso-wrap-style:square;v-text-anchor:middle" coordsize="340793,312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" path="m170397,r,c264505,,340794,76289,340794,170397v,984361,-1,1968723,-1,2953084l340793,3123481,,3123481r,l,170397c,76289,76289,,170397,xe" fillcolor="#009649" stroked="f" strokeweight="1pt">
                  <v:stroke joinstyle="miter"/>
                  <v:path arrowok="t" o:connecttype="custom" o:connectlocs="170397,0;170397,0;340794,170397;340793,3123481;340793,3123481;0,3123481;0,3123481;0,170397;170397,0" o:connectangles="0,0,0,0,0,0,0,0,0"/>
                </v:shape>
                <v:shape id="Надпись 538" o:spid="_x0000_s1046" type="#_x0000_t202" style="position:absolute;left:1618;top:2198;width:50292;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" filled="f" stroked="f" strokeweight=".5pt">
                  <v:textbox inset="0,0,0,0">
                    <w:txbxContent>
                      <w:p w:rsidR="00BE6F5B" w:rsidRPr="00A3729E" w:rsidRDefault="00BE6F5B" w:rsidP="007C33E8">
                        <w:pPr>
                          <w:rPr>
                            <w:rFonts w:asciiTheme="minorHAnsi" w:hAnsiTheme="minorHAnsi" w:cstheme="minorHAnsi"/>
                          </w:rPr>
                        </w:pPr>
                        <w:r>
                          <w:rPr>
                            <w:rFonts w:asciiTheme="minorHAnsi" w:hAnsiTheme="minorHAnsi"/>
                            <w:b/>
                            <w:color w:val="FFFFFF"/>
                            <w:sz w:val="22"/>
                          </w:rPr>
                          <w:t>Вставка 2.1.2. Питання та підпитання PICO</w:t>
                        </w:r>
                      </w:p>
                    </w:txbxContent>
                  </v:textbox>
                </v:shape>
                <v:shape id="Надпись 539" o:spid="_x0000_s1047" type="#_x0000_t202" style="position:absolute;left:3850;top:5707;width:50824;height:27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" filled="f" stroked="f" strokeweight=".5pt">
                  <v:textbox inset="0,0,0,0">
                    <w:txbxContent>
                      <w:p w:rsidR="00BE6F5B" w:rsidRPr="00F85B2E" w:rsidRDefault="00BE6F5B" w:rsidP="00406A04">
                        <w:pPr>
                          <w:spacing w:after="120"/>
                          <w:ind w:left="993" w:hanging="993"/>
                          <w:jc w:val="both"/>
                          <w:rPr>
                            <w:rFonts w:ascii="Calibri" w:hAnsi="Calibri" w:cs="Calibri"/>
                            <w:b/>
                            <w:bCs/>
                            <w:color w:val="000000"/>
                          </w:rPr>
                        </w:pPr>
                        <w:r>
                          <w:rPr>
                            <w:rFonts w:ascii="Calibri" w:hAnsi="Calibri"/>
                            <w:b/>
                            <w:color w:val="000000"/>
                          </w:rPr>
                          <w:t xml:space="preserve">PICO 1: </w:t>
                        </w:r>
                        <w:r>
                          <w:rPr>
                            <w:rFonts w:ascii="Calibri" w:hAnsi="Calibri"/>
                            <w:b/>
                            <w:color w:val="000000"/>
                          </w:rPr>
                          <w:tab/>
                          <w:t>Чи слід застосовувати Molbio Truenat MTB, MTB Plus та MTB-RIF Dx серед людей з ознаками та симптомами легеневого ТБ у лікувальних закладах в якості первинного тесту для діагностики легеневого ТБ та резистентності до рифампіцину?</w:t>
                        </w:r>
                      </w:p>
                      <w:p w:rsidR="00BE6F5B" w:rsidRPr="007C33E8" w:rsidRDefault="00BE6F5B" w:rsidP="00406A04">
                        <w:pPr>
                          <w:tabs>
                            <w:tab w:val="left" w:pos="426"/>
                          </w:tabs>
                          <w:spacing w:after="120"/>
                          <w:jc w:val="both"/>
                          <w:rPr>
                            <w:rFonts w:ascii="Calibri" w:hAnsi="Calibri" w:cs="Calibri"/>
                            <w:color w:val="000000"/>
                          </w:rPr>
                        </w:pPr>
                        <w:r>
                          <w:rPr>
                            <w:rFonts w:ascii="Calibri" w:hAnsi="Calibri"/>
                            <w:color w:val="000000"/>
                          </w:rPr>
                          <w:t>1.1 Яка діагностична точність Truenat MTB для діагностики легеневого ТБ у дорослих людей з ознаками та симптомами легеневого ТБ порівняно з МРС?</w:t>
                        </w:r>
                      </w:p>
                      <w:p w:rsidR="00BE6F5B" w:rsidRPr="007C33E8" w:rsidRDefault="00BE6F5B" w:rsidP="00406A04">
                        <w:pPr>
                          <w:tabs>
                            <w:tab w:val="left" w:pos="426"/>
                          </w:tabs>
                          <w:spacing w:after="120"/>
                          <w:jc w:val="both"/>
                          <w:rPr>
                            <w:rFonts w:ascii="Calibri" w:hAnsi="Calibri" w:cs="Calibri"/>
                            <w:color w:val="000000"/>
                          </w:rPr>
                        </w:pPr>
                        <w:r>
                          <w:rPr>
                            <w:rFonts w:ascii="Calibri" w:hAnsi="Calibri"/>
                            <w:color w:val="000000"/>
                          </w:rPr>
                          <w:t>1.2 Яка діагностична точність Truenat MTB Plus для діагностики легеневого ТБ у дорослих людей з ознаками та симптомами легеневого ТБ порівняно з МРС?</w:t>
                        </w:r>
                      </w:p>
                      <w:p w:rsidR="00BE6F5B" w:rsidRPr="007C33E8" w:rsidRDefault="00BE6F5B" w:rsidP="00406A04">
                        <w:pPr>
                          <w:tabs>
                            <w:tab w:val="left" w:pos="426"/>
                          </w:tabs>
                          <w:spacing w:after="120"/>
                          <w:jc w:val="both"/>
                          <w:rPr>
                            <w:rFonts w:ascii="Calibri" w:hAnsi="Calibri" w:cs="Calibri"/>
                            <w:color w:val="000000"/>
                          </w:rPr>
                        </w:pPr>
                        <w:r>
                          <w:rPr>
                            <w:rFonts w:ascii="Calibri" w:hAnsi="Calibri"/>
                            <w:color w:val="000000"/>
                          </w:rPr>
                          <w:t>1.3 Яка діагностична точність Truenat MTB-RIF Dx для діагностики резистентності до рифампіцину у дорослих з ознаками та симптомами легеневого ТБ порівняно з МРС?</w:t>
                        </w:r>
                      </w:p>
                      <w:p w:rsidR="00BE6F5B" w:rsidRPr="00406A04" w:rsidRDefault="00BE6F5B" w:rsidP="00406A04">
                        <w:pPr>
                          <w:spacing w:after="120"/>
                          <w:jc w:val="both"/>
                          <w:rPr>
                            <w:rFonts w:ascii="Calibri" w:hAnsi="Calibri" w:cs="Calibri"/>
                            <w:b/>
                            <w:color w:val="000000"/>
                          </w:rPr>
                        </w:pPr>
                        <w:r w:rsidRPr="00406A04">
                          <w:rPr>
                            <w:rFonts w:ascii="Calibri" w:hAnsi="Calibri"/>
                            <w:b/>
                            <w:color w:val="000000"/>
                          </w:rPr>
                          <w:t>Додаткові питання</w:t>
                        </w:r>
                      </w:p>
                      <w:p w:rsidR="00BE6F5B" w:rsidRPr="007C33E8" w:rsidRDefault="00BE6F5B" w:rsidP="00406A04">
                        <w:pPr>
                          <w:tabs>
                            <w:tab w:val="left" w:pos="284"/>
                          </w:tabs>
                          <w:spacing w:after="120"/>
                          <w:jc w:val="both"/>
                          <w:rPr>
                            <w:rFonts w:ascii="Calibri" w:hAnsi="Calibri" w:cs="Calibri"/>
                            <w:color w:val="000000"/>
                          </w:rPr>
                        </w:pPr>
                        <w:r>
                          <w:rPr>
                            <w:rFonts w:ascii="Calibri" w:hAnsi="Calibri"/>
                            <w:color w:val="000000"/>
                          </w:rPr>
                          <w:t>1.</w:t>
                        </w:r>
                        <w:r>
                          <w:rPr>
                            <w:rFonts w:ascii="Calibri" w:hAnsi="Calibri"/>
                            <w:color w:val="000000"/>
                          </w:rPr>
                          <w:tab/>
                          <w:t>Якими є порівняльні витрати, доступність та співвідношення витрати / ефективність щодо впровадження систем Truenat MTB, MTB Plus та MTB-RIF Dx?</w:t>
                        </w:r>
                      </w:p>
                      <w:p w:rsidR="00BE6F5B" w:rsidRPr="00F85B2E" w:rsidRDefault="00BE6F5B" w:rsidP="00406A04">
                        <w:pPr>
                          <w:tabs>
                            <w:tab w:val="left" w:pos="284"/>
                          </w:tabs>
                          <w:spacing w:after="120"/>
                          <w:jc w:val="both"/>
                          <w:rPr>
                            <w:rFonts w:asciiTheme="minorHAnsi" w:hAnsiTheme="minorHAnsi" w:cstheme="minorHAnsi"/>
                          </w:rPr>
                        </w:pPr>
                        <w:r>
                          <w:rPr>
                            <w:rFonts w:ascii="Calibri" w:hAnsi="Calibri"/>
                            <w:color w:val="000000"/>
                          </w:rPr>
                          <w:t>2.</w:t>
                        </w:r>
                        <w:r>
                          <w:rPr>
                            <w:rFonts w:ascii="Calibri" w:hAnsi="Calibri"/>
                            <w:color w:val="000000"/>
                          </w:rPr>
                          <w:tab/>
                          <w:t>Чи є наслідки щодо доцільності, доступності, рівності можливостей для пацієнтів та стосовно забезпечення прав людини від впровадження систем Truenat MTB, MTB Plus та MTB-RIF Dx?</w:t>
                        </w:r>
                      </w:p>
                    </w:txbxContent>
                  </v:textbox>
                </v:shape>
                <w10:wrap anchorx="margin"/>
              </v:group>
            </w:pict>
          </mc:Fallback>
        </mc:AlternateContent>
      </w:r>
    </w:p>
    <w:p w:rsidR="00ED665B" w:rsidRPr="00907702" w:rsidRDefault="006C7D2F" w:rsidP="00FE7B24">
      <w:pPr>
        <w:spacing w:before="960"/>
        <w:jc w:val="both"/>
        <w:rPr>
          <w:rFonts w:ascii="Calibri" w:hAnsi="Calibri" w:cs="Calibri"/>
        </w:rPr>
      </w:pPr>
      <w:r>
        <w:rPr>
          <w:rFonts w:ascii="Calibri" w:hAnsi="Calibri"/>
          <w:color w:val="000000"/>
          <w:sz w:val="22"/>
        </w:rPr>
        <w:t>Оціночне дослідження Truenat проводилося у 19 клінічних центрів (на базі кожного функціонує центр проведення мікроскопічних досліджень) та семи референс лабораторій у чотирьох країнах. Діагностичну точність аналізів оцінювали при їхньому проведенні у призначених для цього умовах (тобто в центрах проведення мікроскопічних досліджень) у порівнянні з результатами мікробіологічного аналізу (культурального підтвердження) в якості референс стандарту. В рамках цієї оцінки показники аналізу Truenat також порівнювалися з результатами Xpert MTB/RIF або Xpert Ultra, отриманих на тих же зразках в референс лабораторіях.</w:t>
      </w:r>
    </w:p>
    <w:p w:rsidR="00ED665B" w:rsidRPr="00907702" w:rsidRDefault="006C7D2F" w:rsidP="00DC2656">
      <w:pPr>
        <w:spacing w:before="168"/>
        <w:jc w:val="both"/>
        <w:rPr>
          <w:rFonts w:ascii="Calibri" w:hAnsi="Calibri" w:cs="Calibri"/>
        </w:rPr>
      </w:pPr>
      <w:r>
        <w:rPr>
          <w:rFonts w:ascii="Calibri" w:hAnsi="Calibri"/>
          <w:color w:val="000000"/>
          <w:sz w:val="22"/>
        </w:rPr>
        <w:t xml:space="preserve">Якість доказових даних оцінювалася послідовно за допомогою питань PICO і з використанням підходу оцінки рекомендацій «Градації з оцінки, розробки та ранжування рекомендацій» (GRADE), який дає загальну оцінку якості (або визначеності) доказів та основу для перетворення даних у рекомендації. Якість доказових даних оцінюється як висока, середня, низька або дуже низька. Ці чотири категорії «передбачають градієнт довіри до оцінок» </w:t>
      </w:r>
      <w:r>
        <w:rPr>
          <w:rFonts w:ascii="Calibri" w:hAnsi="Calibri"/>
          <w:i/>
          <w:color w:val="000000"/>
          <w:sz w:val="22"/>
        </w:rPr>
        <w:t>(10)</w:t>
      </w:r>
      <w:r>
        <w:rPr>
          <w:rFonts w:ascii="Calibri" w:hAnsi="Calibri"/>
          <w:color w:val="000000"/>
          <w:sz w:val="22"/>
        </w:rPr>
        <w:t>.</w:t>
      </w:r>
      <w:r>
        <w:rPr>
          <w:rFonts w:ascii="Calibri" w:hAnsi="Calibri"/>
          <w:i/>
          <w:color w:val="000000"/>
          <w:sz w:val="22"/>
        </w:rPr>
        <w:t xml:space="preserve"> </w:t>
      </w:r>
      <w:r>
        <w:rPr>
          <w:rFonts w:ascii="Calibri" w:hAnsi="Calibri"/>
          <w:color w:val="000000"/>
          <w:sz w:val="22"/>
        </w:rPr>
        <w:t>У підході GRADE, навіть якщо дослідження точності діагностики несуть функцію спостереження, вони починаються як доказові дані.</w:t>
      </w:r>
    </w:p>
    <w:p w:rsidR="00ED665B" w:rsidRPr="00907702" w:rsidRDefault="006C7D2F" w:rsidP="00DC2656">
      <w:pPr>
        <w:spacing w:before="168"/>
        <w:ind w:left="5" w:right="5"/>
        <w:jc w:val="both"/>
        <w:rPr>
          <w:rFonts w:ascii="Calibri" w:hAnsi="Calibri" w:cs="Calibri"/>
        </w:rPr>
      </w:pPr>
      <w:r>
        <w:rPr>
          <w:rFonts w:ascii="Calibri" w:hAnsi="Calibri"/>
          <w:color w:val="000000"/>
          <w:sz w:val="22"/>
        </w:rPr>
        <w:t>Щонайменше два автори оглядів незалежно один від одного провели якісну оцінку точності діагностичних досліджень-2 (QUADAS). Будь-які незгоди були вирішені шляхом обговорення або консультацій з третім автором рецензії.</w:t>
      </w:r>
    </w:p>
    <w:p w:rsidR="00ED665B" w:rsidRPr="00907702" w:rsidRDefault="006C7D2F" w:rsidP="00406A04">
      <w:pPr>
        <w:spacing w:before="163"/>
        <w:ind w:left="14" w:right="5"/>
        <w:jc w:val="distribute"/>
        <w:rPr>
          <w:rFonts w:ascii="Calibri" w:hAnsi="Calibri" w:cs="Calibri"/>
        </w:rPr>
      </w:pPr>
      <w:r>
        <w:rPr>
          <w:rFonts w:ascii="Calibri" w:hAnsi="Calibri"/>
          <w:color w:val="000000"/>
          <w:sz w:val="22"/>
        </w:rPr>
        <w:t xml:space="preserve">Синтез даних був структурований за заздалегідь заданим списком питань PICO. Деталі досліджень, включених до поточного аналізу, наведені у </w:t>
      </w:r>
      <w:r w:rsidRPr="00FE7B24">
        <w:rPr>
          <w:rFonts w:ascii="Calibri" w:hAnsi="Calibri"/>
          <w:b/>
          <w:color w:val="000000"/>
          <w:sz w:val="22"/>
        </w:rPr>
        <w:t>Вебдодатку 1.2</w:t>
      </w:r>
      <w:r>
        <w:rPr>
          <w:rFonts w:ascii="Calibri" w:hAnsi="Calibri"/>
          <w:color w:val="000000"/>
          <w:sz w:val="22"/>
        </w:rPr>
        <w:t xml:space="preserve"> «Тести Truenat MTB, </w:t>
      </w:r>
    </w:p>
    <w:p w:rsidR="00ED665B" w:rsidRPr="00907702" w:rsidRDefault="00ED665B" w:rsidP="00DC2656">
      <w:pPr>
        <w:spacing w:before="163"/>
        <w:ind w:left="14" w:right="5"/>
        <w:jc w:val="both"/>
        <w:rPr>
          <w:rFonts w:ascii="Calibri" w:hAnsi="Calibri" w:cs="Calibri"/>
        </w:rPr>
        <w:sectPr w:rsidR="00ED665B" w:rsidRPr="00907702">
          <w:pgSz w:w="11904" w:h="16838"/>
          <w:pgMar w:top="1334" w:right="1416" w:bottom="1243" w:left="1421" w:header="720" w:footer="720" w:gutter="0"/>
          <w:cols w:space="60"/>
          <w:noEndnote/>
        </w:sectPr>
      </w:pPr>
    </w:p>
    <w:p w:rsidR="00ED665B" w:rsidRPr="00907702" w:rsidRDefault="00406A04" w:rsidP="00DC2656">
      <w:pPr>
        <w:ind w:right="19"/>
        <w:jc w:val="both"/>
        <w:rPr>
          <w:rFonts w:ascii="Calibri" w:hAnsi="Calibri" w:cs="Calibri"/>
        </w:rPr>
      </w:pPr>
      <w:r>
        <w:rPr>
          <w:rFonts w:ascii="Calibri" w:hAnsi="Calibri"/>
          <w:color w:val="000000"/>
          <w:sz w:val="22"/>
        </w:rPr>
        <w:lastRenderedPageBreak/>
        <w:t xml:space="preserve">MTB Plus і </w:t>
      </w:r>
      <w:r w:rsidR="006C7D2F">
        <w:rPr>
          <w:rFonts w:ascii="Calibri" w:hAnsi="Calibri"/>
          <w:color w:val="000000"/>
          <w:sz w:val="22"/>
        </w:rPr>
        <w:t xml:space="preserve">MTB-RIF Dx». Огляд результатів та даних щодо оцінки якості доказових даних доступний у </w:t>
      </w:r>
      <w:r w:rsidR="006C7D2F" w:rsidRPr="00FE7B24">
        <w:rPr>
          <w:rFonts w:ascii="Calibri" w:hAnsi="Calibri"/>
          <w:b/>
          <w:color w:val="000000"/>
          <w:sz w:val="22"/>
        </w:rPr>
        <w:t>Вебдодатку 2.2</w:t>
      </w:r>
      <w:r w:rsidR="006C7D2F">
        <w:rPr>
          <w:rFonts w:ascii="Calibri" w:hAnsi="Calibri"/>
          <w:color w:val="000000"/>
          <w:sz w:val="22"/>
        </w:rPr>
        <w:t xml:space="preserve"> «Профілі GRADE тестів Truenat MTB, MTB Plus та MTB-RIF Dx».</w:t>
      </w:r>
    </w:p>
    <w:p w:rsidR="00ED665B" w:rsidRPr="00981A43" w:rsidRDefault="006C7D2F" w:rsidP="00FE7B24">
      <w:pPr>
        <w:tabs>
          <w:tab w:val="left" w:pos="851"/>
        </w:tabs>
        <w:spacing w:before="278"/>
        <w:ind w:left="851" w:hanging="851"/>
        <w:rPr>
          <w:rFonts w:ascii="Calibri" w:hAnsi="Calibri" w:cs="Calibri"/>
          <w:b/>
          <w:bCs/>
        </w:rPr>
      </w:pPr>
      <w:r>
        <w:rPr>
          <w:rFonts w:ascii="Calibri" w:hAnsi="Calibri"/>
          <w:b/>
          <w:color w:val="000000"/>
          <w:sz w:val="24"/>
        </w:rPr>
        <w:t xml:space="preserve">PICO 7: </w:t>
      </w:r>
      <w:r>
        <w:rPr>
          <w:rFonts w:ascii="Calibri" w:hAnsi="Calibri"/>
          <w:b/>
          <w:color w:val="000000"/>
          <w:sz w:val="24"/>
        </w:rPr>
        <w:tab/>
        <w:t>Чи слід застосовувати Molbio Truenat MTB, MTB Plus та MTB-RIF Dx серед людей з ознаками та симптомами легеневого ТБ у лікувальних закладах в якості первинного тесту для діагностики легеневого ТБ та резистентності до рифампіцину?</w:t>
      </w:r>
    </w:p>
    <w:p w:rsidR="00ED665B" w:rsidRPr="00981A43" w:rsidRDefault="006C7D2F" w:rsidP="00DC2656">
      <w:pPr>
        <w:tabs>
          <w:tab w:val="left" w:pos="470"/>
        </w:tabs>
        <w:spacing w:before="283"/>
        <w:rPr>
          <w:rFonts w:ascii="Calibri" w:hAnsi="Calibri" w:cs="Calibri"/>
          <w:b/>
          <w:bCs/>
          <w:i/>
          <w:iCs/>
          <w:color w:val="000000" w:themeColor="text1"/>
        </w:rPr>
      </w:pPr>
      <w:r>
        <w:rPr>
          <w:rFonts w:ascii="Calibri" w:hAnsi="Calibri"/>
          <w:b/>
          <w:i/>
          <w:color w:val="000000" w:themeColor="text1"/>
          <w:sz w:val="24"/>
        </w:rPr>
        <w:t>6.4.</w:t>
      </w:r>
      <w:r>
        <w:rPr>
          <w:rFonts w:ascii="Calibri" w:hAnsi="Calibri"/>
          <w:b/>
          <w:i/>
          <w:color w:val="000000" w:themeColor="text1"/>
          <w:sz w:val="24"/>
        </w:rPr>
        <w:tab/>
        <w:t>Яка діагностична точність Truenat MTB для діагностики легеневого ТБ у дорослих людей з ознаками та симптомами легеневого ТБ порівняно з МРС?</w:t>
      </w:r>
    </w:p>
    <w:p w:rsidR="00ED665B" w:rsidRPr="00907702" w:rsidRDefault="006C7D2F" w:rsidP="00DC2656">
      <w:pPr>
        <w:spacing w:before="178"/>
        <w:ind w:right="5"/>
        <w:jc w:val="both"/>
        <w:rPr>
          <w:rFonts w:ascii="Calibri" w:hAnsi="Calibri" w:cs="Calibri"/>
        </w:rPr>
      </w:pPr>
      <w:r>
        <w:rPr>
          <w:rFonts w:ascii="Calibri" w:hAnsi="Calibri"/>
          <w:color w:val="000000"/>
          <w:sz w:val="22"/>
        </w:rPr>
        <w:t>Дані щодо використання тестів Truenat MTB, MTB Plus та MTB-RIF Dx для діагностики легеневого ТБ та резистентності до рифампіцину у дорослих були отримані завдяки багатоцентровому проспективному клінічному дослідженню, проведеному FIND. Дослідження проводилося у 19 клінічних центрах (на базі кожного функціонує центр проведення мікроскопічних досліджень) та семи референс лабораторій у чотирьох країнах. Метою було визначити діагностичну точність аналізів Truenat при їхньому проведенні у призначених для цього умовах (тобто у центрах проведення мікроскопічних досліджень) у порівнянні з результатами мікробіологічного аналізу (культурального підтвердження) в якості референс стандарту. Ефективність тестів Truenat також порівнювалася при рівних умовах (на тих самих зразках) з Xpert або Ultra у референс лабораторіях як частина цієї оцінки. Усі центри проводили аналіз Xpert, за винятком лабораторій у Перу, які проводили аналіз Ultra. В аналізі для Truenat MTB повідомлялося про результати для 1336 учасників. Серйозне занепокоєння висловлювалося з приводу неточності та неузгодженості доказів, пов’язаних з чутливістю. В цілому визначеність даних була визнана низькою для чутливості, але високою для специфічності.</w:t>
      </w:r>
    </w:p>
    <w:p w:rsidR="00ED665B" w:rsidRPr="00981A43" w:rsidRDefault="006C7D2F" w:rsidP="00DC2656">
      <w:pPr>
        <w:tabs>
          <w:tab w:val="left" w:pos="470"/>
        </w:tabs>
        <w:spacing w:before="274"/>
        <w:rPr>
          <w:rFonts w:ascii="Calibri" w:hAnsi="Calibri" w:cs="Calibri"/>
          <w:b/>
          <w:bCs/>
          <w:i/>
          <w:iCs/>
          <w:color w:val="000000" w:themeColor="text1"/>
        </w:rPr>
      </w:pPr>
      <w:r>
        <w:rPr>
          <w:rFonts w:ascii="Calibri" w:hAnsi="Calibri"/>
          <w:b/>
          <w:i/>
          <w:color w:val="000000" w:themeColor="text1"/>
          <w:sz w:val="22"/>
        </w:rPr>
        <w:t>6.5.</w:t>
      </w:r>
      <w:r>
        <w:rPr>
          <w:rFonts w:ascii="Calibri" w:hAnsi="Calibri"/>
          <w:b/>
          <w:i/>
          <w:color w:val="000000" w:themeColor="text1"/>
          <w:sz w:val="22"/>
        </w:rPr>
        <w:tab/>
        <w:t>Яка діагностична точність Truenat MTB Plus для діагностики легеневого ТБ у дорослих людей з ознаками та симптомами легеневого ТБ порівняно з МРС?</w:t>
      </w:r>
    </w:p>
    <w:p w:rsidR="00ED665B" w:rsidRPr="00907702" w:rsidRDefault="006C7D2F" w:rsidP="00DC2656">
      <w:pPr>
        <w:spacing w:before="178"/>
        <w:ind w:right="5"/>
        <w:jc w:val="both"/>
        <w:rPr>
          <w:rFonts w:ascii="Calibri" w:hAnsi="Calibri" w:cs="Calibri"/>
        </w:rPr>
      </w:pPr>
      <w:r>
        <w:rPr>
          <w:rFonts w:ascii="Calibri" w:hAnsi="Calibri"/>
          <w:color w:val="000000"/>
          <w:sz w:val="22"/>
        </w:rPr>
        <w:t>В аналізі для Truenat MTB Plus повідомлялося про результати для 1336 учасників. Висловлювались серйозні занепокоєння щодо неточності стосовно чутливості, пов’язаної з невеликою кількістю учасників, які брали участь в аналізі. В цілому визначеність даних була визнана низькою для чутливості та високою для специфічності.</w:t>
      </w:r>
    </w:p>
    <w:p w:rsidR="00ED665B" w:rsidRPr="00981A43" w:rsidRDefault="006C7D2F" w:rsidP="00DC2656">
      <w:pPr>
        <w:tabs>
          <w:tab w:val="left" w:pos="470"/>
        </w:tabs>
        <w:spacing w:before="274"/>
        <w:rPr>
          <w:rFonts w:ascii="Calibri" w:hAnsi="Calibri" w:cs="Calibri"/>
          <w:b/>
          <w:bCs/>
          <w:i/>
          <w:iCs/>
        </w:rPr>
      </w:pPr>
      <w:r>
        <w:rPr>
          <w:rFonts w:ascii="Calibri" w:hAnsi="Calibri"/>
          <w:b/>
          <w:i/>
          <w:color w:val="000000"/>
          <w:sz w:val="24"/>
        </w:rPr>
        <w:t>6.6.</w:t>
      </w:r>
      <w:r>
        <w:rPr>
          <w:rFonts w:ascii="Calibri" w:hAnsi="Calibri"/>
          <w:b/>
          <w:i/>
          <w:color w:val="000000"/>
          <w:sz w:val="24"/>
        </w:rPr>
        <w:tab/>
        <w:t>Яка діагностична точність Truenat MTB-RIF Dx для діагностики резистентності до рифампіцину у дорослих з ознаками та симптомами легеневого ТБ порівняно з МРС?</w:t>
      </w:r>
    </w:p>
    <w:p w:rsidR="00ED665B" w:rsidRPr="00907702" w:rsidRDefault="006C7D2F" w:rsidP="00DC2656">
      <w:pPr>
        <w:spacing w:before="178"/>
        <w:jc w:val="both"/>
        <w:rPr>
          <w:rFonts w:ascii="Calibri" w:hAnsi="Calibri" w:cs="Calibri"/>
        </w:rPr>
      </w:pPr>
      <w:r>
        <w:rPr>
          <w:rFonts w:ascii="Calibri" w:hAnsi="Calibri"/>
          <w:color w:val="000000"/>
          <w:sz w:val="22"/>
        </w:rPr>
        <w:t>При проведенні аналізу застосування тесту Truenat MTB-RIF Dx повідомлялося про результати для 186 учасників. Для чутливості були серйозні побоювання щодо опосередкованості (Індія та Перу надали більшість даних для визначення резистентності до рифампіцину) та неузгодженості (змінні оцінки чутливості: 100% для Перу на основі семи зразків, резистентних до рифампіцину; 100% для Ефіопії на основі одного зразка, резистентного до рифампіцину; 100% для Папуа-Нової Гвінеї на основі одного зразка, резистентного до рифампіцину; і 81% для Індії на основі 42 зразків, резистентних до рифампіцину). Ці результати можуть не застосовуватися до інших параметрів. Крім того, дуже точні занепокоєння були висловлені з приводу неточності через невелику кількість учасників, які брали участь у цьому аналізі. В цілому визначеність даних була визнана дуже низькою для чутливості. Висловлювались серйозні занепокоєння щодо опосередкованості щодо специфічності, пов’язаної з низькою кількістю випадків, резистентних до рифампіцину, та тим, що більшість із них походили з Індії та Перу.</w:t>
      </w:r>
    </w:p>
    <w:p w:rsidR="00ED665B" w:rsidRPr="00907702" w:rsidRDefault="00ED665B" w:rsidP="00DC2656">
      <w:pPr>
        <w:spacing w:before="178"/>
        <w:jc w:val="both"/>
        <w:rPr>
          <w:rFonts w:ascii="Calibri" w:hAnsi="Calibri" w:cs="Calibri"/>
        </w:rPr>
        <w:sectPr w:rsidR="00ED665B" w:rsidRPr="00907702">
          <w:pgSz w:w="11904" w:h="16838"/>
          <w:pgMar w:top="1334" w:right="1411" w:bottom="1406" w:left="1416" w:header="720" w:footer="720" w:gutter="0"/>
          <w:cols w:space="60"/>
          <w:noEndnote/>
        </w:sectPr>
      </w:pPr>
    </w:p>
    <w:p w:rsidR="00ED665B" w:rsidRPr="00907702" w:rsidRDefault="006C7D2F" w:rsidP="00406A04">
      <w:pPr>
        <w:ind w:left="29"/>
        <w:jc w:val="both"/>
        <w:rPr>
          <w:rFonts w:ascii="Calibri" w:hAnsi="Calibri" w:cs="Calibri"/>
        </w:rPr>
      </w:pPr>
      <w:r>
        <w:rPr>
          <w:rFonts w:ascii="Calibri" w:hAnsi="Calibri"/>
          <w:b/>
          <w:color w:val="000000"/>
          <w:sz w:val="22"/>
        </w:rPr>
        <w:lastRenderedPageBreak/>
        <w:t>Вебдодаток 4.7:</w:t>
      </w:r>
      <w:r>
        <w:rPr>
          <w:rFonts w:ascii="Calibri" w:hAnsi="Calibri"/>
          <w:color w:val="000000"/>
          <w:sz w:val="22"/>
        </w:rPr>
        <w:t xml:space="preserve"> Звіт про діагностичну точність аналізів на туберкульоз та резистентність до рифампіцину Molbio Truenat в умовах цільового використання.</w:t>
      </w:r>
    </w:p>
    <w:p w:rsidR="00ED665B" w:rsidRPr="00981A43" w:rsidRDefault="006C7D2F" w:rsidP="00DC2656">
      <w:pPr>
        <w:spacing w:before="245"/>
        <w:ind w:left="29"/>
        <w:rPr>
          <w:rFonts w:ascii="Calibri" w:hAnsi="Calibri" w:cs="Calibri"/>
          <w:b/>
          <w:bCs/>
        </w:rPr>
      </w:pPr>
      <w:r>
        <w:rPr>
          <w:rFonts w:ascii="Calibri" w:hAnsi="Calibri"/>
          <w:b/>
          <w:color w:val="009649"/>
          <w:sz w:val="28"/>
        </w:rPr>
        <w:t>Ефективність молекулярних аналізів</w:t>
      </w:r>
    </w:p>
    <w:p w:rsidR="00ED665B" w:rsidRPr="00981A43" w:rsidRDefault="006C7D2F" w:rsidP="00DC2656">
      <w:pPr>
        <w:spacing w:before="274"/>
        <w:ind w:left="29"/>
        <w:rPr>
          <w:rFonts w:ascii="Calibri" w:hAnsi="Calibri" w:cs="Calibri"/>
          <w:b/>
          <w:bCs/>
        </w:rPr>
      </w:pPr>
      <w:r>
        <w:rPr>
          <w:rFonts w:ascii="Calibri" w:hAnsi="Calibri"/>
          <w:b/>
          <w:color w:val="636466"/>
          <w:sz w:val="24"/>
        </w:rPr>
        <w:t>Таблиця 2.1.19. PICO 1: Яка діагностична точність Molbio Truenat MTB щодо виявлення легеневого ТБ у дорослих у порівнянні з МРС?</w:t>
      </w:r>
    </w:p>
    <w:p w:rsidR="00ED665B" w:rsidRPr="00907702" w:rsidRDefault="00ED665B" w:rsidP="00DC2656">
      <w:pPr>
        <w:spacing w:after="187"/>
        <w:rPr>
          <w:rFonts w:ascii="Calibri" w:hAnsi="Calibri" w:cs="Calibri"/>
          <w:sz w:val="2"/>
          <w:szCs w:val="2"/>
        </w:rPr>
      </w:pPr>
    </w:p>
    <w:tbl>
      <w:tblPr>
        <w:tblW w:w="0" w:type="auto"/>
        <w:tblInd w:w="40" w:type="dxa"/>
        <w:tblBorders>
          <w:top w:val="single" w:sz="8" w:space="0" w:color="009649"/>
          <w:left w:val="single" w:sz="8" w:space="0" w:color="009649"/>
          <w:bottom w:val="single" w:sz="8" w:space="0" w:color="009649"/>
          <w:right w:val="single" w:sz="8" w:space="0" w:color="009649"/>
          <w:insideH w:val="single" w:sz="8" w:space="0" w:color="009649"/>
          <w:insideV w:val="single" w:sz="8" w:space="0" w:color="009649"/>
        </w:tblBorders>
        <w:tblLayout w:type="fixed"/>
        <w:tblCellMar>
          <w:left w:w="40" w:type="dxa"/>
          <w:right w:w="40" w:type="dxa"/>
        </w:tblCellMar>
        <w:tblLook w:val="0000" w:firstRow="0" w:lastRow="0" w:firstColumn="0" w:lastColumn="0" w:noHBand="0" w:noVBand="0"/>
      </w:tblPr>
      <w:tblGrid>
        <w:gridCol w:w="2923"/>
        <w:gridCol w:w="1584"/>
        <w:gridCol w:w="1493"/>
        <w:gridCol w:w="1680"/>
        <w:gridCol w:w="2146"/>
        <w:gridCol w:w="1963"/>
        <w:gridCol w:w="2246"/>
      </w:tblGrid>
      <w:tr w:rsidR="00ED665B" w:rsidRPr="00907702" w:rsidTr="00981A43">
        <w:trPr>
          <w:trHeight w:hRule="exact" w:val="677"/>
        </w:trPr>
        <w:tc>
          <w:tcPr>
            <w:tcW w:w="2923" w:type="dxa"/>
            <w:tcBorders>
              <w:bottom w:val="single" w:sz="8" w:space="0" w:color="009649"/>
            </w:tcBorders>
            <w:shd w:val="clear" w:color="auto" w:fill="27A86A"/>
            <w:vAlign w:val="center"/>
          </w:tcPr>
          <w:p w:rsidR="00ED665B" w:rsidRPr="00FE7B24" w:rsidRDefault="006C7D2F" w:rsidP="00981A43">
            <w:pPr>
              <w:ind w:left="72"/>
              <w:rPr>
                <w:rFonts w:ascii="Calibri" w:hAnsi="Calibri" w:cs="Calibri"/>
                <w:b/>
              </w:rPr>
            </w:pPr>
            <w:r w:rsidRPr="00FE7B24">
              <w:rPr>
                <w:rFonts w:ascii="Calibri" w:hAnsi="Calibri"/>
                <w:b/>
                <w:color w:val="000000"/>
              </w:rPr>
              <w:t>Популяція пацієнтів</w:t>
            </w:r>
          </w:p>
        </w:tc>
        <w:tc>
          <w:tcPr>
            <w:tcW w:w="1584" w:type="dxa"/>
            <w:tcBorders>
              <w:bottom w:val="single" w:sz="8" w:space="0" w:color="009649"/>
            </w:tcBorders>
            <w:shd w:val="clear" w:color="auto" w:fill="27A86A"/>
            <w:vAlign w:val="center"/>
          </w:tcPr>
          <w:p w:rsidR="00ED665B" w:rsidRPr="00FE7B24" w:rsidRDefault="006C7D2F" w:rsidP="00981A43">
            <w:pPr>
              <w:jc w:val="center"/>
              <w:rPr>
                <w:rFonts w:ascii="Calibri" w:hAnsi="Calibri" w:cs="Calibri"/>
                <w:b/>
              </w:rPr>
            </w:pPr>
            <w:r w:rsidRPr="00FE7B24">
              <w:rPr>
                <w:rFonts w:ascii="Calibri" w:hAnsi="Calibri"/>
                <w:b/>
                <w:color w:val="000000"/>
              </w:rPr>
              <w:t>Точність тесту</w:t>
            </w:r>
          </w:p>
        </w:tc>
        <w:tc>
          <w:tcPr>
            <w:tcW w:w="1493" w:type="dxa"/>
            <w:tcBorders>
              <w:bottom w:val="single" w:sz="8" w:space="0" w:color="009649"/>
            </w:tcBorders>
            <w:shd w:val="clear" w:color="auto" w:fill="27A86A"/>
            <w:vAlign w:val="center"/>
          </w:tcPr>
          <w:p w:rsidR="00ED665B" w:rsidRPr="00FE7B24" w:rsidRDefault="006C7D2F" w:rsidP="00981A43">
            <w:pPr>
              <w:jc w:val="center"/>
              <w:rPr>
                <w:rFonts w:ascii="Calibri" w:hAnsi="Calibri" w:cs="Calibri"/>
                <w:b/>
              </w:rPr>
            </w:pPr>
            <w:r w:rsidRPr="00FE7B24">
              <w:rPr>
                <w:rFonts w:ascii="Calibri" w:hAnsi="Calibri"/>
                <w:b/>
                <w:color w:val="000000"/>
              </w:rPr>
              <w:t>Дослідження (осіб)</w:t>
            </w:r>
          </w:p>
        </w:tc>
        <w:tc>
          <w:tcPr>
            <w:tcW w:w="1680" w:type="dxa"/>
            <w:shd w:val="clear" w:color="auto" w:fill="27A86A"/>
            <w:vAlign w:val="center"/>
          </w:tcPr>
          <w:p w:rsidR="00ED665B" w:rsidRPr="00FE7B24" w:rsidRDefault="006C7D2F" w:rsidP="00981A43">
            <w:pPr>
              <w:jc w:val="center"/>
              <w:rPr>
                <w:rFonts w:ascii="Calibri" w:hAnsi="Calibri" w:cs="Calibri"/>
                <w:b/>
              </w:rPr>
            </w:pPr>
            <w:r w:rsidRPr="00FE7B24">
              <w:rPr>
                <w:rFonts w:ascii="Calibri" w:hAnsi="Calibri"/>
                <w:b/>
                <w:color w:val="000000"/>
              </w:rPr>
              <w:t>Достовірність даних</w:t>
            </w:r>
          </w:p>
        </w:tc>
        <w:tc>
          <w:tcPr>
            <w:tcW w:w="2146" w:type="dxa"/>
            <w:tcBorders>
              <w:bottom w:val="single" w:sz="8" w:space="0" w:color="009649"/>
            </w:tcBorders>
            <w:shd w:val="clear" w:color="auto" w:fill="27A86A"/>
            <w:vAlign w:val="center"/>
          </w:tcPr>
          <w:p w:rsidR="00ED665B" w:rsidRPr="00FE7B24" w:rsidRDefault="006C7D2F" w:rsidP="00981A43">
            <w:pPr>
              <w:jc w:val="center"/>
              <w:rPr>
                <w:rFonts w:ascii="Calibri" w:hAnsi="Calibri" w:cs="Calibri"/>
                <w:b/>
              </w:rPr>
            </w:pPr>
            <w:r w:rsidRPr="00FE7B24">
              <w:rPr>
                <w:rFonts w:ascii="Calibri" w:hAnsi="Calibri"/>
                <w:b/>
                <w:color w:val="000000"/>
              </w:rPr>
              <w:t>Поширеність 2,5%</w:t>
            </w:r>
          </w:p>
        </w:tc>
        <w:tc>
          <w:tcPr>
            <w:tcW w:w="1963" w:type="dxa"/>
            <w:shd w:val="clear" w:color="auto" w:fill="27A86A"/>
            <w:vAlign w:val="center"/>
          </w:tcPr>
          <w:p w:rsidR="00ED665B" w:rsidRPr="00FE7B24" w:rsidRDefault="006C7D2F" w:rsidP="00981A43">
            <w:pPr>
              <w:jc w:val="center"/>
              <w:rPr>
                <w:rFonts w:ascii="Calibri" w:hAnsi="Calibri" w:cs="Calibri"/>
                <w:b/>
              </w:rPr>
            </w:pPr>
            <w:r w:rsidRPr="00FE7B24">
              <w:rPr>
                <w:rFonts w:ascii="Calibri" w:hAnsi="Calibri"/>
                <w:b/>
                <w:color w:val="000000"/>
              </w:rPr>
              <w:t>Поширеність 10%</w:t>
            </w:r>
          </w:p>
        </w:tc>
        <w:tc>
          <w:tcPr>
            <w:tcW w:w="2246" w:type="dxa"/>
            <w:tcBorders>
              <w:bottom w:val="single" w:sz="8" w:space="0" w:color="009649"/>
            </w:tcBorders>
            <w:shd w:val="clear" w:color="auto" w:fill="27A86A"/>
            <w:vAlign w:val="center"/>
          </w:tcPr>
          <w:p w:rsidR="00ED665B" w:rsidRPr="00FE7B24" w:rsidRDefault="006C7D2F" w:rsidP="00981A43">
            <w:pPr>
              <w:jc w:val="center"/>
              <w:rPr>
                <w:rFonts w:ascii="Calibri" w:hAnsi="Calibri" w:cs="Calibri"/>
                <w:b/>
              </w:rPr>
            </w:pPr>
            <w:r w:rsidRPr="00FE7B24">
              <w:rPr>
                <w:rFonts w:ascii="Calibri" w:hAnsi="Calibri"/>
                <w:b/>
                <w:color w:val="000000"/>
              </w:rPr>
              <w:t>Поширеність 30%</w:t>
            </w:r>
          </w:p>
        </w:tc>
      </w:tr>
      <w:tr w:rsidR="00ED665B" w:rsidRPr="00907702" w:rsidTr="00981A43">
        <w:trPr>
          <w:trHeight w:hRule="exact" w:val="442"/>
        </w:trPr>
        <w:tc>
          <w:tcPr>
            <w:tcW w:w="2923" w:type="dxa"/>
            <w:vMerge w:val="restart"/>
            <w:tcBorders>
              <w:left w:val="nil"/>
              <w:right w:val="nil"/>
            </w:tcBorders>
            <w:shd w:val="clear" w:color="auto" w:fill="FFFFFF"/>
            <w:vAlign w:val="center"/>
          </w:tcPr>
          <w:p w:rsidR="00ED665B" w:rsidRPr="00FE7B24" w:rsidRDefault="006C7D2F" w:rsidP="00981A43">
            <w:pPr>
              <w:rPr>
                <w:rFonts w:ascii="Calibri" w:hAnsi="Calibri" w:cs="Calibri"/>
                <w:b/>
              </w:rPr>
            </w:pPr>
            <w:r w:rsidRPr="00FE7B24">
              <w:rPr>
                <w:rFonts w:ascii="Calibri" w:hAnsi="Calibri"/>
                <w:b/>
                <w:color w:val="000000"/>
              </w:rPr>
              <w:t>Truenat MTB щодо виявлення ЛТБ, МРС</w:t>
            </w:r>
          </w:p>
        </w:tc>
        <w:tc>
          <w:tcPr>
            <w:tcW w:w="1584" w:type="dxa"/>
            <w:tcBorders>
              <w:left w:val="nil"/>
              <w:right w:val="nil"/>
            </w:tcBorders>
            <w:shd w:val="clear" w:color="auto" w:fill="FFFFFF"/>
            <w:vAlign w:val="center"/>
          </w:tcPr>
          <w:p w:rsidR="00ED665B" w:rsidRPr="00907702" w:rsidRDefault="006C7D2F" w:rsidP="00981A43">
            <w:pPr>
              <w:ind w:left="34"/>
              <w:rPr>
                <w:rFonts w:ascii="Calibri" w:hAnsi="Calibri" w:cs="Calibri"/>
              </w:rPr>
            </w:pPr>
            <w:r>
              <w:rPr>
                <w:rFonts w:ascii="Calibri" w:hAnsi="Calibri"/>
                <w:color w:val="000000"/>
              </w:rPr>
              <w:t>Se: 0,73</w:t>
            </w:r>
          </w:p>
        </w:tc>
        <w:tc>
          <w:tcPr>
            <w:tcW w:w="1493" w:type="dxa"/>
            <w:tcBorders>
              <w:left w:val="nil"/>
              <w:right w:val="nil"/>
            </w:tcBorders>
            <w:shd w:val="clear" w:color="auto" w:fill="FFFFFF"/>
            <w:vAlign w:val="center"/>
          </w:tcPr>
          <w:p w:rsidR="00ED665B" w:rsidRPr="00907702" w:rsidRDefault="006C7D2F" w:rsidP="00981A43">
            <w:pPr>
              <w:ind w:left="34"/>
              <w:rPr>
                <w:rFonts w:ascii="Calibri" w:hAnsi="Calibri" w:cs="Calibri"/>
              </w:rPr>
            </w:pPr>
            <w:r>
              <w:rPr>
                <w:rFonts w:ascii="Calibri" w:hAnsi="Calibri"/>
                <w:color w:val="000000"/>
              </w:rPr>
              <w:t xml:space="preserve">1 (258) </w:t>
            </w:r>
          </w:p>
        </w:tc>
        <w:tc>
          <w:tcPr>
            <w:tcW w:w="1680" w:type="dxa"/>
            <w:tcBorders>
              <w:left w:val="nil"/>
              <w:right w:val="nil"/>
            </w:tcBorders>
            <w:shd w:val="clear" w:color="auto" w:fill="FFFFFF"/>
            <w:vAlign w:val="center"/>
          </w:tcPr>
          <w:p w:rsidR="00ED665B" w:rsidRPr="00907702" w:rsidRDefault="006C7D2F" w:rsidP="00981A43">
            <w:pPr>
              <w:ind w:left="34"/>
              <w:rPr>
                <w:rFonts w:ascii="Calibri" w:hAnsi="Calibri" w:cs="Calibri"/>
              </w:rPr>
            </w:pPr>
            <w:r>
              <w:rPr>
                <w:rFonts w:ascii="Calibri" w:hAnsi="Calibri"/>
                <w:color w:val="000000"/>
              </w:rPr>
              <w:t>Помірна</w:t>
            </w:r>
          </w:p>
        </w:tc>
        <w:tc>
          <w:tcPr>
            <w:tcW w:w="2146"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ІП: 18/ХН: 7</w:t>
            </w:r>
          </w:p>
        </w:tc>
        <w:tc>
          <w:tcPr>
            <w:tcW w:w="1963"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ІП: 73/ХН: 27</w:t>
            </w:r>
          </w:p>
        </w:tc>
        <w:tc>
          <w:tcPr>
            <w:tcW w:w="2246"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ІП: 220/ХН: 80</w:t>
            </w:r>
          </w:p>
        </w:tc>
      </w:tr>
      <w:tr w:rsidR="00ED665B" w:rsidRPr="00907702" w:rsidTr="00981A43">
        <w:trPr>
          <w:trHeight w:hRule="exact" w:val="437"/>
        </w:trPr>
        <w:tc>
          <w:tcPr>
            <w:tcW w:w="2923" w:type="dxa"/>
            <w:vMerge/>
            <w:tcBorders>
              <w:left w:val="nil"/>
              <w:right w:val="nil"/>
            </w:tcBorders>
            <w:shd w:val="clear" w:color="auto" w:fill="FFFFFF"/>
            <w:vAlign w:val="center"/>
          </w:tcPr>
          <w:p w:rsidR="00ED665B" w:rsidRPr="00FE7B24" w:rsidRDefault="00ED665B" w:rsidP="00981A43">
            <w:pPr>
              <w:rPr>
                <w:rFonts w:ascii="Calibri" w:hAnsi="Calibri" w:cs="Calibri"/>
                <w:b/>
              </w:rPr>
            </w:pPr>
          </w:p>
          <w:p w:rsidR="00ED665B" w:rsidRPr="00FE7B24" w:rsidRDefault="00ED665B" w:rsidP="00981A43">
            <w:pPr>
              <w:rPr>
                <w:rFonts w:ascii="Calibri" w:hAnsi="Calibri" w:cs="Calibri"/>
                <w:b/>
              </w:rPr>
            </w:pPr>
          </w:p>
        </w:tc>
        <w:tc>
          <w:tcPr>
            <w:tcW w:w="1584" w:type="dxa"/>
            <w:tcBorders>
              <w:left w:val="nil"/>
              <w:right w:val="nil"/>
            </w:tcBorders>
            <w:shd w:val="clear" w:color="auto" w:fill="FFFFFF"/>
            <w:vAlign w:val="center"/>
          </w:tcPr>
          <w:p w:rsidR="00ED665B" w:rsidRPr="00907702" w:rsidRDefault="006C7D2F" w:rsidP="00981A43">
            <w:pPr>
              <w:ind w:left="34"/>
              <w:rPr>
                <w:rFonts w:ascii="Calibri" w:hAnsi="Calibri" w:cs="Calibri"/>
              </w:rPr>
            </w:pPr>
            <w:r>
              <w:rPr>
                <w:rFonts w:ascii="Calibri" w:hAnsi="Calibri"/>
                <w:color w:val="000000"/>
              </w:rPr>
              <w:t xml:space="preserve">Sp: 0,98 </w:t>
            </w:r>
          </w:p>
        </w:tc>
        <w:tc>
          <w:tcPr>
            <w:tcW w:w="1493" w:type="dxa"/>
            <w:tcBorders>
              <w:left w:val="nil"/>
              <w:right w:val="nil"/>
            </w:tcBorders>
            <w:shd w:val="clear" w:color="auto" w:fill="FFFFFF"/>
            <w:vAlign w:val="center"/>
          </w:tcPr>
          <w:p w:rsidR="00ED665B" w:rsidRPr="00907702" w:rsidRDefault="00981A43" w:rsidP="00981A43">
            <w:pPr>
              <w:ind w:left="34"/>
              <w:rPr>
                <w:rFonts w:ascii="Calibri" w:hAnsi="Calibri" w:cs="Calibri"/>
              </w:rPr>
            </w:pPr>
            <w:r>
              <w:rPr>
                <w:rFonts w:ascii="Calibri" w:hAnsi="Calibri"/>
                <w:color w:val="000000"/>
              </w:rPr>
              <w:t>1 (1078)</w:t>
            </w:r>
          </w:p>
        </w:tc>
        <w:tc>
          <w:tcPr>
            <w:tcW w:w="1680" w:type="dxa"/>
            <w:tcBorders>
              <w:left w:val="nil"/>
              <w:right w:val="nil"/>
            </w:tcBorders>
            <w:shd w:val="clear" w:color="auto" w:fill="FFFFFF"/>
            <w:vAlign w:val="center"/>
          </w:tcPr>
          <w:p w:rsidR="00ED665B" w:rsidRPr="00907702" w:rsidRDefault="006C7D2F" w:rsidP="00981A43">
            <w:pPr>
              <w:ind w:left="34"/>
              <w:rPr>
                <w:rFonts w:ascii="Calibri" w:hAnsi="Calibri" w:cs="Calibri"/>
              </w:rPr>
            </w:pPr>
            <w:r>
              <w:rPr>
                <w:rFonts w:ascii="Calibri" w:hAnsi="Calibri"/>
                <w:color w:val="000000"/>
              </w:rPr>
              <w:t xml:space="preserve">Висока </w:t>
            </w:r>
          </w:p>
        </w:tc>
        <w:tc>
          <w:tcPr>
            <w:tcW w:w="2146"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ІН: 957 / ХП: 18</w:t>
            </w:r>
          </w:p>
        </w:tc>
        <w:tc>
          <w:tcPr>
            <w:tcW w:w="1963"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ІН: 884 / ХП: 16</w:t>
            </w:r>
          </w:p>
        </w:tc>
        <w:tc>
          <w:tcPr>
            <w:tcW w:w="2246"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ІН: 687 / ХП: 13</w:t>
            </w:r>
          </w:p>
        </w:tc>
      </w:tr>
      <w:tr w:rsidR="00ED665B" w:rsidRPr="00907702" w:rsidTr="00981A43">
        <w:trPr>
          <w:trHeight w:hRule="exact" w:val="662"/>
        </w:trPr>
        <w:tc>
          <w:tcPr>
            <w:tcW w:w="2923" w:type="dxa"/>
            <w:tcBorders>
              <w:left w:val="nil"/>
              <w:right w:val="nil"/>
            </w:tcBorders>
            <w:shd w:val="clear" w:color="auto" w:fill="FFFFFF"/>
            <w:vAlign w:val="center"/>
          </w:tcPr>
          <w:p w:rsidR="00ED665B" w:rsidRPr="00FE7B24" w:rsidRDefault="006C7D2F" w:rsidP="00981A43">
            <w:pPr>
              <w:ind w:right="350"/>
              <w:rPr>
                <w:rFonts w:ascii="Calibri" w:hAnsi="Calibri" w:cs="Calibri"/>
                <w:b/>
              </w:rPr>
            </w:pPr>
            <w:r w:rsidRPr="00FE7B24">
              <w:rPr>
                <w:rFonts w:ascii="Calibri" w:hAnsi="Calibri"/>
                <w:b/>
                <w:color w:val="000000"/>
              </w:rPr>
              <w:t>Truenat MTB щодо виявлення ЛТБ, у SS+, MЕС</w:t>
            </w:r>
            <w:r w:rsidRPr="00FE7B24">
              <w:rPr>
                <w:rFonts w:ascii="Calibri" w:hAnsi="Calibri"/>
                <w:b/>
                <w:color w:val="000000"/>
                <w:vertAlign w:val="superscript"/>
              </w:rPr>
              <w:t>a</w:t>
            </w:r>
          </w:p>
        </w:tc>
        <w:tc>
          <w:tcPr>
            <w:tcW w:w="1584" w:type="dxa"/>
            <w:tcBorders>
              <w:left w:val="nil"/>
              <w:right w:val="nil"/>
            </w:tcBorders>
            <w:shd w:val="clear" w:color="auto" w:fill="FFFFFF"/>
            <w:vAlign w:val="center"/>
          </w:tcPr>
          <w:p w:rsidR="00ED665B" w:rsidRPr="00907702" w:rsidRDefault="00981A43" w:rsidP="00981A43">
            <w:pPr>
              <w:ind w:left="34"/>
              <w:rPr>
                <w:rFonts w:ascii="Calibri" w:hAnsi="Calibri" w:cs="Calibri"/>
              </w:rPr>
            </w:pPr>
            <w:r>
              <w:rPr>
                <w:rFonts w:ascii="Calibri" w:hAnsi="Calibri"/>
                <w:color w:val="000000"/>
              </w:rPr>
              <w:t>Se: 0,92</w:t>
            </w:r>
          </w:p>
        </w:tc>
        <w:tc>
          <w:tcPr>
            <w:tcW w:w="1493" w:type="dxa"/>
            <w:tcBorders>
              <w:left w:val="nil"/>
              <w:right w:val="nil"/>
            </w:tcBorders>
            <w:shd w:val="clear" w:color="auto" w:fill="FFFFFF"/>
            <w:vAlign w:val="center"/>
          </w:tcPr>
          <w:p w:rsidR="00ED665B" w:rsidRPr="00907702" w:rsidRDefault="00981A43" w:rsidP="00981A43">
            <w:pPr>
              <w:ind w:left="34"/>
              <w:rPr>
                <w:rFonts w:ascii="Calibri" w:hAnsi="Calibri" w:cs="Calibri"/>
              </w:rPr>
            </w:pPr>
            <w:r>
              <w:rPr>
                <w:rFonts w:ascii="Calibri" w:hAnsi="Calibri"/>
                <w:color w:val="000000"/>
              </w:rPr>
              <w:t>1 (174)</w:t>
            </w:r>
          </w:p>
        </w:tc>
        <w:tc>
          <w:tcPr>
            <w:tcW w:w="1680" w:type="dxa"/>
            <w:tcBorders>
              <w:left w:val="nil"/>
              <w:right w:val="nil"/>
            </w:tcBorders>
            <w:shd w:val="clear" w:color="auto" w:fill="FFFFFF"/>
            <w:vAlign w:val="center"/>
          </w:tcPr>
          <w:p w:rsidR="00ED665B" w:rsidRPr="00907702" w:rsidRDefault="00981A43" w:rsidP="00981A43">
            <w:pPr>
              <w:ind w:left="34"/>
              <w:rPr>
                <w:rFonts w:ascii="Calibri" w:hAnsi="Calibri" w:cs="Calibri"/>
              </w:rPr>
            </w:pPr>
            <w:r>
              <w:rPr>
                <w:rFonts w:ascii="Calibri" w:hAnsi="Calibri"/>
                <w:color w:val="000000"/>
              </w:rPr>
              <w:t>Помірна</w:t>
            </w:r>
          </w:p>
        </w:tc>
        <w:tc>
          <w:tcPr>
            <w:tcW w:w="2146"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ІП: 23/ХН: 2</w:t>
            </w:r>
          </w:p>
        </w:tc>
        <w:tc>
          <w:tcPr>
            <w:tcW w:w="1963"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ІП: 92/ХН: 8</w:t>
            </w:r>
          </w:p>
        </w:tc>
        <w:tc>
          <w:tcPr>
            <w:tcW w:w="2246"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ІП: 276/ХН: 24</w:t>
            </w:r>
          </w:p>
        </w:tc>
      </w:tr>
      <w:tr w:rsidR="00ED665B" w:rsidRPr="00907702" w:rsidTr="00981A43">
        <w:trPr>
          <w:trHeight w:hRule="exact" w:val="437"/>
        </w:trPr>
        <w:tc>
          <w:tcPr>
            <w:tcW w:w="2923" w:type="dxa"/>
            <w:vMerge w:val="restart"/>
            <w:tcBorders>
              <w:left w:val="nil"/>
              <w:right w:val="nil"/>
            </w:tcBorders>
            <w:shd w:val="clear" w:color="auto" w:fill="FFFFFF"/>
            <w:vAlign w:val="center"/>
          </w:tcPr>
          <w:p w:rsidR="00ED665B" w:rsidRPr="00FE7B24" w:rsidRDefault="006C7D2F" w:rsidP="00981A43">
            <w:pPr>
              <w:ind w:right="403"/>
              <w:rPr>
                <w:rFonts w:ascii="Calibri" w:hAnsi="Calibri" w:cs="Calibri"/>
                <w:b/>
              </w:rPr>
            </w:pPr>
            <w:r w:rsidRPr="00FE7B24">
              <w:rPr>
                <w:rFonts w:ascii="Calibri" w:hAnsi="Calibri"/>
                <w:b/>
                <w:color w:val="000000"/>
              </w:rPr>
              <w:t>Truenat MTB щодо виявлення ЛТБ, у SS–, МРС</w:t>
            </w:r>
          </w:p>
        </w:tc>
        <w:tc>
          <w:tcPr>
            <w:tcW w:w="1584" w:type="dxa"/>
            <w:tcBorders>
              <w:left w:val="nil"/>
              <w:right w:val="nil"/>
            </w:tcBorders>
            <w:shd w:val="clear" w:color="auto" w:fill="FFFFFF"/>
            <w:vAlign w:val="center"/>
          </w:tcPr>
          <w:p w:rsidR="00ED665B" w:rsidRPr="00907702" w:rsidRDefault="006C7D2F" w:rsidP="00981A43">
            <w:pPr>
              <w:ind w:left="34"/>
              <w:rPr>
                <w:rFonts w:ascii="Calibri" w:hAnsi="Calibri" w:cs="Calibri"/>
              </w:rPr>
            </w:pPr>
            <w:r>
              <w:rPr>
                <w:rFonts w:ascii="Calibri" w:hAnsi="Calibri"/>
                <w:color w:val="000000"/>
              </w:rPr>
              <w:t>Se: 0,39</w:t>
            </w:r>
          </w:p>
        </w:tc>
        <w:tc>
          <w:tcPr>
            <w:tcW w:w="1493" w:type="dxa"/>
            <w:tcBorders>
              <w:left w:val="nil"/>
              <w:right w:val="nil"/>
            </w:tcBorders>
            <w:shd w:val="clear" w:color="auto" w:fill="FFFFFF"/>
            <w:vAlign w:val="center"/>
          </w:tcPr>
          <w:p w:rsidR="00ED665B" w:rsidRPr="00907702" w:rsidRDefault="006C7D2F" w:rsidP="00981A43">
            <w:pPr>
              <w:ind w:left="34"/>
              <w:rPr>
                <w:rFonts w:ascii="Calibri" w:hAnsi="Calibri" w:cs="Calibri"/>
              </w:rPr>
            </w:pPr>
            <w:r>
              <w:rPr>
                <w:rFonts w:ascii="Calibri" w:hAnsi="Calibri"/>
                <w:color w:val="000000"/>
              </w:rPr>
              <w:t xml:space="preserve">1 (84) </w:t>
            </w:r>
          </w:p>
        </w:tc>
        <w:tc>
          <w:tcPr>
            <w:tcW w:w="1680" w:type="dxa"/>
            <w:tcBorders>
              <w:left w:val="nil"/>
              <w:right w:val="nil"/>
            </w:tcBorders>
            <w:shd w:val="clear" w:color="auto" w:fill="FFFFFF"/>
            <w:vAlign w:val="center"/>
          </w:tcPr>
          <w:p w:rsidR="00ED665B" w:rsidRPr="00907702" w:rsidRDefault="006C7D2F" w:rsidP="00981A43">
            <w:pPr>
              <w:ind w:left="34"/>
              <w:rPr>
                <w:rFonts w:ascii="Calibri" w:hAnsi="Calibri" w:cs="Calibri"/>
              </w:rPr>
            </w:pPr>
            <w:r>
              <w:rPr>
                <w:rFonts w:ascii="Calibri" w:hAnsi="Calibri"/>
                <w:color w:val="000000"/>
              </w:rPr>
              <w:t>Низькі</w:t>
            </w:r>
          </w:p>
        </w:tc>
        <w:tc>
          <w:tcPr>
            <w:tcW w:w="2146"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ІП: 10/ХН: 15</w:t>
            </w:r>
          </w:p>
        </w:tc>
        <w:tc>
          <w:tcPr>
            <w:tcW w:w="1963"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ІП: 39/ХН: 61</w:t>
            </w:r>
          </w:p>
        </w:tc>
        <w:tc>
          <w:tcPr>
            <w:tcW w:w="2246"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ІП: 117/ХН: 183</w:t>
            </w:r>
          </w:p>
        </w:tc>
      </w:tr>
      <w:tr w:rsidR="00ED665B" w:rsidRPr="00907702" w:rsidTr="00981A43">
        <w:trPr>
          <w:trHeight w:hRule="exact" w:val="451"/>
        </w:trPr>
        <w:tc>
          <w:tcPr>
            <w:tcW w:w="2923" w:type="dxa"/>
            <w:vMerge/>
            <w:tcBorders>
              <w:left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584" w:type="dxa"/>
            <w:tcBorders>
              <w:left w:val="nil"/>
              <w:right w:val="nil"/>
            </w:tcBorders>
            <w:shd w:val="clear" w:color="auto" w:fill="FFFFFF"/>
            <w:vAlign w:val="center"/>
          </w:tcPr>
          <w:p w:rsidR="00ED665B" w:rsidRPr="00907702" w:rsidRDefault="006C7D2F" w:rsidP="00981A43">
            <w:pPr>
              <w:ind w:left="34"/>
              <w:rPr>
                <w:rFonts w:ascii="Calibri" w:hAnsi="Calibri" w:cs="Calibri"/>
              </w:rPr>
            </w:pPr>
            <w:r>
              <w:rPr>
                <w:rFonts w:ascii="Calibri" w:hAnsi="Calibri"/>
                <w:color w:val="000000"/>
              </w:rPr>
              <w:t>Sp: 0,98</w:t>
            </w:r>
          </w:p>
        </w:tc>
        <w:tc>
          <w:tcPr>
            <w:tcW w:w="1493" w:type="dxa"/>
            <w:tcBorders>
              <w:left w:val="nil"/>
              <w:right w:val="nil"/>
            </w:tcBorders>
            <w:shd w:val="clear" w:color="auto" w:fill="FFFFFF"/>
            <w:vAlign w:val="center"/>
          </w:tcPr>
          <w:p w:rsidR="00ED665B" w:rsidRPr="00907702" w:rsidRDefault="00981A43" w:rsidP="00981A43">
            <w:pPr>
              <w:ind w:left="34"/>
              <w:rPr>
                <w:rFonts w:ascii="Calibri" w:hAnsi="Calibri" w:cs="Calibri"/>
              </w:rPr>
            </w:pPr>
            <w:r>
              <w:rPr>
                <w:rFonts w:ascii="Calibri" w:hAnsi="Calibri"/>
                <w:color w:val="000000"/>
              </w:rPr>
              <w:t>1 (1078)</w:t>
            </w:r>
          </w:p>
        </w:tc>
        <w:tc>
          <w:tcPr>
            <w:tcW w:w="1680" w:type="dxa"/>
            <w:tcBorders>
              <w:left w:val="nil"/>
              <w:right w:val="nil"/>
            </w:tcBorders>
            <w:shd w:val="clear" w:color="auto" w:fill="FFFFFF"/>
            <w:vAlign w:val="center"/>
          </w:tcPr>
          <w:p w:rsidR="00ED665B" w:rsidRPr="00907702" w:rsidRDefault="006C7D2F" w:rsidP="00981A43">
            <w:pPr>
              <w:ind w:left="34"/>
              <w:rPr>
                <w:rFonts w:ascii="Calibri" w:hAnsi="Calibri" w:cs="Calibri"/>
              </w:rPr>
            </w:pPr>
            <w:r>
              <w:rPr>
                <w:rFonts w:ascii="Calibri" w:hAnsi="Calibri"/>
                <w:color w:val="000000"/>
              </w:rPr>
              <w:t>Висока</w:t>
            </w:r>
          </w:p>
        </w:tc>
        <w:tc>
          <w:tcPr>
            <w:tcW w:w="2146"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ІН: 955 / ХП: 20</w:t>
            </w:r>
          </w:p>
        </w:tc>
        <w:tc>
          <w:tcPr>
            <w:tcW w:w="1963"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ІН: 881 / ХП: 19</w:t>
            </w:r>
          </w:p>
        </w:tc>
        <w:tc>
          <w:tcPr>
            <w:tcW w:w="2246" w:type="dxa"/>
            <w:tcBorders>
              <w:left w:val="nil"/>
              <w:right w:val="nil"/>
            </w:tcBorders>
            <w:shd w:val="clear" w:color="auto" w:fill="FFFFFF"/>
            <w:vAlign w:val="center"/>
          </w:tcPr>
          <w:p w:rsidR="00ED665B" w:rsidRPr="00907702" w:rsidRDefault="006C7D2F" w:rsidP="00981A43">
            <w:pPr>
              <w:ind w:left="34"/>
              <w:jc w:val="center"/>
              <w:rPr>
                <w:rFonts w:ascii="Calibri" w:hAnsi="Calibri" w:cs="Calibri"/>
              </w:rPr>
            </w:pPr>
            <w:r>
              <w:rPr>
                <w:rFonts w:ascii="Calibri" w:hAnsi="Calibri"/>
                <w:color w:val="000000"/>
              </w:rPr>
              <w:t>ІН: 685 / ХП: 15</w:t>
            </w:r>
          </w:p>
        </w:tc>
      </w:tr>
    </w:tbl>
    <w:p w:rsidR="00ED665B" w:rsidRPr="00907702" w:rsidRDefault="006C7D2F" w:rsidP="00DC2656">
      <w:pPr>
        <w:spacing w:before="125"/>
        <w:ind w:left="29"/>
        <w:rPr>
          <w:rFonts w:ascii="Calibri" w:hAnsi="Calibri" w:cs="Calibri"/>
        </w:rPr>
      </w:pPr>
      <w:r>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SS–: мазок мокротиння негативний; SS+: мазок мокротиння позитивний; ТБ: туберкульоз; ІН: істинно негативний; ІП: істинно позитивний.</w:t>
      </w:r>
    </w:p>
    <w:p w:rsidR="00ED665B" w:rsidRPr="00907702" w:rsidRDefault="006C7D2F" w:rsidP="00DC2656">
      <w:pPr>
        <w:spacing w:before="77"/>
        <w:ind w:left="29"/>
        <w:rPr>
          <w:rFonts w:ascii="Calibri" w:hAnsi="Calibri" w:cs="Calibri"/>
        </w:rPr>
      </w:pPr>
      <w:r>
        <w:rPr>
          <w:rFonts w:ascii="Calibri" w:hAnsi="Calibri"/>
          <w:color w:val="000000"/>
          <w:sz w:val="16"/>
          <w:vertAlign w:val="superscript"/>
        </w:rPr>
        <w:t>a</w:t>
      </w:r>
      <w:r>
        <w:rPr>
          <w:rFonts w:ascii="Calibri" w:hAnsi="Calibri"/>
          <w:color w:val="000000"/>
          <w:sz w:val="16"/>
        </w:rPr>
        <w:t xml:space="preserve"> Метааналіз на специфічність був неможливий через мінливість даних.</w:t>
      </w:r>
    </w:p>
    <w:p w:rsidR="00ED665B" w:rsidRPr="00907702" w:rsidRDefault="00ED665B" w:rsidP="00DC2656">
      <w:pPr>
        <w:spacing w:before="77"/>
        <w:ind w:left="29"/>
        <w:rPr>
          <w:rFonts w:ascii="Calibri" w:hAnsi="Calibri" w:cs="Calibri"/>
        </w:rPr>
        <w:sectPr w:rsidR="00ED665B" w:rsidRPr="00907702" w:rsidSect="000514E8">
          <w:headerReference w:type="default" r:id="rId54"/>
          <w:footerReference w:type="default" r:id="rId55"/>
          <w:pgSz w:w="16838" w:h="11904" w:orient="landscape"/>
          <w:pgMar w:top="1382" w:right="1416" w:bottom="3261" w:left="138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923"/>
        <w:gridCol w:w="1570"/>
        <w:gridCol w:w="1507"/>
        <w:gridCol w:w="1680"/>
        <w:gridCol w:w="2146"/>
        <w:gridCol w:w="1963"/>
        <w:gridCol w:w="2246"/>
      </w:tblGrid>
      <w:tr w:rsidR="00ED665B" w:rsidRPr="000514E8" w:rsidTr="000514E8">
        <w:trPr>
          <w:trHeight w:hRule="exact" w:val="758"/>
        </w:trPr>
        <w:tc>
          <w:tcPr>
            <w:tcW w:w="14035" w:type="dxa"/>
            <w:gridSpan w:val="7"/>
            <w:tcBorders>
              <w:top w:val="nil"/>
              <w:left w:val="nil"/>
              <w:bottom w:val="single" w:sz="8" w:space="0" w:color="009649"/>
              <w:right w:val="nil"/>
            </w:tcBorders>
            <w:shd w:val="clear" w:color="auto" w:fill="FFFFFF"/>
          </w:tcPr>
          <w:p w:rsidR="00ED665B" w:rsidRPr="000514E8" w:rsidRDefault="006C7D2F" w:rsidP="00DC2656">
            <w:pPr>
              <w:ind w:right="10"/>
              <w:rPr>
                <w:rFonts w:ascii="Calibri" w:hAnsi="Calibri" w:cs="Calibri"/>
                <w:b/>
                <w:bCs/>
              </w:rPr>
            </w:pPr>
            <w:r>
              <w:rPr>
                <w:rFonts w:ascii="Calibri" w:hAnsi="Calibri"/>
                <w:b/>
                <w:color w:val="636466"/>
                <w:sz w:val="24"/>
              </w:rPr>
              <w:lastRenderedPageBreak/>
              <w:t>Таблиця 2.1.20. PICO 2: Яка діагностична точність Molbio Truenat MTB Plus щодо виявлення легеневого ТБ у дорослих у порівнянні з МРС?</w:t>
            </w:r>
          </w:p>
        </w:tc>
      </w:tr>
      <w:tr w:rsidR="00ED665B" w:rsidRPr="000514E8" w:rsidTr="000514E8">
        <w:trPr>
          <w:trHeight w:hRule="exact" w:val="662"/>
        </w:trPr>
        <w:tc>
          <w:tcPr>
            <w:tcW w:w="292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ind w:left="72"/>
              <w:rPr>
                <w:rFonts w:ascii="Calibri" w:hAnsi="Calibri" w:cs="Calibri"/>
                <w:b/>
                <w:bCs/>
              </w:rPr>
            </w:pPr>
            <w:r>
              <w:rPr>
                <w:rFonts w:ascii="Calibri" w:hAnsi="Calibri"/>
                <w:b/>
                <w:color w:val="000000"/>
              </w:rPr>
              <w:t>Популяція пацієнтів</w:t>
            </w:r>
          </w:p>
        </w:tc>
        <w:tc>
          <w:tcPr>
            <w:tcW w:w="157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jc w:val="center"/>
              <w:rPr>
                <w:rFonts w:ascii="Calibri" w:hAnsi="Calibri" w:cs="Calibri"/>
                <w:b/>
                <w:bCs/>
              </w:rPr>
            </w:pPr>
            <w:r>
              <w:rPr>
                <w:rFonts w:ascii="Calibri" w:hAnsi="Calibri"/>
                <w:b/>
                <w:color w:val="000000"/>
              </w:rPr>
              <w:t>Точність тесту</w:t>
            </w:r>
          </w:p>
        </w:tc>
        <w:tc>
          <w:tcPr>
            <w:tcW w:w="1507"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ind w:left="58" w:right="42" w:hanging="10"/>
              <w:jc w:val="center"/>
              <w:rPr>
                <w:rFonts w:ascii="Calibri" w:hAnsi="Calibri" w:cs="Calibri"/>
                <w:b/>
                <w:bCs/>
              </w:rPr>
            </w:pPr>
            <w:r>
              <w:rPr>
                <w:rFonts w:ascii="Calibri" w:hAnsi="Calibri"/>
                <w:b/>
                <w:color w:val="000000"/>
              </w:rPr>
              <w:t>Дослідження (осіб)</w:t>
            </w:r>
          </w:p>
        </w:tc>
        <w:tc>
          <w:tcPr>
            <w:tcW w:w="168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ind w:left="34" w:right="312" w:firstLine="5"/>
              <w:jc w:val="center"/>
              <w:rPr>
                <w:rFonts w:ascii="Calibri" w:hAnsi="Calibri" w:cs="Calibri"/>
                <w:b/>
                <w:bCs/>
              </w:rPr>
            </w:pPr>
            <w:r>
              <w:rPr>
                <w:rFonts w:ascii="Calibri" w:hAnsi="Calibri"/>
                <w:b/>
                <w:color w:val="000000"/>
              </w:rPr>
              <w:t>Достовірність даних</w:t>
            </w:r>
          </w:p>
        </w:tc>
        <w:tc>
          <w:tcPr>
            <w:tcW w:w="214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jc w:val="center"/>
              <w:rPr>
                <w:rFonts w:ascii="Calibri" w:hAnsi="Calibri" w:cs="Calibri"/>
                <w:b/>
                <w:bCs/>
              </w:rPr>
            </w:pPr>
            <w:r>
              <w:rPr>
                <w:rFonts w:ascii="Calibri" w:hAnsi="Calibri"/>
                <w:b/>
                <w:color w:val="000000"/>
              </w:rPr>
              <w:t>Поширеність 2,5%</w:t>
            </w:r>
          </w:p>
        </w:tc>
        <w:tc>
          <w:tcPr>
            <w:tcW w:w="196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jc w:val="center"/>
              <w:rPr>
                <w:rFonts w:ascii="Calibri" w:hAnsi="Calibri" w:cs="Calibri"/>
                <w:b/>
                <w:bCs/>
              </w:rPr>
            </w:pPr>
            <w:r>
              <w:rPr>
                <w:rFonts w:ascii="Calibri" w:hAnsi="Calibri"/>
                <w:b/>
                <w:color w:val="000000"/>
              </w:rPr>
              <w:t>Поширеність 10%</w:t>
            </w:r>
          </w:p>
        </w:tc>
        <w:tc>
          <w:tcPr>
            <w:tcW w:w="224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jc w:val="center"/>
              <w:rPr>
                <w:rFonts w:ascii="Calibri" w:hAnsi="Calibri" w:cs="Calibri"/>
                <w:b/>
                <w:bCs/>
              </w:rPr>
            </w:pPr>
            <w:r>
              <w:rPr>
                <w:rFonts w:ascii="Calibri" w:hAnsi="Calibri"/>
                <w:b/>
                <w:color w:val="000000"/>
              </w:rPr>
              <w:t>Поширеність 30%</w:t>
            </w:r>
          </w:p>
        </w:tc>
      </w:tr>
      <w:tr w:rsidR="00ED665B" w:rsidRPr="00907702" w:rsidTr="000514E8">
        <w:trPr>
          <w:trHeight w:hRule="exact" w:val="442"/>
        </w:trPr>
        <w:tc>
          <w:tcPr>
            <w:tcW w:w="2923" w:type="dxa"/>
            <w:vMerge w:val="restart"/>
            <w:tcBorders>
              <w:top w:val="single" w:sz="8" w:space="0" w:color="009649"/>
              <w:bottom w:val="single" w:sz="8" w:space="0" w:color="009649"/>
            </w:tcBorders>
            <w:shd w:val="clear" w:color="auto" w:fill="FFFFFF"/>
            <w:vAlign w:val="center"/>
          </w:tcPr>
          <w:p w:rsidR="00ED665B" w:rsidRPr="00907702" w:rsidRDefault="006C7D2F" w:rsidP="000514E8">
            <w:pPr>
              <w:ind w:left="53" w:right="144"/>
              <w:rPr>
                <w:rFonts w:ascii="Calibri" w:hAnsi="Calibri" w:cs="Calibri"/>
              </w:rPr>
            </w:pPr>
            <w:r>
              <w:rPr>
                <w:rFonts w:ascii="Calibri" w:hAnsi="Calibri"/>
                <w:color w:val="000000"/>
              </w:rPr>
              <w:t>Truenat MTB Plus щодо виявлення ЛТБ, МРС</w:t>
            </w:r>
          </w:p>
        </w:tc>
        <w:tc>
          <w:tcPr>
            <w:tcW w:w="1570"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34"/>
              <w:rPr>
                <w:rFonts w:ascii="Calibri" w:hAnsi="Calibri" w:cs="Calibri"/>
              </w:rPr>
            </w:pPr>
            <w:r>
              <w:rPr>
                <w:rFonts w:ascii="Calibri" w:hAnsi="Calibri"/>
                <w:color w:val="000000"/>
              </w:rPr>
              <w:t>Se: 0,80</w:t>
            </w:r>
          </w:p>
        </w:tc>
        <w:tc>
          <w:tcPr>
            <w:tcW w:w="1507" w:type="dxa"/>
            <w:tcBorders>
              <w:top w:val="single" w:sz="8" w:space="0" w:color="009649"/>
              <w:bottom w:val="single" w:sz="8" w:space="0" w:color="009649"/>
            </w:tcBorders>
            <w:shd w:val="clear" w:color="auto" w:fill="FFFFFF"/>
            <w:vAlign w:val="center"/>
          </w:tcPr>
          <w:p w:rsidR="00ED665B" w:rsidRPr="00907702" w:rsidRDefault="006C7D2F" w:rsidP="000514E8">
            <w:pPr>
              <w:ind w:left="34"/>
              <w:rPr>
                <w:rFonts w:ascii="Calibri" w:hAnsi="Calibri" w:cs="Calibri"/>
              </w:rPr>
            </w:pPr>
            <w:r>
              <w:rPr>
                <w:rFonts w:ascii="Calibri" w:hAnsi="Calibri"/>
                <w:color w:val="000000"/>
              </w:rPr>
              <w:t xml:space="preserve">1 (258) </w:t>
            </w:r>
          </w:p>
        </w:tc>
        <w:tc>
          <w:tcPr>
            <w:tcW w:w="1680"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34"/>
              <w:rPr>
                <w:rFonts w:ascii="Calibri" w:hAnsi="Calibri" w:cs="Calibri"/>
              </w:rPr>
            </w:pPr>
            <w:r>
              <w:rPr>
                <w:rFonts w:ascii="Calibri" w:hAnsi="Calibri"/>
                <w:color w:val="000000"/>
              </w:rPr>
              <w:t>Помірна</w:t>
            </w:r>
          </w:p>
        </w:tc>
        <w:tc>
          <w:tcPr>
            <w:tcW w:w="2146" w:type="dxa"/>
            <w:tcBorders>
              <w:top w:val="single" w:sz="8" w:space="0" w:color="009649"/>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ІП: 20/ХН: 5</w:t>
            </w:r>
          </w:p>
        </w:tc>
        <w:tc>
          <w:tcPr>
            <w:tcW w:w="1963"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ІП: 80/ХН: 20</w:t>
            </w:r>
          </w:p>
        </w:tc>
        <w:tc>
          <w:tcPr>
            <w:tcW w:w="2246" w:type="dxa"/>
            <w:tcBorders>
              <w:top w:val="single" w:sz="8" w:space="0" w:color="009649"/>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ІП: 239/ХН: 61</w:t>
            </w:r>
          </w:p>
        </w:tc>
      </w:tr>
      <w:tr w:rsidR="00ED665B" w:rsidRPr="00907702" w:rsidTr="000514E8">
        <w:trPr>
          <w:trHeight w:hRule="exact" w:val="437"/>
        </w:trPr>
        <w:tc>
          <w:tcPr>
            <w:tcW w:w="2923" w:type="dxa"/>
            <w:vMerge/>
            <w:tcBorders>
              <w:top w:val="single" w:sz="8" w:space="0" w:color="009649"/>
              <w:bottom w:val="single" w:sz="8" w:space="0" w:color="009649"/>
            </w:tcBorders>
            <w:shd w:val="clear" w:color="auto" w:fill="FFFFFF"/>
            <w:vAlign w:val="center"/>
          </w:tcPr>
          <w:p w:rsidR="00ED665B" w:rsidRPr="00907702" w:rsidRDefault="00ED665B" w:rsidP="000514E8">
            <w:pPr>
              <w:rPr>
                <w:rFonts w:ascii="Calibri" w:hAnsi="Calibri" w:cs="Calibri"/>
              </w:rPr>
            </w:pPr>
          </w:p>
          <w:p w:rsidR="00ED665B" w:rsidRPr="00907702" w:rsidRDefault="00ED665B" w:rsidP="000514E8">
            <w:pPr>
              <w:rPr>
                <w:rFonts w:ascii="Calibri" w:hAnsi="Calibri" w:cs="Calibri"/>
              </w:rPr>
            </w:pPr>
          </w:p>
        </w:tc>
        <w:tc>
          <w:tcPr>
            <w:tcW w:w="1570"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34"/>
              <w:rPr>
                <w:rFonts w:ascii="Calibri" w:hAnsi="Calibri" w:cs="Calibri"/>
              </w:rPr>
            </w:pPr>
            <w:r>
              <w:rPr>
                <w:rFonts w:ascii="Calibri" w:hAnsi="Calibri"/>
                <w:color w:val="000000"/>
              </w:rPr>
              <w:t xml:space="preserve">Sp: 0,96 </w:t>
            </w:r>
          </w:p>
        </w:tc>
        <w:tc>
          <w:tcPr>
            <w:tcW w:w="1507" w:type="dxa"/>
            <w:tcBorders>
              <w:top w:val="single" w:sz="8" w:space="0" w:color="009649"/>
              <w:bottom w:val="single" w:sz="8" w:space="0" w:color="009649"/>
            </w:tcBorders>
            <w:shd w:val="clear" w:color="auto" w:fill="FFFFFF"/>
            <w:vAlign w:val="center"/>
          </w:tcPr>
          <w:p w:rsidR="00ED665B" w:rsidRPr="00907702" w:rsidRDefault="000514E8" w:rsidP="000514E8">
            <w:pPr>
              <w:ind w:left="34"/>
              <w:rPr>
                <w:rFonts w:ascii="Calibri" w:hAnsi="Calibri" w:cs="Calibri"/>
              </w:rPr>
            </w:pPr>
            <w:r>
              <w:rPr>
                <w:rFonts w:ascii="Calibri" w:hAnsi="Calibri"/>
                <w:color w:val="000000"/>
              </w:rPr>
              <w:t>1 (1078)</w:t>
            </w:r>
          </w:p>
        </w:tc>
        <w:tc>
          <w:tcPr>
            <w:tcW w:w="1680"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34"/>
              <w:rPr>
                <w:rFonts w:ascii="Calibri" w:hAnsi="Calibri" w:cs="Calibri"/>
              </w:rPr>
            </w:pPr>
            <w:r>
              <w:rPr>
                <w:rFonts w:ascii="Calibri" w:hAnsi="Calibri"/>
                <w:color w:val="000000"/>
              </w:rPr>
              <w:t xml:space="preserve">Висока </w:t>
            </w:r>
          </w:p>
        </w:tc>
        <w:tc>
          <w:tcPr>
            <w:tcW w:w="2146" w:type="dxa"/>
            <w:tcBorders>
              <w:top w:val="single" w:sz="8" w:space="0" w:color="009649"/>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ІН: 940 / ХП: 25</w:t>
            </w:r>
          </w:p>
        </w:tc>
        <w:tc>
          <w:tcPr>
            <w:tcW w:w="1963"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ІН: 868 / ХП: 32</w:t>
            </w:r>
          </w:p>
        </w:tc>
        <w:tc>
          <w:tcPr>
            <w:tcW w:w="2246" w:type="dxa"/>
            <w:tcBorders>
              <w:top w:val="single" w:sz="8" w:space="0" w:color="009649"/>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ІН: 675 / ХП: 25</w:t>
            </w:r>
          </w:p>
        </w:tc>
      </w:tr>
      <w:tr w:rsidR="00ED665B" w:rsidRPr="00907702" w:rsidTr="000514E8">
        <w:trPr>
          <w:trHeight w:hRule="exact" w:val="662"/>
        </w:trPr>
        <w:tc>
          <w:tcPr>
            <w:tcW w:w="2923" w:type="dxa"/>
            <w:tcBorders>
              <w:top w:val="single" w:sz="8" w:space="0" w:color="009649"/>
              <w:bottom w:val="single" w:sz="8" w:space="0" w:color="009649"/>
            </w:tcBorders>
            <w:shd w:val="clear" w:color="auto" w:fill="FFFFFF"/>
            <w:vAlign w:val="center"/>
          </w:tcPr>
          <w:p w:rsidR="00ED665B" w:rsidRPr="00907702" w:rsidRDefault="006C7D2F" w:rsidP="000514E8">
            <w:pPr>
              <w:ind w:left="53" w:right="144"/>
              <w:rPr>
                <w:rFonts w:ascii="Calibri" w:hAnsi="Calibri" w:cs="Calibri"/>
              </w:rPr>
            </w:pPr>
            <w:r>
              <w:rPr>
                <w:rFonts w:ascii="Calibri" w:hAnsi="Calibri"/>
                <w:color w:val="000000"/>
              </w:rPr>
              <w:t>Truenat MTB Plus щодо виявлення ЛТБ, у SS+ МРС</w:t>
            </w:r>
          </w:p>
        </w:tc>
        <w:tc>
          <w:tcPr>
            <w:tcW w:w="1570" w:type="dxa"/>
            <w:tcBorders>
              <w:top w:val="single" w:sz="8" w:space="0" w:color="009649"/>
              <w:left w:val="nil"/>
              <w:bottom w:val="single" w:sz="8" w:space="0" w:color="009649"/>
            </w:tcBorders>
            <w:shd w:val="clear" w:color="auto" w:fill="FFFFFF"/>
            <w:vAlign w:val="center"/>
          </w:tcPr>
          <w:p w:rsidR="00ED665B" w:rsidRPr="00907702" w:rsidRDefault="000514E8" w:rsidP="000514E8">
            <w:pPr>
              <w:ind w:left="34"/>
              <w:rPr>
                <w:rFonts w:ascii="Calibri" w:hAnsi="Calibri" w:cs="Calibri"/>
              </w:rPr>
            </w:pPr>
            <w:r>
              <w:rPr>
                <w:rFonts w:ascii="Calibri" w:hAnsi="Calibri"/>
                <w:color w:val="000000"/>
              </w:rPr>
              <w:t>Sp: 0,96</w:t>
            </w:r>
          </w:p>
        </w:tc>
        <w:tc>
          <w:tcPr>
            <w:tcW w:w="1507" w:type="dxa"/>
            <w:tcBorders>
              <w:top w:val="single" w:sz="8" w:space="0" w:color="009649"/>
              <w:bottom w:val="single" w:sz="8" w:space="0" w:color="009649"/>
            </w:tcBorders>
            <w:shd w:val="clear" w:color="auto" w:fill="FFFFFF"/>
            <w:vAlign w:val="center"/>
          </w:tcPr>
          <w:p w:rsidR="00ED665B" w:rsidRPr="00907702" w:rsidRDefault="000514E8" w:rsidP="000514E8">
            <w:pPr>
              <w:ind w:left="34"/>
              <w:rPr>
                <w:rFonts w:ascii="Calibri" w:hAnsi="Calibri" w:cs="Calibri"/>
              </w:rPr>
            </w:pPr>
            <w:r>
              <w:rPr>
                <w:rFonts w:ascii="Calibri" w:hAnsi="Calibri"/>
                <w:color w:val="000000"/>
              </w:rPr>
              <w:t>1 (176)</w:t>
            </w:r>
          </w:p>
        </w:tc>
        <w:tc>
          <w:tcPr>
            <w:tcW w:w="1680" w:type="dxa"/>
            <w:tcBorders>
              <w:top w:val="single" w:sz="8" w:space="0" w:color="009649"/>
              <w:left w:val="nil"/>
              <w:bottom w:val="single" w:sz="8" w:space="0" w:color="009649"/>
            </w:tcBorders>
            <w:shd w:val="clear" w:color="auto" w:fill="FFFFFF"/>
            <w:vAlign w:val="center"/>
          </w:tcPr>
          <w:p w:rsidR="00ED665B" w:rsidRPr="00907702" w:rsidRDefault="000514E8" w:rsidP="000514E8">
            <w:pPr>
              <w:ind w:left="34"/>
              <w:rPr>
                <w:rFonts w:ascii="Calibri" w:hAnsi="Calibri" w:cs="Calibri"/>
              </w:rPr>
            </w:pPr>
            <w:r>
              <w:rPr>
                <w:rFonts w:ascii="Calibri" w:hAnsi="Calibri"/>
                <w:color w:val="000000"/>
              </w:rPr>
              <w:t>Помірна</w:t>
            </w:r>
          </w:p>
        </w:tc>
        <w:tc>
          <w:tcPr>
            <w:tcW w:w="2146" w:type="dxa"/>
            <w:tcBorders>
              <w:top w:val="single" w:sz="8" w:space="0" w:color="009649"/>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ІП: 24/ХН: 1</w:t>
            </w:r>
          </w:p>
        </w:tc>
        <w:tc>
          <w:tcPr>
            <w:tcW w:w="1963"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ІП: 96/ХН: 4</w:t>
            </w:r>
          </w:p>
        </w:tc>
        <w:tc>
          <w:tcPr>
            <w:tcW w:w="2246" w:type="dxa"/>
            <w:tcBorders>
              <w:top w:val="single" w:sz="8" w:space="0" w:color="009649"/>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ІП: 288/ХН: 12</w:t>
            </w:r>
          </w:p>
        </w:tc>
      </w:tr>
      <w:tr w:rsidR="00ED665B" w:rsidRPr="00907702" w:rsidTr="000514E8">
        <w:trPr>
          <w:trHeight w:hRule="exact" w:val="437"/>
        </w:trPr>
        <w:tc>
          <w:tcPr>
            <w:tcW w:w="2923" w:type="dxa"/>
            <w:vMerge w:val="restart"/>
            <w:tcBorders>
              <w:top w:val="single" w:sz="8" w:space="0" w:color="009649"/>
              <w:bottom w:val="single" w:sz="8" w:space="0" w:color="009649"/>
            </w:tcBorders>
            <w:shd w:val="clear" w:color="auto" w:fill="FFFFFF"/>
            <w:vAlign w:val="center"/>
          </w:tcPr>
          <w:p w:rsidR="00ED665B" w:rsidRPr="00907702" w:rsidRDefault="006C7D2F" w:rsidP="000514E8">
            <w:pPr>
              <w:ind w:left="53" w:right="197"/>
              <w:rPr>
                <w:rFonts w:ascii="Calibri" w:hAnsi="Calibri" w:cs="Calibri"/>
              </w:rPr>
            </w:pPr>
            <w:r>
              <w:rPr>
                <w:rFonts w:ascii="Calibri" w:hAnsi="Calibri"/>
                <w:color w:val="000000"/>
              </w:rPr>
              <w:t>Truenat MTB Plus щодо виявлення ЛТБ у SS–, МРС</w:t>
            </w:r>
          </w:p>
        </w:tc>
        <w:tc>
          <w:tcPr>
            <w:tcW w:w="1570"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34"/>
              <w:rPr>
                <w:rFonts w:ascii="Calibri" w:hAnsi="Calibri" w:cs="Calibri"/>
              </w:rPr>
            </w:pPr>
            <w:r>
              <w:rPr>
                <w:rFonts w:ascii="Calibri" w:hAnsi="Calibri"/>
                <w:color w:val="000000"/>
              </w:rPr>
              <w:t>Se: 0,46</w:t>
            </w:r>
          </w:p>
        </w:tc>
        <w:tc>
          <w:tcPr>
            <w:tcW w:w="1507" w:type="dxa"/>
            <w:tcBorders>
              <w:top w:val="single" w:sz="8" w:space="0" w:color="009649"/>
              <w:bottom w:val="single" w:sz="8" w:space="0" w:color="009649"/>
            </w:tcBorders>
            <w:shd w:val="clear" w:color="auto" w:fill="FFFFFF"/>
            <w:vAlign w:val="center"/>
          </w:tcPr>
          <w:p w:rsidR="00ED665B" w:rsidRPr="00907702" w:rsidRDefault="006C7D2F" w:rsidP="000514E8">
            <w:pPr>
              <w:ind w:left="34"/>
              <w:rPr>
                <w:rFonts w:ascii="Calibri" w:hAnsi="Calibri" w:cs="Calibri"/>
              </w:rPr>
            </w:pPr>
            <w:r>
              <w:rPr>
                <w:rFonts w:ascii="Calibri" w:hAnsi="Calibri"/>
                <w:color w:val="000000"/>
              </w:rPr>
              <w:t>1 (84)</w:t>
            </w:r>
          </w:p>
        </w:tc>
        <w:tc>
          <w:tcPr>
            <w:tcW w:w="1680"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34"/>
              <w:rPr>
                <w:rFonts w:ascii="Calibri" w:hAnsi="Calibri" w:cs="Calibri"/>
              </w:rPr>
            </w:pPr>
            <w:r>
              <w:rPr>
                <w:rFonts w:ascii="Calibri" w:hAnsi="Calibri"/>
                <w:color w:val="000000"/>
              </w:rPr>
              <w:t>Низькі</w:t>
            </w:r>
          </w:p>
        </w:tc>
        <w:tc>
          <w:tcPr>
            <w:tcW w:w="2146" w:type="dxa"/>
            <w:tcBorders>
              <w:top w:val="single" w:sz="8" w:space="0" w:color="009649"/>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ІП: 12/ХН: 13</w:t>
            </w:r>
          </w:p>
        </w:tc>
        <w:tc>
          <w:tcPr>
            <w:tcW w:w="1963"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ІП: 47/ХН: 53</w:t>
            </w:r>
          </w:p>
        </w:tc>
        <w:tc>
          <w:tcPr>
            <w:tcW w:w="2246" w:type="dxa"/>
            <w:tcBorders>
              <w:top w:val="single" w:sz="8" w:space="0" w:color="009649"/>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ІП: 142/ХН: 158</w:t>
            </w:r>
          </w:p>
        </w:tc>
      </w:tr>
      <w:tr w:rsidR="00ED665B" w:rsidRPr="00907702" w:rsidTr="000514E8">
        <w:trPr>
          <w:trHeight w:hRule="exact" w:val="437"/>
        </w:trPr>
        <w:tc>
          <w:tcPr>
            <w:tcW w:w="2923" w:type="dxa"/>
            <w:vMerge/>
            <w:tcBorders>
              <w:top w:val="single" w:sz="8" w:space="0" w:color="009649"/>
              <w:bottom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570"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34"/>
              <w:rPr>
                <w:rFonts w:ascii="Calibri" w:hAnsi="Calibri" w:cs="Calibri"/>
              </w:rPr>
            </w:pPr>
            <w:r>
              <w:rPr>
                <w:rFonts w:ascii="Calibri" w:hAnsi="Calibri"/>
                <w:color w:val="000000"/>
              </w:rPr>
              <w:t>Sp: 0,97</w:t>
            </w:r>
          </w:p>
        </w:tc>
        <w:tc>
          <w:tcPr>
            <w:tcW w:w="1507" w:type="dxa"/>
            <w:tcBorders>
              <w:top w:val="single" w:sz="8" w:space="0" w:color="009649"/>
              <w:bottom w:val="single" w:sz="8" w:space="0" w:color="009649"/>
            </w:tcBorders>
            <w:shd w:val="clear" w:color="auto" w:fill="FFFFFF"/>
            <w:vAlign w:val="center"/>
          </w:tcPr>
          <w:p w:rsidR="00ED665B" w:rsidRPr="00907702" w:rsidRDefault="006C7D2F" w:rsidP="000514E8">
            <w:pPr>
              <w:ind w:left="34"/>
              <w:rPr>
                <w:rFonts w:ascii="Calibri" w:hAnsi="Calibri" w:cs="Calibri"/>
              </w:rPr>
            </w:pPr>
            <w:r>
              <w:rPr>
                <w:rFonts w:ascii="Calibri" w:hAnsi="Calibri"/>
                <w:color w:val="000000"/>
              </w:rPr>
              <w:t>1 (1078)</w:t>
            </w:r>
          </w:p>
        </w:tc>
        <w:tc>
          <w:tcPr>
            <w:tcW w:w="1680"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34"/>
              <w:rPr>
                <w:rFonts w:ascii="Calibri" w:hAnsi="Calibri" w:cs="Calibri"/>
              </w:rPr>
            </w:pPr>
            <w:r>
              <w:rPr>
                <w:rFonts w:ascii="Calibri" w:hAnsi="Calibri"/>
                <w:color w:val="000000"/>
              </w:rPr>
              <w:t>Висока</w:t>
            </w:r>
          </w:p>
        </w:tc>
        <w:tc>
          <w:tcPr>
            <w:tcW w:w="2146" w:type="dxa"/>
            <w:tcBorders>
              <w:top w:val="single" w:sz="8" w:space="0" w:color="009649"/>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ІН: 940 / ХП: 35</w:t>
            </w:r>
          </w:p>
        </w:tc>
        <w:tc>
          <w:tcPr>
            <w:tcW w:w="1963"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ІН: 868 / ХП: 32</w:t>
            </w:r>
          </w:p>
        </w:tc>
        <w:tc>
          <w:tcPr>
            <w:tcW w:w="2246" w:type="dxa"/>
            <w:tcBorders>
              <w:top w:val="single" w:sz="8" w:space="0" w:color="009649"/>
              <w:bottom w:val="single" w:sz="8" w:space="0" w:color="009649"/>
            </w:tcBorders>
            <w:shd w:val="clear" w:color="auto" w:fill="FFFFFF"/>
            <w:vAlign w:val="center"/>
          </w:tcPr>
          <w:p w:rsidR="00ED665B" w:rsidRPr="00907702" w:rsidRDefault="006C7D2F" w:rsidP="000514E8">
            <w:pPr>
              <w:ind w:left="34"/>
              <w:jc w:val="center"/>
              <w:rPr>
                <w:rFonts w:ascii="Calibri" w:hAnsi="Calibri" w:cs="Calibri"/>
              </w:rPr>
            </w:pPr>
            <w:r>
              <w:rPr>
                <w:rFonts w:ascii="Calibri" w:hAnsi="Calibri"/>
                <w:color w:val="000000"/>
              </w:rPr>
              <w:t>ІН: 675 / ХП: 25</w:t>
            </w:r>
          </w:p>
        </w:tc>
      </w:tr>
      <w:tr w:rsidR="00ED665B" w:rsidRPr="00907702" w:rsidTr="000514E8">
        <w:trPr>
          <w:trHeight w:hRule="exact" w:val="490"/>
        </w:trPr>
        <w:tc>
          <w:tcPr>
            <w:tcW w:w="14035" w:type="dxa"/>
            <w:gridSpan w:val="7"/>
            <w:tcBorders>
              <w:top w:val="single" w:sz="8" w:space="0" w:color="009649"/>
              <w:left w:val="nil"/>
              <w:bottom w:val="nil"/>
              <w:right w:val="nil"/>
            </w:tcBorders>
            <w:shd w:val="clear" w:color="auto" w:fill="FFFFFF"/>
          </w:tcPr>
          <w:p w:rsidR="00ED665B" w:rsidRPr="00907702" w:rsidRDefault="006C7D2F" w:rsidP="00406A04">
            <w:pPr>
              <w:jc w:val="both"/>
              <w:rPr>
                <w:rFonts w:ascii="Calibri" w:hAnsi="Calibri" w:cs="Calibri"/>
              </w:rPr>
            </w:pPr>
            <w:r>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ЛТБ: легеневий ТБ; Se: чутливість; Sp: специфічність; SS–: мазок мокротиння негативний; SS+: мазок мокротиння позитивний; ТБ: туберкульоз; ІН: істинно негативний; ІП: істинно позитивний.</w:t>
            </w:r>
          </w:p>
        </w:tc>
      </w:tr>
    </w:tbl>
    <w:p w:rsidR="00ED665B" w:rsidRPr="0090770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27"/>
        <w:gridCol w:w="1776"/>
        <w:gridCol w:w="1493"/>
        <w:gridCol w:w="1584"/>
        <w:gridCol w:w="2146"/>
        <w:gridCol w:w="1963"/>
        <w:gridCol w:w="2246"/>
      </w:tblGrid>
      <w:tr w:rsidR="00ED665B" w:rsidRPr="000514E8" w:rsidTr="000514E8">
        <w:trPr>
          <w:trHeight w:hRule="exact" w:val="768"/>
        </w:trPr>
        <w:tc>
          <w:tcPr>
            <w:tcW w:w="14035" w:type="dxa"/>
            <w:gridSpan w:val="7"/>
            <w:tcBorders>
              <w:top w:val="nil"/>
              <w:left w:val="nil"/>
              <w:bottom w:val="single" w:sz="8" w:space="0" w:color="009649"/>
              <w:right w:val="nil"/>
            </w:tcBorders>
            <w:shd w:val="clear" w:color="auto" w:fill="FFFFFF"/>
          </w:tcPr>
          <w:p w:rsidR="00ED665B" w:rsidRPr="000514E8" w:rsidRDefault="006C7D2F" w:rsidP="00DC2656">
            <w:pPr>
              <w:ind w:right="187"/>
              <w:rPr>
                <w:rFonts w:ascii="Calibri" w:hAnsi="Calibri" w:cs="Calibri"/>
                <w:b/>
                <w:bCs/>
              </w:rPr>
            </w:pPr>
            <w:r>
              <w:rPr>
                <w:rFonts w:ascii="Calibri" w:hAnsi="Calibri"/>
                <w:b/>
                <w:color w:val="636466"/>
                <w:sz w:val="24"/>
              </w:rPr>
              <w:t>Таблиця 2.1.21. PICO 3: Яка діагностична точність Molbio Truenat MTB RIF Dx щодо виявлення резистентності до рифампіцину у дорослих у порівнянні з МРС?</w:t>
            </w:r>
          </w:p>
        </w:tc>
      </w:tr>
      <w:tr w:rsidR="00ED665B" w:rsidRPr="000514E8" w:rsidTr="000514E8">
        <w:trPr>
          <w:trHeight w:hRule="exact" w:val="653"/>
        </w:trPr>
        <w:tc>
          <w:tcPr>
            <w:tcW w:w="2827"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ind w:left="72"/>
              <w:jc w:val="center"/>
              <w:rPr>
                <w:rFonts w:ascii="Calibri" w:hAnsi="Calibri" w:cs="Calibri"/>
                <w:b/>
                <w:bCs/>
              </w:rPr>
            </w:pPr>
            <w:r>
              <w:rPr>
                <w:rFonts w:ascii="Calibri" w:hAnsi="Calibri"/>
                <w:b/>
                <w:color w:val="000000"/>
              </w:rPr>
              <w:t>Популяція пацієнтів</w:t>
            </w:r>
          </w:p>
        </w:tc>
        <w:tc>
          <w:tcPr>
            <w:tcW w:w="177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ind w:left="29"/>
              <w:jc w:val="center"/>
              <w:rPr>
                <w:rFonts w:ascii="Calibri" w:hAnsi="Calibri" w:cs="Calibri"/>
                <w:b/>
                <w:bCs/>
              </w:rPr>
            </w:pPr>
            <w:r>
              <w:rPr>
                <w:rFonts w:ascii="Calibri" w:hAnsi="Calibri"/>
                <w:b/>
                <w:color w:val="000000"/>
              </w:rPr>
              <w:t>Точність тесту</w:t>
            </w:r>
          </w:p>
        </w:tc>
        <w:tc>
          <w:tcPr>
            <w:tcW w:w="149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ind w:left="29"/>
              <w:jc w:val="center"/>
              <w:rPr>
                <w:rFonts w:ascii="Calibri" w:hAnsi="Calibri" w:cs="Calibri"/>
                <w:b/>
                <w:bCs/>
              </w:rPr>
            </w:pPr>
            <w:r>
              <w:rPr>
                <w:rFonts w:ascii="Calibri" w:hAnsi="Calibri"/>
                <w:b/>
                <w:color w:val="000000"/>
              </w:rPr>
              <w:t>Дослідження (осіб)</w:t>
            </w:r>
          </w:p>
        </w:tc>
        <w:tc>
          <w:tcPr>
            <w:tcW w:w="158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ind w:left="29" w:right="216"/>
              <w:jc w:val="center"/>
              <w:rPr>
                <w:rFonts w:ascii="Calibri" w:hAnsi="Calibri" w:cs="Calibri"/>
                <w:b/>
                <w:bCs/>
              </w:rPr>
            </w:pPr>
            <w:r>
              <w:rPr>
                <w:rFonts w:ascii="Calibri" w:hAnsi="Calibri"/>
                <w:b/>
                <w:color w:val="000000"/>
              </w:rPr>
              <w:t>Достовірність даних</w:t>
            </w:r>
          </w:p>
        </w:tc>
        <w:tc>
          <w:tcPr>
            <w:tcW w:w="214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jc w:val="center"/>
              <w:rPr>
                <w:rFonts w:ascii="Calibri" w:hAnsi="Calibri" w:cs="Calibri"/>
                <w:b/>
                <w:bCs/>
              </w:rPr>
            </w:pPr>
            <w:r>
              <w:rPr>
                <w:rFonts w:ascii="Calibri" w:hAnsi="Calibri"/>
                <w:b/>
                <w:color w:val="000000"/>
              </w:rPr>
              <w:t>Поширеність 2%</w:t>
            </w:r>
          </w:p>
        </w:tc>
        <w:tc>
          <w:tcPr>
            <w:tcW w:w="196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jc w:val="center"/>
              <w:rPr>
                <w:rFonts w:ascii="Calibri" w:hAnsi="Calibri" w:cs="Calibri"/>
                <w:b/>
                <w:bCs/>
              </w:rPr>
            </w:pPr>
            <w:r>
              <w:rPr>
                <w:rFonts w:ascii="Calibri" w:hAnsi="Calibri"/>
                <w:b/>
                <w:color w:val="000000"/>
              </w:rPr>
              <w:t>Поширеність 10%</w:t>
            </w:r>
          </w:p>
        </w:tc>
        <w:tc>
          <w:tcPr>
            <w:tcW w:w="224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0514E8" w:rsidRDefault="006C7D2F" w:rsidP="000514E8">
            <w:pPr>
              <w:jc w:val="center"/>
              <w:rPr>
                <w:rFonts w:ascii="Calibri" w:hAnsi="Calibri" w:cs="Calibri"/>
                <w:b/>
                <w:bCs/>
              </w:rPr>
            </w:pPr>
            <w:r>
              <w:rPr>
                <w:rFonts w:ascii="Calibri" w:hAnsi="Calibri"/>
                <w:b/>
                <w:color w:val="000000"/>
              </w:rPr>
              <w:t>Поширеність 15%</w:t>
            </w:r>
          </w:p>
        </w:tc>
      </w:tr>
      <w:tr w:rsidR="00ED665B" w:rsidRPr="00907702" w:rsidTr="000514E8">
        <w:trPr>
          <w:trHeight w:hRule="exact" w:val="442"/>
        </w:trPr>
        <w:tc>
          <w:tcPr>
            <w:tcW w:w="2827" w:type="dxa"/>
            <w:vMerge w:val="restart"/>
            <w:tcBorders>
              <w:top w:val="single" w:sz="8" w:space="0" w:color="009649"/>
              <w:bottom w:val="single" w:sz="8" w:space="0" w:color="009649"/>
            </w:tcBorders>
            <w:shd w:val="clear" w:color="auto" w:fill="FFFFFF"/>
            <w:vAlign w:val="center"/>
          </w:tcPr>
          <w:p w:rsidR="00ED665B" w:rsidRPr="00907702" w:rsidRDefault="006C7D2F" w:rsidP="000514E8">
            <w:pPr>
              <w:ind w:left="53" w:right="278"/>
              <w:rPr>
                <w:rFonts w:ascii="Calibri" w:hAnsi="Calibri" w:cs="Calibri"/>
              </w:rPr>
            </w:pPr>
            <w:r>
              <w:rPr>
                <w:rFonts w:ascii="Calibri" w:hAnsi="Calibri"/>
                <w:color w:val="000000"/>
              </w:rPr>
              <w:t>Truenat MTB-RIF Dx для Риф</w:t>
            </w:r>
          </w:p>
        </w:tc>
        <w:tc>
          <w:tcPr>
            <w:tcW w:w="1776" w:type="dxa"/>
            <w:tcBorders>
              <w:top w:val="single" w:sz="8" w:space="0" w:color="009649"/>
              <w:bottom w:val="single" w:sz="8" w:space="0" w:color="009649"/>
            </w:tcBorders>
            <w:shd w:val="clear" w:color="auto" w:fill="FFFFFF"/>
            <w:vAlign w:val="center"/>
          </w:tcPr>
          <w:p w:rsidR="00ED665B" w:rsidRPr="00907702" w:rsidRDefault="006C7D2F" w:rsidP="000514E8">
            <w:pPr>
              <w:ind w:left="38"/>
              <w:rPr>
                <w:rFonts w:ascii="Calibri" w:hAnsi="Calibri" w:cs="Calibri"/>
              </w:rPr>
            </w:pPr>
            <w:r>
              <w:rPr>
                <w:rFonts w:ascii="Calibri" w:hAnsi="Calibri"/>
                <w:color w:val="000000"/>
              </w:rPr>
              <w:t>Se: 0,84</w:t>
            </w:r>
          </w:p>
        </w:tc>
        <w:tc>
          <w:tcPr>
            <w:tcW w:w="1493"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48"/>
              <w:rPr>
                <w:rFonts w:ascii="Calibri" w:hAnsi="Calibri" w:cs="Calibri"/>
              </w:rPr>
            </w:pPr>
            <w:r>
              <w:rPr>
                <w:rFonts w:ascii="Calibri" w:hAnsi="Calibri"/>
                <w:color w:val="000000"/>
              </w:rPr>
              <w:t>1 (51)</w:t>
            </w:r>
          </w:p>
        </w:tc>
        <w:tc>
          <w:tcPr>
            <w:tcW w:w="1584" w:type="dxa"/>
            <w:tcBorders>
              <w:top w:val="single" w:sz="8" w:space="0" w:color="009649"/>
              <w:bottom w:val="single" w:sz="8" w:space="0" w:color="009649"/>
            </w:tcBorders>
            <w:shd w:val="clear" w:color="auto" w:fill="FFFFFF"/>
            <w:vAlign w:val="center"/>
          </w:tcPr>
          <w:p w:rsidR="00ED665B" w:rsidRPr="00907702" w:rsidRDefault="006C7D2F" w:rsidP="000514E8">
            <w:pPr>
              <w:ind w:left="19"/>
              <w:rPr>
                <w:rFonts w:ascii="Calibri" w:hAnsi="Calibri" w:cs="Calibri"/>
              </w:rPr>
            </w:pPr>
            <w:r>
              <w:rPr>
                <w:rFonts w:ascii="Calibri" w:hAnsi="Calibri"/>
                <w:color w:val="000000"/>
              </w:rPr>
              <w:t>Дуже низька</w:t>
            </w:r>
          </w:p>
        </w:tc>
        <w:tc>
          <w:tcPr>
            <w:tcW w:w="2146" w:type="dxa"/>
            <w:tcBorders>
              <w:top w:val="single" w:sz="8" w:space="0" w:color="009649"/>
              <w:left w:val="nil"/>
              <w:bottom w:val="single" w:sz="8" w:space="0" w:color="009649"/>
            </w:tcBorders>
            <w:shd w:val="clear" w:color="auto" w:fill="FFFFFF"/>
            <w:vAlign w:val="center"/>
          </w:tcPr>
          <w:p w:rsidR="00ED665B" w:rsidRPr="00907702" w:rsidRDefault="006C7D2F" w:rsidP="000514E8">
            <w:pPr>
              <w:jc w:val="center"/>
              <w:rPr>
                <w:rFonts w:ascii="Calibri" w:hAnsi="Calibri" w:cs="Calibri"/>
              </w:rPr>
            </w:pPr>
            <w:r>
              <w:rPr>
                <w:rFonts w:ascii="Calibri" w:hAnsi="Calibri"/>
                <w:color w:val="000000"/>
              </w:rPr>
              <w:t>ІП: 17/ХН: 3</w:t>
            </w:r>
          </w:p>
        </w:tc>
        <w:tc>
          <w:tcPr>
            <w:tcW w:w="1963" w:type="dxa"/>
            <w:tcBorders>
              <w:top w:val="single" w:sz="8" w:space="0" w:color="009649"/>
              <w:bottom w:val="single" w:sz="8" w:space="0" w:color="009649"/>
            </w:tcBorders>
            <w:shd w:val="clear" w:color="auto" w:fill="FFFFFF"/>
            <w:vAlign w:val="center"/>
          </w:tcPr>
          <w:p w:rsidR="00ED665B" w:rsidRPr="00907702" w:rsidRDefault="006C7D2F" w:rsidP="000514E8">
            <w:pPr>
              <w:jc w:val="center"/>
              <w:rPr>
                <w:rFonts w:ascii="Calibri" w:hAnsi="Calibri" w:cs="Calibri"/>
              </w:rPr>
            </w:pPr>
            <w:r>
              <w:rPr>
                <w:rFonts w:ascii="Calibri" w:hAnsi="Calibri"/>
                <w:color w:val="000000"/>
              </w:rPr>
              <w:t>ІП: 84/ХН: 16</w:t>
            </w:r>
          </w:p>
        </w:tc>
        <w:tc>
          <w:tcPr>
            <w:tcW w:w="2246" w:type="dxa"/>
            <w:tcBorders>
              <w:top w:val="single" w:sz="8" w:space="0" w:color="009649"/>
              <w:left w:val="nil"/>
              <w:bottom w:val="single" w:sz="8" w:space="0" w:color="009649"/>
              <w:right w:val="single" w:sz="8" w:space="0" w:color="009649"/>
            </w:tcBorders>
            <w:shd w:val="clear" w:color="auto" w:fill="FFFFFF"/>
            <w:vAlign w:val="center"/>
          </w:tcPr>
          <w:p w:rsidR="00ED665B" w:rsidRPr="00907702" w:rsidRDefault="006C7D2F" w:rsidP="000514E8">
            <w:pPr>
              <w:jc w:val="center"/>
              <w:rPr>
                <w:rFonts w:ascii="Calibri" w:hAnsi="Calibri" w:cs="Calibri"/>
              </w:rPr>
            </w:pPr>
            <w:r>
              <w:rPr>
                <w:rFonts w:ascii="Calibri" w:hAnsi="Calibri"/>
                <w:color w:val="000000"/>
              </w:rPr>
              <w:t>ІП: 126/ХН: 24</w:t>
            </w:r>
          </w:p>
        </w:tc>
      </w:tr>
      <w:tr w:rsidR="00ED665B" w:rsidRPr="00907702" w:rsidTr="000514E8">
        <w:trPr>
          <w:trHeight w:hRule="exact" w:val="437"/>
        </w:trPr>
        <w:tc>
          <w:tcPr>
            <w:tcW w:w="2827" w:type="dxa"/>
            <w:vMerge/>
            <w:tcBorders>
              <w:top w:val="single" w:sz="8" w:space="0" w:color="009649"/>
              <w:bottom w:val="single" w:sz="8" w:space="0" w:color="009649"/>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776" w:type="dxa"/>
            <w:tcBorders>
              <w:top w:val="single" w:sz="8" w:space="0" w:color="009649"/>
              <w:bottom w:val="single" w:sz="8" w:space="0" w:color="009649"/>
            </w:tcBorders>
            <w:shd w:val="clear" w:color="auto" w:fill="FFFFFF"/>
            <w:vAlign w:val="center"/>
          </w:tcPr>
          <w:p w:rsidR="00ED665B" w:rsidRPr="00907702" w:rsidRDefault="006C7D2F" w:rsidP="000514E8">
            <w:pPr>
              <w:ind w:left="38"/>
              <w:rPr>
                <w:rFonts w:ascii="Calibri" w:hAnsi="Calibri" w:cs="Calibri"/>
              </w:rPr>
            </w:pPr>
            <w:r>
              <w:rPr>
                <w:rFonts w:ascii="Calibri" w:hAnsi="Calibri"/>
                <w:color w:val="000000"/>
              </w:rPr>
              <w:t>Sp: 0,97</w:t>
            </w:r>
          </w:p>
        </w:tc>
        <w:tc>
          <w:tcPr>
            <w:tcW w:w="1493" w:type="dxa"/>
            <w:tcBorders>
              <w:top w:val="single" w:sz="8" w:space="0" w:color="009649"/>
              <w:left w:val="nil"/>
              <w:bottom w:val="single" w:sz="8" w:space="0" w:color="009649"/>
            </w:tcBorders>
            <w:shd w:val="clear" w:color="auto" w:fill="FFFFFF"/>
            <w:vAlign w:val="center"/>
          </w:tcPr>
          <w:p w:rsidR="00ED665B" w:rsidRPr="00907702" w:rsidRDefault="006C7D2F" w:rsidP="000514E8">
            <w:pPr>
              <w:ind w:left="48"/>
              <w:rPr>
                <w:rFonts w:ascii="Calibri" w:hAnsi="Calibri" w:cs="Calibri"/>
              </w:rPr>
            </w:pPr>
            <w:r>
              <w:rPr>
                <w:rFonts w:ascii="Calibri" w:hAnsi="Calibri"/>
                <w:color w:val="000000"/>
              </w:rPr>
              <w:t>1 (258)</w:t>
            </w:r>
          </w:p>
        </w:tc>
        <w:tc>
          <w:tcPr>
            <w:tcW w:w="1584" w:type="dxa"/>
            <w:tcBorders>
              <w:top w:val="single" w:sz="8" w:space="0" w:color="009649"/>
              <w:bottom w:val="single" w:sz="8" w:space="0" w:color="009649"/>
            </w:tcBorders>
            <w:shd w:val="clear" w:color="auto" w:fill="FFFFFF"/>
            <w:vAlign w:val="center"/>
          </w:tcPr>
          <w:p w:rsidR="00ED665B" w:rsidRPr="00907702" w:rsidRDefault="006C7D2F" w:rsidP="000514E8">
            <w:pPr>
              <w:ind w:left="19"/>
              <w:rPr>
                <w:rFonts w:ascii="Calibri" w:hAnsi="Calibri" w:cs="Calibri"/>
              </w:rPr>
            </w:pPr>
            <w:r>
              <w:rPr>
                <w:rFonts w:ascii="Calibri" w:hAnsi="Calibri"/>
                <w:color w:val="000000"/>
              </w:rPr>
              <w:t>Помірна</w:t>
            </w:r>
          </w:p>
        </w:tc>
        <w:tc>
          <w:tcPr>
            <w:tcW w:w="2146" w:type="dxa"/>
            <w:tcBorders>
              <w:top w:val="single" w:sz="8" w:space="0" w:color="009649"/>
              <w:left w:val="nil"/>
              <w:bottom w:val="single" w:sz="8" w:space="0" w:color="009649"/>
            </w:tcBorders>
            <w:shd w:val="clear" w:color="auto" w:fill="FFFFFF"/>
            <w:vAlign w:val="center"/>
          </w:tcPr>
          <w:p w:rsidR="00ED665B" w:rsidRPr="00907702" w:rsidRDefault="006C7D2F" w:rsidP="000514E8">
            <w:pPr>
              <w:jc w:val="center"/>
              <w:rPr>
                <w:rFonts w:ascii="Calibri" w:hAnsi="Calibri" w:cs="Calibri"/>
              </w:rPr>
            </w:pPr>
            <w:r>
              <w:rPr>
                <w:rFonts w:ascii="Calibri" w:hAnsi="Calibri"/>
                <w:color w:val="000000"/>
              </w:rPr>
              <w:t>ІН: 954 / ХП: 26</w:t>
            </w:r>
          </w:p>
        </w:tc>
        <w:tc>
          <w:tcPr>
            <w:tcW w:w="1963" w:type="dxa"/>
            <w:tcBorders>
              <w:top w:val="single" w:sz="8" w:space="0" w:color="009649"/>
              <w:bottom w:val="single" w:sz="8" w:space="0" w:color="009649"/>
            </w:tcBorders>
            <w:shd w:val="clear" w:color="auto" w:fill="FFFFFF"/>
            <w:vAlign w:val="center"/>
          </w:tcPr>
          <w:p w:rsidR="00ED665B" w:rsidRPr="00907702" w:rsidRDefault="006C7D2F" w:rsidP="000514E8">
            <w:pPr>
              <w:jc w:val="center"/>
              <w:rPr>
                <w:rFonts w:ascii="Calibri" w:hAnsi="Calibri" w:cs="Calibri"/>
              </w:rPr>
            </w:pPr>
            <w:r>
              <w:rPr>
                <w:rFonts w:ascii="Calibri" w:hAnsi="Calibri"/>
                <w:color w:val="000000"/>
              </w:rPr>
              <w:t>ІН: 876 / ХП: 24</w:t>
            </w:r>
          </w:p>
        </w:tc>
        <w:tc>
          <w:tcPr>
            <w:tcW w:w="2246" w:type="dxa"/>
            <w:tcBorders>
              <w:top w:val="single" w:sz="8" w:space="0" w:color="009649"/>
              <w:left w:val="nil"/>
              <w:bottom w:val="single" w:sz="8" w:space="0" w:color="009649"/>
              <w:right w:val="single" w:sz="8" w:space="0" w:color="009649"/>
            </w:tcBorders>
            <w:shd w:val="clear" w:color="auto" w:fill="FFFFFF"/>
            <w:vAlign w:val="center"/>
          </w:tcPr>
          <w:p w:rsidR="00ED665B" w:rsidRPr="00907702" w:rsidRDefault="006C7D2F" w:rsidP="000514E8">
            <w:pPr>
              <w:jc w:val="center"/>
              <w:rPr>
                <w:rFonts w:ascii="Calibri" w:hAnsi="Calibri" w:cs="Calibri"/>
              </w:rPr>
            </w:pPr>
            <w:r>
              <w:rPr>
                <w:rFonts w:ascii="Calibri" w:hAnsi="Calibri"/>
                <w:color w:val="000000"/>
              </w:rPr>
              <w:t>ІН: 827 / ХП: 23</w:t>
            </w:r>
          </w:p>
        </w:tc>
      </w:tr>
      <w:tr w:rsidR="00ED665B" w:rsidRPr="00907702" w:rsidTr="000514E8">
        <w:trPr>
          <w:trHeight w:hRule="exact" w:val="490"/>
        </w:trPr>
        <w:tc>
          <w:tcPr>
            <w:tcW w:w="14035" w:type="dxa"/>
            <w:gridSpan w:val="7"/>
            <w:tcBorders>
              <w:top w:val="single" w:sz="8" w:space="0" w:color="009649"/>
              <w:left w:val="nil"/>
              <w:bottom w:val="nil"/>
              <w:right w:val="nil"/>
            </w:tcBorders>
            <w:shd w:val="clear" w:color="auto" w:fill="FFFFFF"/>
          </w:tcPr>
          <w:p w:rsidR="00ED665B" w:rsidRPr="00907702" w:rsidRDefault="006C7D2F" w:rsidP="00406A04">
            <w:pPr>
              <w:jc w:val="both"/>
              <w:rPr>
                <w:rFonts w:ascii="Calibri" w:hAnsi="Calibri" w:cs="Calibri"/>
              </w:rPr>
            </w:pPr>
            <w:r>
              <w:rPr>
                <w:rFonts w:ascii="Calibri" w:hAnsi="Calibri"/>
                <w:color w:val="000000"/>
                <w:sz w:val="16"/>
              </w:rPr>
              <w:t>ХН: хибнонегативний; ХП: хибнопозитивний; МРС: мікробіологічний референс стандарт; PICO: кількість населення, заходи, порівняння, результат; Риф: резистентність до рифампіцину; Se: чутливість; Sp: специфічність; ІН: істинно негативний; ІП: істинно позитивний.</w:t>
            </w:r>
          </w:p>
        </w:tc>
      </w:tr>
    </w:tbl>
    <w:p w:rsidR="00ED665B" w:rsidRPr="00907702" w:rsidRDefault="00ED665B" w:rsidP="00DC2656">
      <w:pPr>
        <w:rPr>
          <w:rFonts w:ascii="Calibri" w:hAnsi="Calibri" w:cs="Calibri"/>
        </w:rPr>
        <w:sectPr w:rsidR="00ED665B" w:rsidRPr="00907702" w:rsidSect="000514E8">
          <w:headerReference w:type="even" r:id="rId56"/>
          <w:footerReference w:type="even" r:id="rId57"/>
          <w:pgSz w:w="16838" w:h="11904" w:orient="landscape"/>
          <w:pgMar w:top="1397" w:right="1416" w:bottom="2269" w:left="1387" w:header="720" w:footer="720" w:gutter="0"/>
          <w:cols w:space="60"/>
          <w:noEndnote/>
        </w:sectPr>
      </w:pPr>
    </w:p>
    <w:p w:rsidR="00ED665B" w:rsidRPr="003E67D4" w:rsidRDefault="006C7D2F" w:rsidP="00DC2656">
      <w:pPr>
        <w:rPr>
          <w:rFonts w:ascii="Calibri" w:hAnsi="Calibri" w:cs="Calibri"/>
          <w:b/>
          <w:bCs/>
        </w:rPr>
      </w:pPr>
      <w:r>
        <w:rPr>
          <w:rFonts w:ascii="Calibri" w:hAnsi="Calibri"/>
          <w:b/>
          <w:color w:val="009649"/>
          <w:sz w:val="28"/>
        </w:rPr>
        <w:lastRenderedPageBreak/>
        <w:t>Аналіз співвідношення витрати / ефективність</w:t>
      </w:r>
    </w:p>
    <w:p w:rsidR="00ED665B" w:rsidRPr="00907702" w:rsidRDefault="006C7D2F" w:rsidP="00DC2656">
      <w:pPr>
        <w:spacing w:before="211"/>
        <w:rPr>
          <w:rFonts w:ascii="Calibri" w:hAnsi="Calibri" w:cs="Calibri"/>
        </w:rPr>
      </w:pPr>
      <w:r>
        <w:rPr>
          <w:rFonts w:ascii="Calibri" w:hAnsi="Calibri"/>
          <w:color w:val="000000"/>
          <w:sz w:val="22"/>
        </w:rPr>
        <w:t>У цьому розділі йдеться про наступне додаткове питання:</w:t>
      </w:r>
    </w:p>
    <w:p w:rsidR="00ED665B" w:rsidRPr="003E67D4" w:rsidRDefault="006C7D2F" w:rsidP="00DC2656">
      <w:pPr>
        <w:spacing w:before="288"/>
        <w:ind w:right="998"/>
        <w:rPr>
          <w:rFonts w:ascii="Calibri" w:hAnsi="Calibri" w:cs="Calibri"/>
          <w:b/>
          <w:bCs/>
          <w:i/>
          <w:iCs/>
        </w:rPr>
      </w:pPr>
      <w:r>
        <w:rPr>
          <w:rFonts w:ascii="Calibri" w:hAnsi="Calibri"/>
          <w:b/>
          <w:i/>
          <w:color w:val="000000"/>
          <w:sz w:val="22"/>
        </w:rPr>
        <w:t>Якими є порівняльні витрати, доступність та співвідношення витрати / ефективність щодо впровадження систем Truenat MTB, MTB Plus та MTB-RIF Dx?</w:t>
      </w:r>
    </w:p>
    <w:p w:rsidR="00ED665B" w:rsidRPr="00907702" w:rsidRDefault="006C7D2F" w:rsidP="00DC2656">
      <w:pPr>
        <w:spacing w:before="178"/>
        <w:jc w:val="both"/>
        <w:rPr>
          <w:rFonts w:ascii="Calibri" w:hAnsi="Calibri" w:cs="Calibri"/>
        </w:rPr>
      </w:pPr>
      <w:r>
        <w:rPr>
          <w:rFonts w:ascii="Calibri" w:hAnsi="Calibri"/>
          <w:color w:val="000000"/>
          <w:sz w:val="22"/>
        </w:rPr>
        <w:t>Було проведено систематичний огляд, основною метою якого стало проведення економічних оцінок молекулярних тестів для діагностики активної форми туберкульозу, зокрема новий тест Molbio Truenat MTB. Мета цього огляду полягала в узагальненні поточних економічних даних та подальшому розумінні витрат, співвідношення витрати / ефективність та доступності цих молекулярних тестів для діагностики ТБ.</w:t>
      </w:r>
    </w:p>
    <w:p w:rsidR="00ED665B" w:rsidRPr="00907702" w:rsidRDefault="006C7D2F" w:rsidP="00DC2656">
      <w:pPr>
        <w:spacing w:before="168"/>
        <w:jc w:val="both"/>
        <w:rPr>
          <w:rFonts w:ascii="Calibri" w:hAnsi="Calibri" w:cs="Calibri"/>
        </w:rPr>
      </w:pPr>
      <w:r>
        <w:rPr>
          <w:rFonts w:ascii="Calibri" w:hAnsi="Calibri"/>
          <w:color w:val="000000"/>
          <w:sz w:val="22"/>
        </w:rPr>
        <w:t>Було виявлено лише одне дослідження, що оцінювало економічну ефективність Molbio’s Truenat MTB. Це дослідження свідчить про те, що Truenat MTB, ймовірно, буде економічно ефективним, якщо його застосовувати у клінічних умовах в Індії. Однак дослідження спирається на кілька важливих припущень моделювання, зокрема вдосконалення прив’язки до пунктів надання допомоги та збільшення випадків початку лікування; ці припущення слід оцінювати під час дослідження ефективності в умовах клінічної практики (як це було зроблено для впровадження Xpert MTB/RIF у Південно-Африканській Республіці).</w:t>
      </w:r>
    </w:p>
    <w:p w:rsidR="00ED665B" w:rsidRPr="00907702" w:rsidRDefault="006C7D2F" w:rsidP="00DC2656">
      <w:pPr>
        <w:spacing w:before="168"/>
        <w:jc w:val="both"/>
        <w:rPr>
          <w:rFonts w:ascii="Calibri" w:hAnsi="Calibri" w:cs="Calibri"/>
        </w:rPr>
      </w:pPr>
      <w:r>
        <w:rPr>
          <w:rFonts w:ascii="Calibri" w:hAnsi="Calibri"/>
          <w:color w:val="000000"/>
          <w:sz w:val="22"/>
        </w:rPr>
        <w:t>Слід застосовувати обережність при узагальненні економічної ефективності та економічних оцінок у різних умовах. Необхідно враховувати місцеві умови та параметри впровадження, а місцеві дослідження щодо впровадження можуть бути корисними для оцінки можливого впливу на пошук випадків, довгострокові результати та співвідношення витрати / ефективність.</w:t>
      </w:r>
    </w:p>
    <w:p w:rsidR="00ED665B" w:rsidRPr="00907702" w:rsidRDefault="006C7D2F" w:rsidP="00DC2656">
      <w:pPr>
        <w:spacing w:before="168"/>
        <w:jc w:val="both"/>
        <w:rPr>
          <w:rFonts w:ascii="Calibri" w:hAnsi="Calibri" w:cs="Calibri"/>
        </w:rPr>
      </w:pPr>
      <w:r>
        <w:rPr>
          <w:rFonts w:ascii="Calibri" w:hAnsi="Calibri"/>
          <w:color w:val="000000"/>
          <w:sz w:val="22"/>
        </w:rPr>
        <w:t>Детальніше про економічну доцільність застосування систем Truenat MTB, MTB Plus та MTB-RIF див. у Вебдодатку 4.5: Систематичний огляд літератури стосовно економічних даних для молекулярних аналізів, призначених в якості первинних тестів діагностики легеневого та позалегеневого ТБ у дорослих та дітей.</w:t>
      </w:r>
    </w:p>
    <w:p w:rsidR="00ED665B" w:rsidRPr="003E67D4" w:rsidRDefault="006C7D2F" w:rsidP="00DC2656">
      <w:pPr>
        <w:spacing w:before="230"/>
        <w:rPr>
          <w:rFonts w:ascii="Calibri" w:hAnsi="Calibri" w:cs="Calibri"/>
          <w:b/>
          <w:bCs/>
        </w:rPr>
      </w:pPr>
      <w:r>
        <w:rPr>
          <w:rFonts w:ascii="Calibri" w:hAnsi="Calibri"/>
          <w:b/>
          <w:color w:val="009649"/>
          <w:sz w:val="28"/>
        </w:rPr>
        <w:t>Перспективи тестування</w:t>
      </w:r>
    </w:p>
    <w:p w:rsidR="00ED665B" w:rsidRPr="00907702" w:rsidRDefault="006C7D2F" w:rsidP="00DC2656">
      <w:pPr>
        <w:spacing w:before="211"/>
        <w:rPr>
          <w:rFonts w:ascii="Calibri" w:hAnsi="Calibri" w:cs="Calibri"/>
        </w:rPr>
      </w:pPr>
      <w:r>
        <w:rPr>
          <w:rFonts w:ascii="Calibri" w:hAnsi="Calibri"/>
          <w:color w:val="000000"/>
          <w:sz w:val="22"/>
        </w:rPr>
        <w:t>У цьому розділі йдеться про наступне питання:</w:t>
      </w:r>
    </w:p>
    <w:p w:rsidR="00ED665B" w:rsidRPr="003E67D4" w:rsidRDefault="006C7D2F" w:rsidP="00DC2656">
      <w:pPr>
        <w:spacing w:before="288"/>
        <w:rPr>
          <w:rFonts w:ascii="Calibri" w:hAnsi="Calibri" w:cs="Calibri"/>
          <w:b/>
          <w:bCs/>
          <w:i/>
          <w:iCs/>
        </w:rPr>
      </w:pPr>
      <w:r>
        <w:rPr>
          <w:rFonts w:ascii="Calibri" w:hAnsi="Calibri"/>
          <w:b/>
          <w:i/>
          <w:color w:val="000000"/>
          <w:sz w:val="22"/>
        </w:rPr>
        <w:t>Чи є наслідки щодо ціннісності, доцільності, доступності, рівності можливостей для пацієнтів та стосовно забезпечення прав людини від впровадження систем Truenat MTB, MTB Plus та MTB-RIF Dx?</w:t>
      </w:r>
    </w:p>
    <w:p w:rsidR="00ED665B" w:rsidRPr="00907702" w:rsidRDefault="006C7D2F" w:rsidP="00DC2656">
      <w:pPr>
        <w:spacing w:before="178"/>
        <w:jc w:val="both"/>
        <w:rPr>
          <w:rFonts w:ascii="Calibri" w:hAnsi="Calibri" w:cs="Calibri"/>
        </w:rPr>
      </w:pPr>
      <w:r>
        <w:rPr>
          <w:rFonts w:ascii="Calibri" w:hAnsi="Calibri"/>
          <w:color w:val="000000"/>
          <w:sz w:val="22"/>
        </w:rPr>
        <w:t>Наявні результати якісного дослідження ґрунтувалися на результатах тестів Xpert MTB/RIF та Xpert MTB/RIF Ultra, головним чином для дослідження ефективності для пацієнтів та отримання інформації регуляторними органами (див. розділ «Перспектива тестування Xpert MTB/RIF та Xpert MTB/RIF Ultra», стор. 49 вище). Якщо в основному якісні дані щодо Xpert MTB/RIF та Xpert MTB/RIF Ultra були оцінені як застосовні до тестів Truenat, то при узагальненні висновків слід бути обережними, оскільки це специфічні характеристики технології, тобто точність діагностики та використання в певних популяціях пацієнтів можуть різнитись. Крім того, особливості ланцюжка поставок та обслуговування, що мають значення для персоналу/керівників програми, також можуть різнитись. Загалом, слід бути обережним під час узагальнення результатів у різних умовах. Спроба впровадження Truenat надала інформацію з точки зору працівників лабораторій щодо використання тесту. Результати випробування показали, що зазвичай для персоналу лабораторії цей тест був прийнятним та здійсненним, хоча деякі працівники відзначили, що тести є новими і складнішими для проведення у порівнянні з Xpert MTB/RIF.</w:t>
      </w:r>
    </w:p>
    <w:p w:rsidR="00ED665B" w:rsidRPr="00907702" w:rsidRDefault="00ED665B" w:rsidP="00DC2656">
      <w:pPr>
        <w:spacing w:before="178"/>
        <w:jc w:val="both"/>
        <w:rPr>
          <w:rFonts w:ascii="Calibri" w:hAnsi="Calibri" w:cs="Calibri"/>
        </w:rPr>
        <w:sectPr w:rsidR="00ED665B" w:rsidRPr="00907702">
          <w:headerReference w:type="default" r:id="rId58"/>
          <w:footerReference w:type="default" r:id="rId59"/>
          <w:pgSz w:w="11904" w:h="16838"/>
          <w:pgMar w:top="1378" w:right="1416" w:bottom="1416" w:left="1416" w:header="720" w:footer="720" w:gutter="0"/>
          <w:cols w:space="60"/>
          <w:noEndnote/>
        </w:sectPr>
      </w:pPr>
    </w:p>
    <w:p w:rsidR="00ED665B" w:rsidRPr="00907702" w:rsidRDefault="006C7D2F" w:rsidP="00DC2656">
      <w:pPr>
        <w:ind w:left="91" w:right="48"/>
        <w:jc w:val="both"/>
        <w:rPr>
          <w:rFonts w:ascii="Calibri" w:hAnsi="Calibri" w:cs="Calibri"/>
        </w:rPr>
      </w:pPr>
      <w:bookmarkStart w:id="10" w:name="bookmark11"/>
      <w:r>
        <w:rPr>
          <w:rFonts w:ascii="Calibri" w:hAnsi="Calibri"/>
          <w:color w:val="000000"/>
          <w:sz w:val="22"/>
        </w:rPr>
        <w:lastRenderedPageBreak/>
        <w:t>Д</w:t>
      </w:r>
      <w:bookmarkEnd w:id="10"/>
      <w:r>
        <w:rPr>
          <w:rFonts w:ascii="Calibri" w:hAnsi="Calibri"/>
          <w:color w:val="000000"/>
          <w:sz w:val="22"/>
        </w:rPr>
        <w:t xml:space="preserve">етальніше про якісну оцінку систем Truenat MTB, MTB Plus та MTB-RIF Dx див. у </w:t>
      </w:r>
      <w:r>
        <w:rPr>
          <w:rFonts w:ascii="Calibri" w:hAnsi="Calibri"/>
          <w:b/>
          <w:color w:val="000000"/>
          <w:sz w:val="22"/>
        </w:rPr>
        <w:t>Вебдодатку 4.7</w:t>
      </w:r>
      <w:r>
        <w:rPr>
          <w:rFonts w:ascii="Calibri" w:hAnsi="Calibri"/>
          <w:color w:val="000000"/>
          <w:sz w:val="22"/>
        </w:rPr>
        <w:t>: Звіт про діагностичну точність аналізів на туберкульоз та резистентність до рифампіцину тесту Molbio Truenat в умовах цільового використання.</w:t>
      </w:r>
    </w:p>
    <w:p w:rsidR="00ED665B" w:rsidRPr="003E67D4" w:rsidRDefault="006C7D2F" w:rsidP="00DC2656">
      <w:pPr>
        <w:spacing w:before="264"/>
        <w:ind w:left="115"/>
        <w:rPr>
          <w:rFonts w:ascii="Calibri" w:hAnsi="Calibri" w:cs="Calibri"/>
          <w:b/>
          <w:bCs/>
        </w:rPr>
      </w:pPr>
      <w:r>
        <w:rPr>
          <w:rFonts w:ascii="Calibri" w:hAnsi="Calibri"/>
          <w:b/>
          <w:color w:val="009649"/>
          <w:sz w:val="26"/>
        </w:rPr>
        <w:t>Пріоритети наукових досліджень</w:t>
      </w:r>
    </w:p>
    <w:p w:rsidR="00ED665B" w:rsidRPr="00907702" w:rsidRDefault="006C7D2F" w:rsidP="00FE7B24">
      <w:pPr>
        <w:numPr>
          <w:ilvl w:val="0"/>
          <w:numId w:val="12"/>
        </w:numPr>
        <w:tabs>
          <w:tab w:val="left" w:pos="331"/>
        </w:tabs>
        <w:spacing w:before="221"/>
        <w:ind w:left="336" w:hanging="226"/>
        <w:jc w:val="both"/>
        <w:rPr>
          <w:rFonts w:ascii="Calibri" w:hAnsi="Calibri" w:cs="Calibri"/>
          <w:color w:val="009649"/>
          <w:sz w:val="22"/>
          <w:szCs w:val="22"/>
        </w:rPr>
      </w:pPr>
      <w:r>
        <w:rPr>
          <w:rFonts w:ascii="Calibri" w:hAnsi="Calibri"/>
          <w:color w:val="000000"/>
          <w:sz w:val="22"/>
        </w:rPr>
        <w:t>Оперативні дослідження для забезпечення оптимального використання тестів в умовах за призначенням.</w:t>
      </w:r>
    </w:p>
    <w:p w:rsidR="00ED665B" w:rsidRPr="00907702" w:rsidRDefault="006C7D2F" w:rsidP="00DC2656">
      <w:pPr>
        <w:numPr>
          <w:ilvl w:val="0"/>
          <w:numId w:val="12"/>
        </w:numPr>
        <w:tabs>
          <w:tab w:val="left" w:pos="331"/>
        </w:tabs>
        <w:spacing w:before="5"/>
        <w:ind w:left="331" w:right="48" w:hanging="221"/>
        <w:jc w:val="both"/>
        <w:rPr>
          <w:rFonts w:ascii="Calibri" w:hAnsi="Calibri" w:cs="Calibri"/>
          <w:color w:val="009649"/>
          <w:sz w:val="22"/>
          <w:szCs w:val="22"/>
        </w:rPr>
      </w:pPr>
      <w:r>
        <w:rPr>
          <w:rFonts w:ascii="Calibri" w:hAnsi="Calibri"/>
          <w:color w:val="000000"/>
          <w:sz w:val="22"/>
        </w:rPr>
        <w:t>Оцінка діагностичної точності Truenat (MTB, MTB Plus та MTB-RIF) у конкретних групах пацієнтів, таких як ЛЖВ, колишні хворі на легеневий або позалегеневий ТБ серед дорослих та дітей.</w:t>
      </w:r>
    </w:p>
    <w:p w:rsidR="00ED665B" w:rsidRPr="003E67D4" w:rsidRDefault="006C7D2F" w:rsidP="00DC2656">
      <w:pPr>
        <w:spacing w:before="230"/>
        <w:ind w:left="110" w:right="576"/>
        <w:rPr>
          <w:rFonts w:ascii="Calibri" w:hAnsi="Calibri" w:cs="Calibri"/>
          <w:b/>
          <w:bCs/>
        </w:rPr>
      </w:pPr>
      <w:r>
        <w:rPr>
          <w:rFonts w:ascii="Calibri" w:hAnsi="Calibri"/>
          <w:b/>
          <w:color w:val="009649"/>
          <w:sz w:val="26"/>
        </w:rPr>
        <w:t xml:space="preserve">Автоматизовані ТАНК помірної складності для виявлення туберкульозу та резистентності до рифампіцину та ізоніазиду </w:t>
      </w:r>
      <w:r w:rsidR="00FE7B24" w:rsidRPr="00FE7B24">
        <w:rPr>
          <w:rFonts w:ascii="Calibri" w:hAnsi="Calibri"/>
          <w:b/>
          <w:color w:val="009649"/>
          <w:sz w:val="26"/>
          <w:shd w:val="clear" w:color="auto" w:fill="009649"/>
        </w:rPr>
        <w:t xml:space="preserve"> </w:t>
      </w:r>
      <w:r>
        <w:rPr>
          <w:rFonts w:ascii="Calibri" w:hAnsi="Calibri"/>
          <w:b/>
          <w:color w:val="FFFFFF"/>
          <w:sz w:val="26"/>
          <w:shd w:val="clear" w:color="auto" w:fill="27A86A"/>
        </w:rPr>
        <w:t>НОВИЙ</w:t>
      </w:r>
      <w:r w:rsidR="00FE7B24">
        <w:rPr>
          <w:rFonts w:ascii="Calibri" w:hAnsi="Calibri"/>
          <w:b/>
          <w:color w:val="FFFFFF"/>
          <w:sz w:val="26"/>
          <w:shd w:val="clear" w:color="auto" w:fill="27A86A"/>
        </w:rPr>
        <w:t xml:space="preserve"> </w:t>
      </w:r>
    </w:p>
    <w:p w:rsidR="00ED665B" w:rsidRPr="00907702" w:rsidRDefault="006C7D2F" w:rsidP="00DC2656">
      <w:pPr>
        <w:spacing w:before="163"/>
        <w:ind w:left="96" w:right="53"/>
        <w:jc w:val="both"/>
        <w:rPr>
          <w:rFonts w:ascii="Calibri" w:hAnsi="Calibri" w:cs="Calibri"/>
        </w:rPr>
      </w:pPr>
      <w:r>
        <w:rPr>
          <w:rFonts w:ascii="Calibri" w:hAnsi="Calibri"/>
          <w:color w:val="000000"/>
          <w:sz w:val="22"/>
        </w:rPr>
        <w:t xml:space="preserve">З розвитком та впровадженням у країнах нових технологій швидке виявлення туберкульозу та резистентності до рифампіцину стає все більш доступним. Однак з’явилося також відносно високий тягар туберкульозу, резистентного до ізоніазидів, сприйнятливого до рифампіцину, який часто не діагностується. За оцінками, у всьому світі туберкульоз, резистентний до ізоніазидів, сприйнятливий до рифампіцину, зустрічається у 13,1% (95% довірчий інтервал [ДІ]: 9,9–16,9%) нових випадків та 17,4% (95% ДІ: 0,5-54,0%) раніше пролікованих випадків </w:t>
      </w:r>
      <w:r>
        <w:rPr>
          <w:rFonts w:ascii="Calibri" w:hAnsi="Calibri"/>
          <w:i/>
          <w:color w:val="000000"/>
          <w:sz w:val="22"/>
        </w:rPr>
        <w:t>(1).</w:t>
      </w:r>
    </w:p>
    <w:p w:rsidR="00ED665B" w:rsidRPr="00907702" w:rsidRDefault="006C7D2F" w:rsidP="00DC2656">
      <w:pPr>
        <w:spacing w:before="168"/>
        <w:ind w:left="86" w:right="43"/>
        <w:jc w:val="both"/>
        <w:rPr>
          <w:rFonts w:ascii="Calibri" w:hAnsi="Calibri" w:cs="Calibri"/>
        </w:rPr>
      </w:pPr>
      <w:r>
        <w:rPr>
          <w:rFonts w:ascii="Calibri" w:hAnsi="Calibri"/>
          <w:color w:val="000000"/>
          <w:sz w:val="22"/>
        </w:rPr>
        <w:t>На ринку з’явився новий клас технологій, який потенціально може усунути цю прогалину. Декілька виробників розробили автоматизовані ТАНК помірної складності для виявлення туберкульозу та резистентності до рифампіцину та ізоніазиду на високопродуктивних платформах для використання в лабораторіях. Тести, що належать до цього класу, дозволяють проводити тестування швидше та з меншими складнощами, ніж тести медикаментозної чутливості на основі фенотипічних культур (ТМЧ) та лінійні зонд-аналізи (LPA). Їхня перевага полягає в тому, що після етапу підготовки зразка вони значною мірою автоматизовані. Автоматизовані ТАНК помірної складності можуть використовуватися як початкові тести для виявлення туберкульозу та резистентності до обох протитуберкульозних препаратів першого ряду одночасно (рифампіцину та ізоніазиду). Вони забезпечують можливість швидкого надання точних результатів (що важливо для пацієнтів) та ефективності тестування, коли щодня потрібно проводити великі обсяги тестів (що важливо для програм). Отже, ці технології підходять для регіонів з високою щільністю населення та системою передачі зразків для проведення швидких тестів.</w:t>
      </w:r>
    </w:p>
    <w:p w:rsidR="00ED665B" w:rsidRPr="00907702" w:rsidRDefault="00ED665B" w:rsidP="00DC2656">
      <w:pPr>
        <w:spacing w:after="149"/>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202"/>
      </w:tblGrid>
      <w:tr w:rsidR="00ED665B" w:rsidRPr="003E67D4" w:rsidTr="003E67D4">
        <w:trPr>
          <w:trHeight w:hRule="exact" w:val="590"/>
        </w:trPr>
        <w:tc>
          <w:tcPr>
            <w:tcW w:w="9202" w:type="dxa"/>
            <w:tcBorders>
              <w:top w:val="nil"/>
              <w:left w:val="nil"/>
              <w:bottom w:val="single" w:sz="8" w:space="0" w:color="009649"/>
              <w:right w:val="nil"/>
            </w:tcBorders>
            <w:shd w:val="clear" w:color="auto" w:fill="FFFFFF"/>
          </w:tcPr>
          <w:p w:rsidR="00ED665B" w:rsidRPr="003E67D4" w:rsidRDefault="006C7D2F" w:rsidP="00DC2656">
            <w:pPr>
              <w:rPr>
                <w:rFonts w:ascii="Calibri" w:hAnsi="Calibri" w:cs="Calibri"/>
                <w:b/>
                <w:bCs/>
              </w:rPr>
            </w:pPr>
            <w:r>
              <w:rPr>
                <w:rFonts w:ascii="Calibri" w:hAnsi="Calibri"/>
                <w:b/>
                <w:color w:val="009649"/>
                <w:sz w:val="28"/>
              </w:rPr>
              <w:t>Рекомендація</w:t>
            </w:r>
          </w:p>
        </w:tc>
      </w:tr>
      <w:tr w:rsidR="00ED665B" w:rsidRPr="00907702" w:rsidTr="003E67D4">
        <w:trPr>
          <w:trHeight w:hRule="exact" w:val="1568"/>
        </w:trPr>
        <w:tc>
          <w:tcPr>
            <w:tcW w:w="9202"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FE7B24">
            <w:pPr>
              <w:spacing w:before="120"/>
              <w:ind w:left="264" w:right="221"/>
              <w:jc w:val="both"/>
              <w:rPr>
                <w:rFonts w:ascii="Calibri" w:hAnsi="Calibri" w:cs="Calibri"/>
              </w:rPr>
            </w:pPr>
            <w:r>
              <w:rPr>
                <w:rFonts w:ascii="Calibri" w:hAnsi="Calibri"/>
                <w:color w:val="000000"/>
                <w:sz w:val="22"/>
              </w:rPr>
              <w:t>У людей з ознаками та симптомами легеневого туберкульозу для виявлення легеневого туберкульозу, а також резистентності до рифампіцину та ізоніазиду, можуть використовуватися автоматизовані ТАНК помірної складності у дихальних пробах, а не культуральні та фенотипічні ТМЧ. Умовна рекомендація, середня якість доказових даних щодо діагностичної точності)</w:t>
            </w:r>
          </w:p>
        </w:tc>
      </w:tr>
    </w:tbl>
    <w:p w:rsidR="00ED665B" w:rsidRPr="00907702" w:rsidRDefault="006C7D2F" w:rsidP="00DC2656">
      <w:pPr>
        <w:spacing w:before="437"/>
        <w:ind w:left="86"/>
        <w:rPr>
          <w:rFonts w:ascii="Calibri" w:hAnsi="Calibri" w:cs="Calibri"/>
        </w:rPr>
      </w:pPr>
      <w:r>
        <w:rPr>
          <w:rFonts w:ascii="Calibri" w:hAnsi="Calibri"/>
          <w:color w:val="000000"/>
          <w:sz w:val="22"/>
        </w:rPr>
        <w:t>Для цієї рекомендації слід врахувати кілька підгруп:</w:t>
      </w:r>
    </w:p>
    <w:p w:rsidR="00ED665B" w:rsidRPr="00907702" w:rsidRDefault="006C7D2F" w:rsidP="00DC2656">
      <w:pPr>
        <w:spacing w:before="91"/>
        <w:ind w:left="326" w:hanging="240"/>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Рекомендація базується на даних діагностичної точності у дихальних пробах дорослих з ознаками та симптомами легеневого туберкульозу.</w:t>
      </w:r>
    </w:p>
    <w:p w:rsidR="00ED665B" w:rsidRPr="00907702" w:rsidRDefault="00ED665B" w:rsidP="00DC2656">
      <w:pPr>
        <w:spacing w:before="91"/>
        <w:ind w:left="326" w:hanging="240"/>
        <w:rPr>
          <w:rFonts w:ascii="Calibri" w:hAnsi="Calibri" w:cs="Calibri"/>
        </w:rPr>
        <w:sectPr w:rsidR="00ED665B" w:rsidRPr="00907702">
          <w:headerReference w:type="even" r:id="rId60"/>
          <w:footerReference w:type="even" r:id="rId61"/>
          <w:pgSz w:w="11904" w:h="16838"/>
          <w:pgMar w:top="1339" w:right="1373" w:bottom="1954" w:left="1330" w:header="720" w:footer="720" w:gutter="0"/>
          <w:cols w:space="60"/>
          <w:noEndnote/>
        </w:sectPr>
      </w:pP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lastRenderedPageBreak/>
        <w:t>Рекомендація стосується людей, які живуть з ВІЛ (дослідження включали різну частку таких осіб); результати аналізу зразків з негативним мазком були переглянуті, але вони були доступні лише для виявлення туберкульозу, а не резистентності до рифампіцину та ізоніазиду, а дані, стратифіковані за ВІЛ-статусом, були недоступні.</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Рекомендація стосується підлітків та дітей, виведена на основі узагальнення даних дорослих; підвищена частота невизначених результатів може бути виявлена при олігобацилярному туберкульозі у дітей.</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Огляд не враховував екстраполяцію результату для використання у людей із позалегеневим туберкульозом та тестування на зразки, представлені не мокротинням, оскільки дані про діагностичну точність технології у класі зразків, представлених не мокротинням, були обмежені.</w:t>
      </w:r>
    </w:p>
    <w:p w:rsidR="00ED665B" w:rsidRPr="003E67D4" w:rsidRDefault="006C7D2F" w:rsidP="00DC2656">
      <w:pPr>
        <w:spacing w:before="230"/>
        <w:rPr>
          <w:rFonts w:ascii="Calibri" w:hAnsi="Calibri" w:cs="Calibri"/>
          <w:b/>
          <w:bCs/>
        </w:rPr>
      </w:pPr>
      <w:r>
        <w:rPr>
          <w:rFonts w:ascii="Calibri" w:hAnsi="Calibri"/>
          <w:b/>
          <w:color w:val="009649"/>
          <w:sz w:val="28"/>
        </w:rPr>
        <w:t>Описи тестів</w:t>
      </w:r>
    </w:p>
    <w:p w:rsidR="00ED665B" w:rsidRPr="00907702" w:rsidRDefault="006C7D2F" w:rsidP="00DC2656">
      <w:pPr>
        <w:spacing w:before="168"/>
        <w:jc w:val="both"/>
        <w:rPr>
          <w:rFonts w:ascii="Calibri" w:hAnsi="Calibri" w:cs="Calibri"/>
        </w:rPr>
      </w:pPr>
      <w:r>
        <w:rPr>
          <w:rFonts w:ascii="Calibri" w:hAnsi="Calibri"/>
          <w:color w:val="000000"/>
          <w:sz w:val="22"/>
        </w:rPr>
        <w:t xml:space="preserve">Тест </w:t>
      </w:r>
      <w:r w:rsidRPr="00FE7B24">
        <w:rPr>
          <w:rFonts w:ascii="Calibri" w:hAnsi="Calibri"/>
          <w:i/>
          <w:color w:val="000000"/>
          <w:sz w:val="22"/>
        </w:rPr>
        <w:t>Abbott Molecular</w:t>
      </w:r>
      <w:r>
        <w:rPr>
          <w:rFonts w:ascii="Calibri" w:hAnsi="Calibri"/>
          <w:color w:val="000000"/>
          <w:sz w:val="22"/>
        </w:rPr>
        <w:t xml:space="preserve"> має два ТАНК для виявлення туберкульозу, один для виявлення мікобактерій туберкульозу (</w:t>
      </w:r>
      <w:r w:rsidRPr="0031040C">
        <w:rPr>
          <w:rFonts w:ascii="Calibri" w:hAnsi="Calibri"/>
          <w:i/>
          <w:color w:val="000000"/>
          <w:sz w:val="22"/>
        </w:rPr>
        <w:t>Mtb</w:t>
      </w:r>
      <w:r>
        <w:rPr>
          <w:rFonts w:ascii="Calibri" w:hAnsi="Calibri"/>
          <w:color w:val="000000"/>
          <w:sz w:val="22"/>
        </w:rPr>
        <w:t xml:space="preserve">) (тест RealTime MTB), а також для виявлення резистентності як до рифампіцину, так і до ізоніазиду (RealTime MTB RIF/INH). Виявлення туберкульозу проводиться на основі генетичного елемента IS6110 та pab-гена. Тест на резистентність до рифампіцину та ізоніазиду використовує вісім зондів з міткою барвником для виявлення варіантів на ділянці, що визначає резистентність до рифампіцину (RRDR) гена </w:t>
      </w:r>
      <w:r w:rsidRPr="009D59CA">
        <w:rPr>
          <w:rFonts w:ascii="Calibri" w:hAnsi="Calibri"/>
          <w:i/>
          <w:color w:val="000000"/>
          <w:sz w:val="22"/>
        </w:rPr>
        <w:t>rpoB</w:t>
      </w:r>
      <w:r>
        <w:rPr>
          <w:rFonts w:ascii="Calibri" w:hAnsi="Calibri"/>
          <w:color w:val="000000"/>
          <w:sz w:val="22"/>
        </w:rPr>
        <w:t xml:space="preserve">, та чотири зонди для виявлення резистентності до ізоніазидів, з двома зондами кожен для генів katG та </w:t>
      </w:r>
      <w:r w:rsidRPr="009D59CA">
        <w:rPr>
          <w:rFonts w:ascii="Calibri" w:hAnsi="Calibri"/>
          <w:i/>
          <w:color w:val="000000"/>
          <w:sz w:val="22"/>
        </w:rPr>
        <w:t>inhA</w:t>
      </w:r>
      <w:r>
        <w:rPr>
          <w:rFonts w:ascii="Calibri" w:hAnsi="Calibri"/>
          <w:color w:val="000000"/>
          <w:sz w:val="22"/>
        </w:rPr>
        <w:t xml:space="preserve">. Компанія заявляє про межу виявлення (LoD) 17 КУО/мл для аналізу MTB RealTime та 60 колонієутворюючих одиниць (КУО)/мл для тесту RealTime RIF/INH </w:t>
      </w:r>
      <w:r w:rsidRPr="00FE7B24">
        <w:rPr>
          <w:rFonts w:ascii="Calibri" w:hAnsi="Calibri"/>
          <w:i/>
          <w:color w:val="000000"/>
          <w:sz w:val="22"/>
        </w:rPr>
        <w:t>(14–16)</w:t>
      </w:r>
      <w:r>
        <w:rPr>
          <w:rFonts w:ascii="Calibri" w:hAnsi="Calibri"/>
          <w:color w:val="000000"/>
          <w:sz w:val="22"/>
        </w:rPr>
        <w:t>. Тест проводиться на платформі m2000, m2000sp для автоматичної екстракції ДНК та m2000rt для ПЛР у реальному часі.</w:t>
      </w:r>
    </w:p>
    <w:p w:rsidR="00ED665B" w:rsidRPr="00FE7B24" w:rsidRDefault="006C7D2F" w:rsidP="00DC2656">
      <w:pPr>
        <w:spacing w:before="274"/>
        <w:rPr>
          <w:rFonts w:ascii="Calibri" w:hAnsi="Calibri" w:cs="Calibri"/>
          <w:b/>
          <w:bCs/>
          <w:sz w:val="22"/>
        </w:rPr>
      </w:pPr>
      <w:bookmarkStart w:id="11" w:name="bookmark12"/>
      <w:r w:rsidRPr="00FE7B24">
        <w:rPr>
          <w:rFonts w:ascii="Calibri" w:hAnsi="Calibri"/>
          <w:b/>
          <w:color w:val="636466"/>
          <w:sz w:val="24"/>
        </w:rPr>
        <w:t>Р</w:t>
      </w:r>
      <w:bookmarkEnd w:id="11"/>
      <w:r w:rsidRPr="00FE7B24">
        <w:rPr>
          <w:rFonts w:ascii="Calibri" w:hAnsi="Calibri"/>
          <w:b/>
          <w:color w:val="636466"/>
          <w:sz w:val="24"/>
        </w:rPr>
        <w:t>ис. 2.1.4. Обладнання Abbott: (а) система m2000sp RealTime і (б) комплект реактивів RealTime MTB Amplification</w:t>
      </w:r>
    </w:p>
    <w:p w:rsidR="00ED665B" w:rsidRPr="00907702" w:rsidRDefault="00CD1F71" w:rsidP="00DC2656">
      <w:pPr>
        <w:spacing w:before="254"/>
        <w:ind w:left="43"/>
        <w:rPr>
          <w:rFonts w:ascii="Calibri" w:hAnsi="Calibri" w:cs="Calibri"/>
        </w:rPr>
      </w:pPr>
      <w:r>
        <w:rPr>
          <w:rFonts w:ascii="Calibri" w:hAnsi="Calibri"/>
          <w:noProof/>
          <w:lang w:val="en-US" w:bidi="ar-SA"/>
        </w:rPr>
        <w:drawing>
          <wp:inline distT="0" distB="0" distL="0" distR="0">
            <wp:extent cx="5693410" cy="283845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3410" cy="2838450"/>
                    </a:xfrm>
                    <a:prstGeom prst="rect">
                      <a:avLst/>
                    </a:prstGeom>
                    <a:noFill/>
                    <a:ln>
                      <a:noFill/>
                    </a:ln>
                  </pic:spPr>
                </pic:pic>
              </a:graphicData>
            </a:graphic>
          </wp:inline>
        </w:drawing>
      </w:r>
    </w:p>
    <w:p w:rsidR="00ED665B" w:rsidRPr="00907702" w:rsidRDefault="006C7D2F" w:rsidP="00DC2656">
      <w:pPr>
        <w:spacing w:before="48"/>
        <w:rPr>
          <w:rFonts w:ascii="Calibri" w:hAnsi="Calibri" w:cs="Calibri"/>
        </w:rPr>
      </w:pPr>
      <w:r>
        <w:rPr>
          <w:rFonts w:ascii="Calibri" w:hAnsi="Calibri"/>
          <w:color w:val="000000"/>
          <w:sz w:val="16"/>
        </w:rPr>
        <w:t>Джерело: Відтворено з дозволу компанії «Abbott Molecular», © 2021. Усі права захищені.</w:t>
      </w:r>
    </w:p>
    <w:p w:rsidR="00ED665B" w:rsidRPr="00907702" w:rsidRDefault="006C7D2F" w:rsidP="0093763E">
      <w:pPr>
        <w:spacing w:before="360"/>
        <w:ind w:right="5"/>
        <w:jc w:val="distribute"/>
        <w:rPr>
          <w:rFonts w:ascii="Calibri" w:hAnsi="Calibri" w:cs="Calibri"/>
        </w:rPr>
      </w:pPr>
      <w:r>
        <w:rPr>
          <w:rFonts w:ascii="Calibri" w:hAnsi="Calibri"/>
          <w:color w:val="000000"/>
          <w:sz w:val="22"/>
        </w:rPr>
        <w:t xml:space="preserve">Becton Dickinson (BD) пропонує мультиплексовану ПЛР у реальному часі (BD MAX ™ MDR-TB) ТАНК для виявлення </w:t>
      </w:r>
      <w:r w:rsidRPr="0031040C">
        <w:rPr>
          <w:rFonts w:ascii="Calibri" w:hAnsi="Calibri"/>
          <w:i/>
          <w:color w:val="000000"/>
          <w:sz w:val="22"/>
        </w:rPr>
        <w:t>Mtb</w:t>
      </w:r>
      <w:r>
        <w:rPr>
          <w:rFonts w:ascii="Calibri" w:hAnsi="Calibri"/>
          <w:color w:val="000000"/>
          <w:sz w:val="22"/>
        </w:rPr>
        <w:t xml:space="preserve"> та резистентності як до рифампіцину, так і до ізоніазиду. Тест проводиться на платформі, яка використовує 5-колірне визначення </w:t>
      </w:r>
      <w:r w:rsidRPr="00BE6F5B">
        <w:rPr>
          <w:rFonts w:ascii="Calibri" w:hAnsi="Calibri"/>
          <w:i/>
          <w:color w:val="000000"/>
          <w:sz w:val="22"/>
        </w:rPr>
        <w:t>(14)</w:t>
      </w:r>
      <w:r>
        <w:rPr>
          <w:rFonts w:ascii="Calibri" w:hAnsi="Calibri"/>
          <w:color w:val="000000"/>
          <w:sz w:val="22"/>
        </w:rPr>
        <w:t xml:space="preserve">. Для виявлення </w:t>
      </w:r>
      <w:r w:rsidRPr="0031040C">
        <w:rPr>
          <w:rFonts w:ascii="Calibri" w:hAnsi="Calibri"/>
          <w:i/>
          <w:color w:val="000000"/>
          <w:sz w:val="22"/>
        </w:rPr>
        <w:t>Mtb</w:t>
      </w:r>
      <w:r>
        <w:rPr>
          <w:rFonts w:ascii="Calibri" w:hAnsi="Calibri"/>
          <w:color w:val="000000"/>
          <w:sz w:val="22"/>
        </w:rPr>
        <w:t xml:space="preserve"> цей </w:t>
      </w:r>
    </w:p>
    <w:p w:rsidR="00ED665B" w:rsidRPr="00907702" w:rsidRDefault="00ED665B" w:rsidP="00DC2656">
      <w:pPr>
        <w:spacing w:before="422"/>
        <w:ind w:right="5"/>
        <w:jc w:val="both"/>
        <w:rPr>
          <w:rFonts w:ascii="Calibri" w:hAnsi="Calibri" w:cs="Calibri"/>
        </w:rPr>
        <w:sectPr w:rsidR="00ED665B" w:rsidRPr="00907702">
          <w:pgSz w:w="11904" w:h="16838"/>
          <w:pgMar w:top="1339" w:right="1411" w:bottom="1445" w:left="1416" w:header="720" w:footer="720" w:gutter="0"/>
          <w:cols w:space="60"/>
          <w:noEndnote/>
        </w:sectPr>
      </w:pPr>
    </w:p>
    <w:p w:rsidR="00ED665B" w:rsidRPr="00907702" w:rsidRDefault="0093763E" w:rsidP="00DC2656">
      <w:pPr>
        <w:jc w:val="both"/>
        <w:rPr>
          <w:rFonts w:ascii="Calibri" w:hAnsi="Calibri" w:cs="Calibri"/>
        </w:rPr>
      </w:pPr>
      <w:r>
        <w:rPr>
          <w:rFonts w:ascii="Calibri" w:hAnsi="Calibri"/>
          <w:color w:val="000000"/>
          <w:sz w:val="22"/>
        </w:rPr>
        <w:lastRenderedPageBreak/>
        <w:t xml:space="preserve">тест проводиться на основі </w:t>
      </w:r>
      <w:r w:rsidR="006C7D2F">
        <w:rPr>
          <w:rFonts w:ascii="Calibri" w:hAnsi="Calibri"/>
          <w:color w:val="000000"/>
          <w:sz w:val="22"/>
        </w:rPr>
        <w:t xml:space="preserve">багатокопійних геномних елементів IS6110 та IS1081, а також однокопійної геномної цілі. Щоб виявити резистентність до рифампіцину тест спрямований на кодони RRDR 507–533 номенклатури Escherichia coli (номенклатура 426–452 </w:t>
      </w:r>
      <w:r w:rsidR="006C7D2F" w:rsidRPr="0031040C">
        <w:rPr>
          <w:rFonts w:ascii="Calibri" w:hAnsi="Calibri"/>
          <w:i/>
          <w:color w:val="000000"/>
          <w:sz w:val="22"/>
        </w:rPr>
        <w:t>Mtb</w:t>
      </w:r>
      <w:r w:rsidR="006C7D2F">
        <w:rPr>
          <w:rFonts w:ascii="Calibri" w:hAnsi="Calibri"/>
          <w:color w:val="000000"/>
          <w:sz w:val="22"/>
        </w:rPr>
        <w:t xml:space="preserve">) гена </w:t>
      </w:r>
      <w:r w:rsidR="006C7D2F" w:rsidRPr="009D59CA">
        <w:rPr>
          <w:rFonts w:ascii="Calibri" w:hAnsi="Calibri"/>
          <w:i/>
          <w:color w:val="000000"/>
          <w:sz w:val="22"/>
        </w:rPr>
        <w:t>rpoB</w:t>
      </w:r>
      <w:r w:rsidR="006C7D2F">
        <w:rPr>
          <w:rFonts w:ascii="Calibri" w:hAnsi="Calibri"/>
          <w:color w:val="000000"/>
          <w:sz w:val="22"/>
        </w:rPr>
        <w:t xml:space="preserve">; для виявлення резистентності до ізоніазиду тест націлений як на промоторну область </w:t>
      </w:r>
      <w:r w:rsidR="006C7D2F" w:rsidRPr="009D59CA">
        <w:rPr>
          <w:rFonts w:ascii="Calibri" w:hAnsi="Calibri"/>
          <w:i/>
          <w:color w:val="000000"/>
          <w:sz w:val="22"/>
        </w:rPr>
        <w:t>inhA</w:t>
      </w:r>
      <w:r w:rsidR="006C7D2F">
        <w:rPr>
          <w:rFonts w:ascii="Calibri" w:hAnsi="Calibri"/>
          <w:color w:val="000000"/>
          <w:sz w:val="22"/>
        </w:rPr>
        <w:t xml:space="preserve">, так і на кодон 315 гена </w:t>
      </w:r>
      <w:r w:rsidR="006C7D2F" w:rsidRPr="009D59CA">
        <w:rPr>
          <w:rFonts w:ascii="Calibri" w:hAnsi="Calibri"/>
          <w:i/>
          <w:color w:val="000000"/>
          <w:sz w:val="22"/>
        </w:rPr>
        <w:t>katG</w:t>
      </w:r>
      <w:r w:rsidR="006C7D2F">
        <w:rPr>
          <w:rFonts w:ascii="Calibri" w:hAnsi="Calibri"/>
          <w:color w:val="000000"/>
          <w:sz w:val="22"/>
        </w:rPr>
        <w:t xml:space="preserve">. LoD, про який повідомила компанія, становить 0,5 КУО/мл для виявлення </w:t>
      </w:r>
      <w:r w:rsidR="006C7D2F" w:rsidRPr="0031040C">
        <w:rPr>
          <w:rFonts w:ascii="Calibri" w:hAnsi="Calibri"/>
          <w:i/>
          <w:color w:val="000000"/>
          <w:sz w:val="22"/>
        </w:rPr>
        <w:t>Mtb</w:t>
      </w:r>
      <w:r w:rsidR="006C7D2F">
        <w:rPr>
          <w:rFonts w:ascii="Calibri" w:hAnsi="Calibri"/>
          <w:color w:val="000000"/>
          <w:sz w:val="22"/>
        </w:rPr>
        <w:t xml:space="preserve"> та 6 КУО/мл для виявлення резистентності. Тест виконується на платформі BD MAX з автоматичною екстракцією ДНК та проведенням ПЛР у реальному часі.</w:t>
      </w:r>
    </w:p>
    <w:p w:rsidR="00ED665B" w:rsidRPr="003E67D4" w:rsidRDefault="006C7D2F" w:rsidP="00DC2656">
      <w:pPr>
        <w:spacing w:before="274"/>
        <w:rPr>
          <w:rFonts w:ascii="Calibri" w:hAnsi="Calibri" w:cs="Calibri"/>
          <w:b/>
          <w:bCs/>
        </w:rPr>
      </w:pPr>
      <w:bookmarkStart w:id="12" w:name="bookmark13"/>
      <w:r>
        <w:rPr>
          <w:rFonts w:ascii="Calibri" w:hAnsi="Calibri"/>
          <w:b/>
          <w:color w:val="636466"/>
          <w:sz w:val="22"/>
        </w:rPr>
        <w:t>Р</w:t>
      </w:r>
      <w:bookmarkEnd w:id="12"/>
      <w:r>
        <w:rPr>
          <w:rFonts w:ascii="Calibri" w:hAnsi="Calibri"/>
          <w:b/>
          <w:color w:val="636466"/>
          <w:sz w:val="22"/>
        </w:rPr>
        <w:t>ис. 2.1.5. Обладнання Becton Dickinson: (a) система BD MAX™ та (b) картриджі BD MAX PCR</w:t>
      </w:r>
    </w:p>
    <w:p w:rsidR="00ED665B" w:rsidRPr="00907702" w:rsidRDefault="00CD1F71" w:rsidP="00DC2656">
      <w:pPr>
        <w:spacing w:before="72"/>
        <w:ind w:left="5"/>
        <w:rPr>
          <w:rFonts w:ascii="Calibri" w:hAnsi="Calibri" w:cs="Calibri"/>
        </w:rPr>
      </w:pPr>
      <w:r>
        <w:rPr>
          <w:rFonts w:ascii="Calibri" w:hAnsi="Calibri"/>
          <w:noProof/>
          <w:lang w:val="en-US" w:bidi="ar-SA"/>
        </w:rPr>
        <w:drawing>
          <wp:inline distT="0" distB="0" distL="0" distR="0">
            <wp:extent cx="5756910" cy="2934335"/>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6910" cy="2934335"/>
                    </a:xfrm>
                    <a:prstGeom prst="rect">
                      <a:avLst/>
                    </a:prstGeom>
                    <a:noFill/>
                    <a:ln>
                      <a:noFill/>
                    </a:ln>
                  </pic:spPr>
                </pic:pic>
              </a:graphicData>
            </a:graphic>
          </wp:inline>
        </w:drawing>
      </w:r>
    </w:p>
    <w:p w:rsidR="00ED665B" w:rsidRPr="00907702" w:rsidRDefault="006C7D2F" w:rsidP="00DC2656">
      <w:pPr>
        <w:spacing w:before="34"/>
        <w:rPr>
          <w:rFonts w:ascii="Calibri" w:hAnsi="Calibri" w:cs="Calibri"/>
        </w:rPr>
      </w:pPr>
      <w:r>
        <w:rPr>
          <w:rFonts w:ascii="Calibri" w:hAnsi="Calibri"/>
          <w:color w:val="000000"/>
          <w:sz w:val="16"/>
        </w:rPr>
        <w:t>Джерело: Відтворено з дозволу компанії «Becton Dickinson», © 2021. Усі права захищені.</w:t>
      </w:r>
    </w:p>
    <w:p w:rsidR="00ED665B" w:rsidRPr="00907702" w:rsidRDefault="006C7D2F" w:rsidP="00DC2656">
      <w:pPr>
        <w:spacing w:before="418"/>
        <w:jc w:val="both"/>
        <w:rPr>
          <w:rFonts w:ascii="Calibri" w:hAnsi="Calibri" w:cs="Calibri"/>
        </w:rPr>
      </w:pPr>
      <w:r>
        <w:rPr>
          <w:rFonts w:ascii="Calibri" w:hAnsi="Calibri"/>
          <w:color w:val="000000"/>
          <w:sz w:val="22"/>
        </w:rPr>
        <w:t xml:space="preserve">Компанія «Bruker-Hain Diagnostics» пропонує два ТАНК у режимі реального часу: FluoroType® MTB, який призначений для виявлення </w:t>
      </w:r>
      <w:r w:rsidRPr="0031040C">
        <w:rPr>
          <w:rFonts w:ascii="Calibri" w:hAnsi="Calibri"/>
          <w:i/>
          <w:color w:val="000000"/>
          <w:sz w:val="22"/>
        </w:rPr>
        <w:t>Mtb</w:t>
      </w:r>
      <w:r>
        <w:rPr>
          <w:rFonts w:ascii="Calibri" w:hAnsi="Calibri"/>
          <w:color w:val="000000"/>
          <w:sz w:val="22"/>
        </w:rPr>
        <w:t xml:space="preserve">, і FluoroType MTBDR, який призначений для виявлення </w:t>
      </w:r>
      <w:r w:rsidRPr="0031040C">
        <w:rPr>
          <w:rFonts w:ascii="Calibri" w:hAnsi="Calibri"/>
          <w:i/>
          <w:color w:val="000000"/>
          <w:sz w:val="22"/>
        </w:rPr>
        <w:t>Mtb</w:t>
      </w:r>
      <w:r>
        <w:rPr>
          <w:rFonts w:ascii="Calibri" w:hAnsi="Calibri"/>
          <w:color w:val="000000"/>
          <w:sz w:val="22"/>
        </w:rPr>
        <w:t xml:space="preserve"> та резистентності до рифампіцину та ізоніазиду. Ці платформи повністю незалежні від платформ MTBDR GenoType. Тест MTBDR типу FluoroType використовує асиметричну надлишкову ПЛР та зонди з / без освітлення. Гени -мішені – це гени </w:t>
      </w:r>
      <w:r w:rsidRPr="009D59CA">
        <w:rPr>
          <w:rFonts w:ascii="Calibri" w:hAnsi="Calibri"/>
          <w:i/>
          <w:color w:val="000000"/>
          <w:sz w:val="22"/>
        </w:rPr>
        <w:t>rpoB</w:t>
      </w:r>
      <w:r>
        <w:rPr>
          <w:rFonts w:ascii="Calibri" w:hAnsi="Calibri"/>
          <w:color w:val="000000"/>
          <w:sz w:val="22"/>
        </w:rPr>
        <w:t xml:space="preserve"> для виявлення туберкульозу та резистентності до рифампіцину, а також промотору </w:t>
      </w:r>
      <w:r w:rsidRPr="009D59CA">
        <w:rPr>
          <w:rFonts w:ascii="Calibri" w:hAnsi="Calibri"/>
          <w:i/>
          <w:color w:val="000000"/>
          <w:sz w:val="22"/>
        </w:rPr>
        <w:t>inhA</w:t>
      </w:r>
      <w:r>
        <w:rPr>
          <w:rFonts w:ascii="Calibri" w:hAnsi="Calibri"/>
          <w:color w:val="000000"/>
          <w:sz w:val="22"/>
        </w:rPr>
        <w:t xml:space="preserve"> та гена </w:t>
      </w:r>
      <w:r w:rsidRPr="009D59CA">
        <w:rPr>
          <w:rFonts w:ascii="Calibri" w:hAnsi="Calibri"/>
          <w:i/>
          <w:color w:val="000000"/>
          <w:sz w:val="22"/>
        </w:rPr>
        <w:t>katG</w:t>
      </w:r>
      <w:r>
        <w:rPr>
          <w:rFonts w:ascii="Calibri" w:hAnsi="Calibri"/>
          <w:color w:val="000000"/>
          <w:sz w:val="22"/>
        </w:rPr>
        <w:t xml:space="preserve"> для виявлення резистентності до ізоніазидів. LoD, про який повідомила компанія, становить 15 КУО/мл для тесту FluoroType MTB та 20 КУО/мл для тесту FluoroType MTBDR (14, 17, 18). Для екстракції ДНК вручну (FluoroLyse ) та в автоматизованому режимі (GenoXtract) доступні варіанти. Платформи, що використовуються для ампліфікації та виявлення, – це FluoroCycler® для аналізу MTB та FluoroCycler XT для аналізу MTBDR.</w:t>
      </w:r>
    </w:p>
    <w:p w:rsidR="00ED665B" w:rsidRPr="00907702" w:rsidRDefault="00ED665B" w:rsidP="00DC2656">
      <w:pPr>
        <w:spacing w:before="418"/>
        <w:jc w:val="both"/>
        <w:rPr>
          <w:rFonts w:ascii="Calibri" w:hAnsi="Calibri" w:cs="Calibri"/>
        </w:rPr>
        <w:sectPr w:rsidR="00ED665B" w:rsidRPr="00907702">
          <w:pgSz w:w="11904" w:h="16838"/>
          <w:pgMar w:top="1339" w:right="1416" w:bottom="3811" w:left="1416" w:header="720" w:footer="720" w:gutter="0"/>
          <w:cols w:space="60"/>
          <w:noEndnote/>
        </w:sectPr>
      </w:pPr>
    </w:p>
    <w:p w:rsidR="00ED665B" w:rsidRPr="003E67D4" w:rsidRDefault="006C7D2F" w:rsidP="00DC2656">
      <w:pPr>
        <w:rPr>
          <w:rFonts w:ascii="Calibri" w:hAnsi="Calibri" w:cs="Calibri"/>
          <w:b/>
          <w:bCs/>
        </w:rPr>
      </w:pPr>
      <w:bookmarkStart w:id="13" w:name="bookmark14"/>
      <w:r>
        <w:rPr>
          <w:rFonts w:ascii="Calibri" w:hAnsi="Calibri"/>
          <w:b/>
          <w:color w:val="636466"/>
          <w:sz w:val="22"/>
        </w:rPr>
        <w:lastRenderedPageBreak/>
        <w:t>Р</w:t>
      </w:r>
      <w:bookmarkEnd w:id="13"/>
      <w:r>
        <w:rPr>
          <w:rFonts w:ascii="Calibri" w:hAnsi="Calibri"/>
          <w:b/>
          <w:color w:val="636466"/>
          <w:sz w:val="22"/>
        </w:rPr>
        <w:t>ис. 2.1.6. Принципи тесту (а) MTB FluoroType® та (b) MTBDR® FluoroType®</w:t>
      </w:r>
    </w:p>
    <w:p w:rsidR="00ED665B" w:rsidRPr="00907702" w:rsidRDefault="00FE7B24" w:rsidP="00DC2656">
      <w:pPr>
        <w:spacing w:before="235"/>
        <w:rPr>
          <w:rFonts w:ascii="Calibri" w:hAnsi="Calibri" w:cs="Calibri"/>
        </w:rPr>
      </w:pPr>
      <w:r>
        <w:rPr>
          <w:rFonts w:ascii="Calibri" w:hAnsi="Calibri"/>
          <w:noProof/>
          <w:color w:val="000000"/>
          <w:sz w:val="24"/>
          <w:lang w:val="en-US" w:bidi="ar-SA"/>
        </w:rPr>
        <mc:AlternateContent>
          <mc:Choice Requires="wps">
            <w:drawing>
              <wp:anchor distT="0" distB="0" distL="114300" distR="114300" simplePos="0" relativeHeight="251696128" behindDoc="0" locked="0" layoutInCell="1" allowOverlap="1" wp14:anchorId="248DB39C" wp14:editId="6B301F44">
                <wp:simplePos x="0" y="0"/>
                <wp:positionH relativeFrom="page">
                  <wp:posOffset>1303210</wp:posOffset>
                </wp:positionH>
                <wp:positionV relativeFrom="page">
                  <wp:posOffset>4529455</wp:posOffset>
                </wp:positionV>
                <wp:extent cx="1247140" cy="374650"/>
                <wp:effectExtent l="0" t="0" r="0" b="6350"/>
                <wp:wrapNone/>
                <wp:docPr id="550" name="Надпись 550"/>
                <wp:cNvGraphicFramePr/>
                <a:graphic xmlns:a="http://schemas.openxmlformats.org/drawingml/2006/main">
                  <a:graphicData uri="http://schemas.microsoft.com/office/word/2010/wordprocessingShape">
                    <wps:wsp>
                      <wps:cNvSpPr txBox="1"/>
                      <wps:spPr>
                        <a:xfrm>
                          <a:off x="0" y="0"/>
                          <a:ext cx="1247140" cy="374650"/>
                        </a:xfrm>
                        <a:prstGeom prst="rect">
                          <a:avLst/>
                        </a:prstGeom>
                        <a:solidFill>
                          <a:srgbClr val="F6F7FC"/>
                        </a:solidFill>
                        <a:ln w="6350">
                          <a:noFill/>
                        </a:ln>
                      </wps:spPr>
                      <wps:txbx>
                        <w:txbxContent>
                          <w:p w:rsidR="00BE6F5B" w:rsidRPr="0038684E" w:rsidRDefault="00BE6F5B" w:rsidP="0038684E">
                            <w:pPr>
                              <w:jc w:val="center"/>
                              <w:rPr>
                                <w:color w:val="0070C0"/>
                                <w:sz w:val="16"/>
                                <w:szCs w:val="16"/>
                              </w:rPr>
                            </w:pPr>
                            <w:r>
                              <w:rPr>
                                <w:color w:val="0070C0"/>
                                <w:sz w:val="16"/>
                              </w:rPr>
                              <w:t>Екстракція ДНК із зразків мокротиння або культивованих зразків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DB39C" id="Надпись 550" o:spid="_x0000_s1048" type="#_x0000_t202" style="position:absolute;margin-left:102.6pt;margin-top:356.65pt;width:98.2pt;height:29.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" fillcolor="#f6f7fc" stroked="f" strokeweight=".5pt">
                <v:textbox inset="0,0,0,0">
                  <w:txbxContent>
                    <w:p w:rsidR="00BE6F5B" w:rsidRPr="0038684E" w:rsidRDefault="00BE6F5B" w:rsidP="0038684E">
                      <w:pPr>
                        <w:jc w:val="center"/>
                        <w:rPr>
                          <w:color w:val="0070C0"/>
                          <w:sz w:val="16"/>
                          <w:szCs w:val="16"/>
                        </w:rPr>
                      </w:pPr>
                      <w:r>
                        <w:rPr>
                          <w:color w:val="0070C0"/>
                          <w:sz w:val="16"/>
                        </w:rPr>
                        <w:t>Екстракція ДНК із зразків мокротиння або культивованих зразків</w:t>
                      </w:r>
                    </w:p>
                  </w:txbxContent>
                </v:textbox>
                <w10:wrap anchorx="page" anchory="page"/>
              </v:shape>
            </w:pict>
          </mc:Fallback>
        </mc:AlternateContent>
      </w:r>
      <w:r>
        <w:rPr>
          <w:rFonts w:ascii="Calibri" w:hAnsi="Calibri"/>
          <w:noProof/>
          <w:color w:val="000000"/>
          <w:sz w:val="24"/>
          <w:lang w:val="en-US" w:bidi="ar-SA"/>
        </w:rPr>
        <mc:AlternateContent>
          <mc:Choice Requires="wps">
            <w:drawing>
              <wp:anchor distT="0" distB="0" distL="114300" distR="114300" simplePos="0" relativeHeight="251692032" behindDoc="0" locked="0" layoutInCell="1" allowOverlap="1" wp14:anchorId="6194BF49" wp14:editId="227B2C9D">
                <wp:simplePos x="0" y="0"/>
                <wp:positionH relativeFrom="page">
                  <wp:posOffset>4999512</wp:posOffset>
                </wp:positionH>
                <wp:positionV relativeFrom="page">
                  <wp:posOffset>4583875</wp:posOffset>
                </wp:positionV>
                <wp:extent cx="1548130" cy="315274"/>
                <wp:effectExtent l="0" t="0" r="0" b="8890"/>
                <wp:wrapNone/>
                <wp:docPr id="548" name="Надпись 548"/>
                <wp:cNvGraphicFramePr/>
                <a:graphic xmlns:a="http://schemas.openxmlformats.org/drawingml/2006/main">
                  <a:graphicData uri="http://schemas.microsoft.com/office/word/2010/wordprocessingShape">
                    <wps:wsp>
                      <wps:cNvSpPr txBox="1"/>
                      <wps:spPr>
                        <a:xfrm>
                          <a:off x="0" y="0"/>
                          <a:ext cx="1548130" cy="315274"/>
                        </a:xfrm>
                        <a:prstGeom prst="rect">
                          <a:avLst/>
                        </a:prstGeom>
                        <a:solidFill>
                          <a:srgbClr val="F6F7FC"/>
                        </a:solidFill>
                        <a:ln w="6350">
                          <a:noFill/>
                        </a:ln>
                      </wps:spPr>
                      <wps:txbx>
                        <w:txbxContent>
                          <w:p w:rsidR="00BE6F5B" w:rsidRPr="0038684E" w:rsidRDefault="00BE6F5B" w:rsidP="00FE7B24">
                            <w:pPr>
                              <w:jc w:val="center"/>
                              <w:rPr>
                                <w:color w:val="0070C0"/>
                                <w:sz w:val="16"/>
                                <w:szCs w:val="16"/>
                              </w:rPr>
                            </w:pPr>
                            <w:r>
                              <w:rPr>
                                <w:color w:val="0070C0"/>
                                <w:sz w:val="16"/>
                              </w:rPr>
                              <w:t>Результати доступні приблизно за 2,5 години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4BF49" id="Надпись 548" o:spid="_x0000_s1049" type="#_x0000_t202" style="position:absolute;margin-left:393.65pt;margin-top:360.95pt;width:121.9pt;height:24.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" fillcolor="#f6f7fc" stroked="f" strokeweight=".5pt">
                <v:textbox inset="0,0,0,0">
                  <w:txbxContent>
                    <w:p w:rsidR="00BE6F5B" w:rsidRPr="0038684E" w:rsidRDefault="00BE6F5B" w:rsidP="00FE7B24">
                      <w:pPr>
                        <w:jc w:val="center"/>
                        <w:rPr>
                          <w:color w:val="0070C0"/>
                          <w:sz w:val="16"/>
                          <w:szCs w:val="16"/>
                        </w:rPr>
                      </w:pPr>
                      <w:r>
                        <w:rPr>
                          <w:color w:val="0070C0"/>
                          <w:sz w:val="16"/>
                        </w:rPr>
                        <w:t>Результати доступні приблизно за 2,5 години</w:t>
                      </w:r>
                    </w:p>
                  </w:txbxContent>
                </v:textbox>
                <w10:wrap anchorx="page" anchory="page"/>
              </v:shape>
            </w:pict>
          </mc:Fallback>
        </mc:AlternateContent>
      </w:r>
      <w:r>
        <w:rPr>
          <w:rFonts w:ascii="Calibri" w:hAnsi="Calibri"/>
          <w:noProof/>
          <w:color w:val="000000"/>
          <w:sz w:val="24"/>
          <w:lang w:val="en-US" w:bidi="ar-SA"/>
        </w:rPr>
        <mc:AlternateContent>
          <mc:Choice Requires="wps">
            <w:drawing>
              <wp:anchor distT="0" distB="0" distL="114300" distR="114300" simplePos="0" relativeHeight="251689984" behindDoc="0" locked="0" layoutInCell="1" allowOverlap="1" wp14:anchorId="6A6B3562" wp14:editId="2DEBF334">
                <wp:simplePos x="0" y="0"/>
                <wp:positionH relativeFrom="page">
                  <wp:posOffset>4975761</wp:posOffset>
                </wp:positionH>
                <wp:positionV relativeFrom="page">
                  <wp:posOffset>2671948</wp:posOffset>
                </wp:positionV>
                <wp:extent cx="1548130" cy="285008"/>
                <wp:effectExtent l="0" t="0" r="0" b="1270"/>
                <wp:wrapNone/>
                <wp:docPr id="547" name="Надпись 547"/>
                <wp:cNvGraphicFramePr/>
                <a:graphic xmlns:a="http://schemas.openxmlformats.org/drawingml/2006/main">
                  <a:graphicData uri="http://schemas.microsoft.com/office/word/2010/wordprocessingShape">
                    <wps:wsp>
                      <wps:cNvSpPr txBox="1"/>
                      <wps:spPr>
                        <a:xfrm>
                          <a:off x="0" y="0"/>
                          <a:ext cx="1548130" cy="285008"/>
                        </a:xfrm>
                        <a:prstGeom prst="rect">
                          <a:avLst/>
                        </a:prstGeom>
                        <a:solidFill>
                          <a:schemeClr val="lt1"/>
                        </a:solidFill>
                        <a:ln w="6350">
                          <a:noFill/>
                        </a:ln>
                      </wps:spPr>
                      <wps:txbx>
                        <w:txbxContent>
                          <w:p w:rsidR="00BE6F5B" w:rsidRPr="0038684E" w:rsidRDefault="00BE6F5B" w:rsidP="00FE7B24">
                            <w:pPr>
                              <w:jc w:val="center"/>
                              <w:rPr>
                                <w:color w:val="0070C0"/>
                                <w:sz w:val="16"/>
                                <w:szCs w:val="16"/>
                              </w:rPr>
                            </w:pPr>
                            <w:r>
                              <w:rPr>
                                <w:color w:val="0070C0"/>
                                <w:sz w:val="16"/>
                              </w:rPr>
                              <w:t>Результати доступні приблизно за 3 години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B3562" id="Надпись 547" o:spid="_x0000_s1050" type="#_x0000_t202" style="position:absolute;margin-left:391.8pt;margin-top:210.4pt;width:121.9pt;height:22.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" fillcolor="white [3201]" stroked="f" strokeweight=".5pt">
                <v:textbox inset="0,0,0,0">
                  <w:txbxContent>
                    <w:p w:rsidR="00BE6F5B" w:rsidRPr="0038684E" w:rsidRDefault="00BE6F5B" w:rsidP="00FE7B24">
                      <w:pPr>
                        <w:jc w:val="center"/>
                        <w:rPr>
                          <w:color w:val="0070C0"/>
                          <w:sz w:val="16"/>
                          <w:szCs w:val="16"/>
                        </w:rPr>
                      </w:pPr>
                      <w:r>
                        <w:rPr>
                          <w:color w:val="0070C0"/>
                          <w:sz w:val="16"/>
                        </w:rPr>
                        <w:t>Результати доступні приблизно за 3 години</w:t>
                      </w:r>
                    </w:p>
                  </w:txbxContent>
                </v:textbox>
                <w10:wrap anchorx="page" anchory="page"/>
              </v:shape>
            </w:pict>
          </mc:Fallback>
        </mc:AlternateContent>
      </w:r>
      <w:r>
        <w:rPr>
          <w:rFonts w:ascii="Calibri" w:hAnsi="Calibri"/>
          <w:noProof/>
          <w:color w:val="000000"/>
          <w:sz w:val="24"/>
          <w:lang w:val="en-US" w:bidi="ar-SA"/>
        </w:rPr>
        <mc:AlternateContent>
          <mc:Choice Requires="wps">
            <w:drawing>
              <wp:anchor distT="0" distB="0" distL="114300" distR="114300" simplePos="0" relativeHeight="251685888" behindDoc="0" locked="0" layoutInCell="1" allowOverlap="1" wp14:anchorId="4FDDDC5E" wp14:editId="0D5BF11F">
                <wp:simplePos x="0" y="0"/>
                <wp:positionH relativeFrom="page">
                  <wp:posOffset>1379220</wp:posOffset>
                </wp:positionH>
                <wp:positionV relativeFrom="page">
                  <wp:posOffset>2649665</wp:posOffset>
                </wp:positionV>
                <wp:extent cx="835025" cy="147955"/>
                <wp:effectExtent l="0" t="0" r="3175" b="4445"/>
                <wp:wrapNone/>
                <wp:docPr id="545" name="Надпись 545"/>
                <wp:cNvGraphicFramePr/>
                <a:graphic xmlns:a="http://schemas.openxmlformats.org/drawingml/2006/main">
                  <a:graphicData uri="http://schemas.microsoft.com/office/word/2010/wordprocessingShape">
                    <wps:wsp>
                      <wps:cNvSpPr txBox="1"/>
                      <wps:spPr>
                        <a:xfrm>
                          <a:off x="0" y="0"/>
                          <a:ext cx="835025" cy="147955"/>
                        </a:xfrm>
                        <a:prstGeom prst="rect">
                          <a:avLst/>
                        </a:prstGeom>
                        <a:solidFill>
                          <a:schemeClr val="lt1"/>
                        </a:solidFill>
                        <a:ln w="6350">
                          <a:noFill/>
                        </a:ln>
                      </wps:spPr>
                      <wps:txbx>
                        <w:txbxContent>
                          <w:p w:rsidR="00BE6F5B" w:rsidRPr="0038684E" w:rsidRDefault="00BE6F5B">
                            <w:pPr>
                              <w:rPr>
                                <w:color w:val="0070C0"/>
                                <w:sz w:val="16"/>
                                <w:szCs w:val="16"/>
                              </w:rPr>
                            </w:pPr>
                            <w:r>
                              <w:rPr>
                                <w:color w:val="0070C0"/>
                                <w:sz w:val="16"/>
                              </w:rPr>
                              <w:t>Екстракція ДНК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DDC5E" id="Надпись 545" o:spid="_x0000_s1051" type="#_x0000_t202" style="position:absolute;margin-left:108.6pt;margin-top:208.65pt;width:65.75pt;height:11.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" fillcolor="white [3201]" stroked="f" strokeweight=".5pt">
                <v:textbox inset="0,0,0,0">
                  <w:txbxContent>
                    <w:p w:rsidR="00BE6F5B" w:rsidRPr="0038684E" w:rsidRDefault="00BE6F5B">
                      <w:pPr>
                        <w:rPr>
                          <w:color w:val="0070C0"/>
                          <w:sz w:val="16"/>
                          <w:szCs w:val="16"/>
                        </w:rPr>
                      </w:pPr>
                      <w:r>
                        <w:rPr>
                          <w:color w:val="0070C0"/>
                          <w:sz w:val="16"/>
                        </w:rPr>
                        <w:t>Екстракція ДНК</w:t>
                      </w:r>
                    </w:p>
                  </w:txbxContent>
                </v:textbox>
                <w10:wrap anchorx="page" anchory="page"/>
              </v:shape>
            </w:pict>
          </mc:Fallback>
        </mc:AlternateContent>
      </w:r>
      <w:r w:rsidR="0038684E">
        <w:rPr>
          <w:rFonts w:ascii="Calibri" w:hAnsi="Calibri"/>
          <w:noProof/>
          <w:color w:val="000000"/>
          <w:sz w:val="24"/>
          <w:lang w:val="en-US" w:bidi="ar-SA"/>
        </w:rPr>
        <mc:AlternateContent>
          <mc:Choice Requires="wps">
            <w:drawing>
              <wp:anchor distT="0" distB="0" distL="114300" distR="114300" simplePos="0" relativeHeight="251698176" behindDoc="0" locked="0" layoutInCell="1" allowOverlap="1" wp14:anchorId="1B3DE61D" wp14:editId="30B1B4B0">
                <wp:simplePos x="0" y="0"/>
                <wp:positionH relativeFrom="page">
                  <wp:posOffset>1078251</wp:posOffset>
                </wp:positionH>
                <wp:positionV relativeFrom="page">
                  <wp:posOffset>3213614</wp:posOffset>
                </wp:positionV>
                <wp:extent cx="2399639" cy="216707"/>
                <wp:effectExtent l="0" t="0" r="1270" b="0"/>
                <wp:wrapNone/>
                <wp:docPr id="551" name="Надпись 551"/>
                <wp:cNvGraphicFramePr/>
                <a:graphic xmlns:a="http://schemas.openxmlformats.org/drawingml/2006/main">
                  <a:graphicData uri="http://schemas.microsoft.com/office/word/2010/wordprocessingShape">
                    <wps:wsp>
                      <wps:cNvSpPr txBox="1"/>
                      <wps:spPr>
                        <a:xfrm>
                          <a:off x="0" y="0"/>
                          <a:ext cx="2399639" cy="216707"/>
                        </a:xfrm>
                        <a:prstGeom prst="rect">
                          <a:avLst/>
                        </a:prstGeom>
                        <a:solidFill>
                          <a:srgbClr val="F6F7FC"/>
                        </a:solidFill>
                        <a:ln w="6350">
                          <a:noFill/>
                        </a:ln>
                      </wps:spPr>
                      <wps:txbx>
                        <w:txbxContent>
                          <w:p w:rsidR="00BE6F5B" w:rsidRPr="0038684E" w:rsidRDefault="00BE6F5B">
                            <w:pPr>
                              <w:rPr>
                                <w:color w:val="0070C0"/>
                                <w:sz w:val="18"/>
                                <w:szCs w:val="18"/>
                              </w:rPr>
                            </w:pPr>
                            <w:r>
                              <w:rPr>
                                <w:color w:val="0070C0"/>
                                <w:sz w:val="18"/>
                              </w:rPr>
                              <w:t>Принцип тесту FluroType</w:t>
                            </w:r>
                            <w:r>
                              <w:rPr>
                                <w:color w:val="0070C0"/>
                                <w:sz w:val="18"/>
                                <w:vertAlign w:val="superscript"/>
                              </w:rPr>
                              <w:t>®</w:t>
                            </w:r>
                            <w:r>
                              <w:rPr>
                                <w:color w:val="0070C0"/>
                                <w:sz w:val="18"/>
                              </w:rPr>
                              <w:t>MTBDR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DE61D" id="Надпись 551" o:spid="_x0000_s1052" type="#_x0000_t202" style="position:absolute;margin-left:84.9pt;margin-top:253.05pt;width:188.95pt;height:17.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" fillcolor="#f6f7fc" stroked="f" strokeweight=".5pt">
                <v:textbox inset="0,0,0,0">
                  <w:txbxContent>
                    <w:p w:rsidR="00BE6F5B" w:rsidRPr="0038684E" w:rsidRDefault="00BE6F5B">
                      <w:pPr>
                        <w:rPr>
                          <w:color w:val="0070C0"/>
                          <w:sz w:val="18"/>
                          <w:szCs w:val="18"/>
                        </w:rPr>
                      </w:pPr>
                      <w:r>
                        <w:rPr>
                          <w:color w:val="0070C0"/>
                          <w:sz w:val="18"/>
                        </w:rPr>
                        <w:t>Принцип тесту FluroType</w:t>
                      </w:r>
                      <w:r>
                        <w:rPr>
                          <w:color w:val="0070C0"/>
                          <w:sz w:val="18"/>
                          <w:vertAlign w:val="superscript"/>
                        </w:rPr>
                        <w:t>®</w:t>
                      </w:r>
                      <w:r>
                        <w:rPr>
                          <w:color w:val="0070C0"/>
                          <w:sz w:val="18"/>
                        </w:rPr>
                        <w:t>MTBDR</w:t>
                      </w:r>
                    </w:p>
                  </w:txbxContent>
                </v:textbox>
                <w10:wrap anchorx="page" anchory="page"/>
              </v:shape>
            </w:pict>
          </mc:Fallback>
        </mc:AlternateContent>
      </w:r>
      <w:r w:rsidR="0038684E">
        <w:rPr>
          <w:rFonts w:ascii="Calibri" w:hAnsi="Calibri"/>
          <w:noProof/>
          <w:color w:val="000000"/>
          <w:sz w:val="24"/>
          <w:lang w:val="en-US" w:bidi="ar-SA"/>
        </w:rPr>
        <mc:AlternateContent>
          <mc:Choice Requires="wps">
            <w:drawing>
              <wp:anchor distT="0" distB="0" distL="114300" distR="114300" simplePos="0" relativeHeight="251694080" behindDoc="0" locked="0" layoutInCell="1" allowOverlap="1" wp14:anchorId="3A21D565" wp14:editId="3F045870">
                <wp:simplePos x="0" y="0"/>
                <wp:positionH relativeFrom="page">
                  <wp:posOffset>3090439</wp:posOffset>
                </wp:positionH>
                <wp:positionV relativeFrom="page">
                  <wp:posOffset>4569908</wp:posOffset>
                </wp:positionV>
                <wp:extent cx="1548666" cy="147995"/>
                <wp:effectExtent l="0" t="0" r="0" b="4445"/>
                <wp:wrapNone/>
                <wp:docPr id="549" name="Надпись 549"/>
                <wp:cNvGraphicFramePr/>
                <a:graphic xmlns:a="http://schemas.openxmlformats.org/drawingml/2006/main">
                  <a:graphicData uri="http://schemas.microsoft.com/office/word/2010/wordprocessingShape">
                    <wps:wsp>
                      <wps:cNvSpPr txBox="1"/>
                      <wps:spPr>
                        <a:xfrm>
                          <a:off x="0" y="0"/>
                          <a:ext cx="1548666" cy="147995"/>
                        </a:xfrm>
                        <a:prstGeom prst="rect">
                          <a:avLst/>
                        </a:prstGeom>
                        <a:solidFill>
                          <a:srgbClr val="F6F7FC"/>
                        </a:solidFill>
                        <a:ln w="6350">
                          <a:noFill/>
                        </a:ln>
                      </wps:spPr>
                      <wps:txbx>
                        <w:txbxContent>
                          <w:p w:rsidR="00BE6F5B" w:rsidRPr="0038684E" w:rsidRDefault="00BE6F5B">
                            <w:pPr>
                              <w:rPr>
                                <w:color w:val="0070C0"/>
                                <w:sz w:val="16"/>
                                <w:szCs w:val="16"/>
                              </w:rPr>
                            </w:pPr>
                            <w:r>
                              <w:rPr>
                                <w:color w:val="0070C0"/>
                                <w:sz w:val="16"/>
                              </w:rPr>
                              <w:t>Ампліфікація та виявлення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1D565" id="Надпись 549" o:spid="_x0000_s1053" type="#_x0000_t202" style="position:absolute;margin-left:243.35pt;margin-top:359.85pt;width:121.95pt;height:11.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" fillcolor="#f6f7fc" stroked="f" strokeweight=".5pt">
                <v:textbox inset="0,0,0,0">
                  <w:txbxContent>
                    <w:p w:rsidR="00BE6F5B" w:rsidRPr="0038684E" w:rsidRDefault="00BE6F5B">
                      <w:pPr>
                        <w:rPr>
                          <w:color w:val="0070C0"/>
                          <w:sz w:val="16"/>
                          <w:szCs w:val="16"/>
                        </w:rPr>
                      </w:pPr>
                      <w:r>
                        <w:rPr>
                          <w:color w:val="0070C0"/>
                          <w:sz w:val="16"/>
                        </w:rPr>
                        <w:t>Ампліфікація та виявлення</w:t>
                      </w:r>
                    </w:p>
                  </w:txbxContent>
                </v:textbox>
                <w10:wrap anchorx="page" anchory="page"/>
              </v:shape>
            </w:pict>
          </mc:Fallback>
        </mc:AlternateContent>
      </w:r>
      <w:r w:rsidR="0038684E">
        <w:rPr>
          <w:rFonts w:ascii="Calibri" w:hAnsi="Calibri"/>
          <w:noProof/>
          <w:color w:val="000000"/>
          <w:sz w:val="24"/>
          <w:lang w:val="en-US" w:bidi="ar-SA"/>
        </w:rPr>
        <mc:AlternateContent>
          <mc:Choice Requires="wps">
            <w:drawing>
              <wp:anchor distT="0" distB="0" distL="114300" distR="114300" simplePos="0" relativeHeight="251687936" behindDoc="0" locked="0" layoutInCell="1" allowOverlap="1" wp14:anchorId="673B2F6C" wp14:editId="64972AC2">
                <wp:simplePos x="0" y="0"/>
                <wp:positionH relativeFrom="page">
                  <wp:posOffset>2944051</wp:posOffset>
                </wp:positionH>
                <wp:positionV relativeFrom="page">
                  <wp:posOffset>2669202</wp:posOffset>
                </wp:positionV>
                <wp:extent cx="1548666" cy="147995"/>
                <wp:effectExtent l="0" t="0" r="0" b="4445"/>
                <wp:wrapNone/>
                <wp:docPr id="546" name="Надпись 546"/>
                <wp:cNvGraphicFramePr/>
                <a:graphic xmlns:a="http://schemas.openxmlformats.org/drawingml/2006/main">
                  <a:graphicData uri="http://schemas.microsoft.com/office/word/2010/wordprocessingShape">
                    <wps:wsp>
                      <wps:cNvSpPr txBox="1"/>
                      <wps:spPr>
                        <a:xfrm>
                          <a:off x="0" y="0"/>
                          <a:ext cx="1548666" cy="147995"/>
                        </a:xfrm>
                        <a:prstGeom prst="rect">
                          <a:avLst/>
                        </a:prstGeom>
                        <a:solidFill>
                          <a:schemeClr val="lt1"/>
                        </a:solidFill>
                        <a:ln w="6350">
                          <a:noFill/>
                        </a:ln>
                      </wps:spPr>
                      <wps:txbx>
                        <w:txbxContent>
                          <w:p w:rsidR="00BE6F5B" w:rsidRPr="0038684E" w:rsidRDefault="00BE6F5B">
                            <w:pPr>
                              <w:rPr>
                                <w:color w:val="0070C0"/>
                                <w:sz w:val="16"/>
                                <w:szCs w:val="16"/>
                              </w:rPr>
                            </w:pPr>
                            <w:r>
                              <w:rPr>
                                <w:color w:val="0070C0"/>
                                <w:sz w:val="16"/>
                              </w:rPr>
                              <w:t>Ампліфікація та виявлення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B2F6C" id="Надпись 546" o:spid="_x0000_s1054" type="#_x0000_t202" style="position:absolute;margin-left:231.8pt;margin-top:210.15pt;width:121.95pt;height:11.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" fillcolor="white [3201]" stroked="f" strokeweight=".5pt">
                <v:textbox inset="0,0,0,0">
                  <w:txbxContent>
                    <w:p w:rsidR="00BE6F5B" w:rsidRPr="0038684E" w:rsidRDefault="00BE6F5B">
                      <w:pPr>
                        <w:rPr>
                          <w:color w:val="0070C0"/>
                          <w:sz w:val="16"/>
                          <w:szCs w:val="16"/>
                        </w:rPr>
                      </w:pPr>
                      <w:r>
                        <w:rPr>
                          <w:color w:val="0070C0"/>
                          <w:sz w:val="16"/>
                        </w:rPr>
                        <w:t>Ампліфікація та виявлення</w:t>
                      </w:r>
                    </w:p>
                  </w:txbxContent>
                </v:textbox>
                <w10:wrap anchorx="page" anchory="page"/>
              </v:shape>
            </w:pict>
          </mc:Fallback>
        </mc:AlternateContent>
      </w:r>
      <w:r w:rsidR="0038684E">
        <w:rPr>
          <w:rFonts w:ascii="Calibri" w:hAnsi="Calibri"/>
          <w:noProof/>
          <w:lang w:val="en-US" w:bidi="ar-SA"/>
        </w:rPr>
        <w:drawing>
          <wp:inline distT="0" distB="0" distL="0" distR="0" wp14:anchorId="68805C79" wp14:editId="1F68859F">
            <wp:extent cx="5820410" cy="404749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0410" cy="4047490"/>
                    </a:xfrm>
                    <a:prstGeom prst="rect">
                      <a:avLst/>
                    </a:prstGeom>
                    <a:noFill/>
                    <a:ln>
                      <a:noFill/>
                    </a:ln>
                  </pic:spPr>
                </pic:pic>
              </a:graphicData>
            </a:graphic>
          </wp:inline>
        </w:drawing>
      </w:r>
    </w:p>
    <w:p w:rsidR="00ED665B" w:rsidRPr="00907702" w:rsidRDefault="006C7D2F" w:rsidP="00DC2656">
      <w:pPr>
        <w:spacing w:before="101"/>
        <w:ind w:left="86"/>
        <w:rPr>
          <w:rFonts w:ascii="Calibri" w:hAnsi="Calibri" w:cs="Calibri"/>
        </w:rPr>
      </w:pPr>
      <w:r>
        <w:rPr>
          <w:rFonts w:ascii="Calibri" w:hAnsi="Calibri"/>
          <w:color w:val="000000"/>
          <w:sz w:val="16"/>
        </w:rPr>
        <w:t>Джерело: Відтворено з дозволу компанії «Bruker-Hain Diagnostics», © 2021. Усі права захищені.</w:t>
      </w:r>
    </w:p>
    <w:p w:rsidR="00ED665B" w:rsidRPr="00907702" w:rsidRDefault="006C7D2F" w:rsidP="00DC2656">
      <w:pPr>
        <w:spacing w:before="422"/>
        <w:jc w:val="both"/>
        <w:rPr>
          <w:rFonts w:ascii="Calibri" w:hAnsi="Calibri" w:cs="Calibri"/>
        </w:rPr>
      </w:pPr>
      <w:r>
        <w:rPr>
          <w:rFonts w:ascii="Calibri" w:hAnsi="Calibri"/>
          <w:color w:val="000000"/>
          <w:sz w:val="22"/>
        </w:rPr>
        <w:t xml:space="preserve">Компанія «Roche Diagnostics» (Roche) пропонує два ТАНК: cobas ® MTB для виявлення </w:t>
      </w:r>
      <w:r w:rsidRPr="0031040C">
        <w:rPr>
          <w:rFonts w:ascii="Calibri" w:hAnsi="Calibri"/>
          <w:i/>
          <w:color w:val="000000"/>
          <w:sz w:val="22"/>
        </w:rPr>
        <w:t>Mtb</w:t>
      </w:r>
      <w:r>
        <w:rPr>
          <w:rFonts w:ascii="Calibri" w:hAnsi="Calibri"/>
          <w:color w:val="000000"/>
          <w:sz w:val="22"/>
        </w:rPr>
        <w:t xml:space="preserve">, а також cobas® MTB-RIF/INH для виявлення медикаментозної резистентності (до рифампіцину та ізоніазиду) </w:t>
      </w:r>
      <w:r w:rsidRPr="00457AB2">
        <w:rPr>
          <w:rFonts w:ascii="Calibri" w:hAnsi="Calibri"/>
          <w:i/>
          <w:color w:val="000000"/>
          <w:sz w:val="22"/>
        </w:rPr>
        <w:t>(14)</w:t>
      </w:r>
      <w:r>
        <w:rPr>
          <w:rFonts w:ascii="Calibri" w:hAnsi="Calibri"/>
          <w:color w:val="000000"/>
          <w:sz w:val="22"/>
        </w:rPr>
        <w:t xml:space="preserve">. Тест cobas MTB виявляє як 16S рибосомну РНК (рРНК), так і гени esx як гени-мішені для виявлення </w:t>
      </w:r>
      <w:r w:rsidRPr="0031040C">
        <w:rPr>
          <w:rFonts w:ascii="Calibri" w:hAnsi="Calibri"/>
          <w:i/>
          <w:color w:val="000000"/>
          <w:sz w:val="22"/>
        </w:rPr>
        <w:t>Mtb</w:t>
      </w:r>
      <w:r>
        <w:rPr>
          <w:rFonts w:ascii="Calibri" w:hAnsi="Calibri"/>
          <w:color w:val="000000"/>
          <w:sz w:val="22"/>
        </w:rPr>
        <w:t>. LoD, про який повідомила компанія для цього тесту, становив 7,6–8,8 КУО/мл. Резистентність до рифампіцину визначається на RRDR, а резистентність до ізоніазиду – із використанням ділянки промотору</w:t>
      </w:r>
      <w:r w:rsidRPr="00457AB2">
        <w:rPr>
          <w:rFonts w:ascii="Calibri" w:hAnsi="Calibri"/>
          <w:i/>
          <w:color w:val="000000"/>
          <w:sz w:val="22"/>
        </w:rPr>
        <w:t xml:space="preserve"> inhA</w:t>
      </w:r>
      <w:r>
        <w:rPr>
          <w:rFonts w:ascii="Calibri" w:hAnsi="Calibri"/>
          <w:color w:val="000000"/>
          <w:sz w:val="22"/>
        </w:rPr>
        <w:t xml:space="preserve"> та гена </w:t>
      </w:r>
      <w:r w:rsidRPr="00457AB2">
        <w:rPr>
          <w:rFonts w:ascii="Calibri" w:hAnsi="Calibri"/>
          <w:i/>
          <w:color w:val="000000"/>
          <w:sz w:val="22"/>
        </w:rPr>
        <w:t>katG</w:t>
      </w:r>
      <w:r>
        <w:rPr>
          <w:rFonts w:ascii="Calibri" w:hAnsi="Calibri"/>
          <w:color w:val="000000"/>
          <w:sz w:val="22"/>
        </w:rPr>
        <w:t>. Тести проводяться із використанням систем cobas 6800/8800, з автоматичною екстракцією ДНК та проведенням ПЛР у реальному часі.</w:t>
      </w:r>
    </w:p>
    <w:p w:rsidR="00ED665B" w:rsidRPr="003E67D4" w:rsidRDefault="006C7D2F" w:rsidP="00457AB2">
      <w:pPr>
        <w:spacing w:before="278"/>
        <w:jc w:val="both"/>
        <w:rPr>
          <w:rFonts w:ascii="Calibri" w:hAnsi="Calibri" w:cs="Calibri"/>
          <w:b/>
          <w:bCs/>
        </w:rPr>
      </w:pPr>
      <w:r>
        <w:rPr>
          <w:rFonts w:ascii="Calibri" w:hAnsi="Calibri"/>
          <w:b/>
          <w:color w:val="636466"/>
          <w:sz w:val="22"/>
        </w:rPr>
        <w:t>Рисунок 2.1.7. Обладнання Roche (a) система cobas® 6800 або 8800 та (b) контрольний набір cobas® MTB Positive</w:t>
      </w:r>
    </w:p>
    <w:p w:rsidR="00ED665B" w:rsidRPr="00907702" w:rsidRDefault="00CD1F71" w:rsidP="00DC2656">
      <w:pPr>
        <w:spacing w:before="86"/>
        <w:rPr>
          <w:rFonts w:ascii="Calibri" w:hAnsi="Calibri" w:cs="Calibri"/>
        </w:rPr>
      </w:pPr>
      <w:r>
        <w:rPr>
          <w:rFonts w:ascii="Calibri" w:hAnsi="Calibri"/>
          <w:noProof/>
          <w:lang w:val="en-US" w:bidi="ar-SA"/>
        </w:rPr>
        <w:drawing>
          <wp:inline distT="0" distB="0" distL="0" distR="0">
            <wp:extent cx="5804535" cy="171767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04535" cy="1717675"/>
                    </a:xfrm>
                    <a:prstGeom prst="rect">
                      <a:avLst/>
                    </a:prstGeom>
                    <a:noFill/>
                    <a:ln>
                      <a:noFill/>
                    </a:ln>
                  </pic:spPr>
                </pic:pic>
              </a:graphicData>
            </a:graphic>
          </wp:inline>
        </w:drawing>
      </w:r>
    </w:p>
    <w:p w:rsidR="00ED665B" w:rsidRPr="00907702" w:rsidRDefault="006C7D2F" w:rsidP="00DC2656">
      <w:pPr>
        <w:spacing w:before="106"/>
        <w:ind w:left="86"/>
        <w:rPr>
          <w:rFonts w:ascii="Calibri" w:hAnsi="Calibri" w:cs="Calibri"/>
        </w:rPr>
      </w:pPr>
      <w:r>
        <w:rPr>
          <w:rFonts w:ascii="Calibri" w:hAnsi="Calibri"/>
          <w:color w:val="000000"/>
          <w:sz w:val="16"/>
        </w:rPr>
        <w:t>Джерело: Відтворено з дозволу компанії «Roche Diagnostics», © 2021. Усі права захищені.</w:t>
      </w:r>
    </w:p>
    <w:p w:rsidR="00ED665B" w:rsidRPr="00907702" w:rsidRDefault="00ED665B" w:rsidP="00DC2656">
      <w:pPr>
        <w:spacing w:before="106"/>
        <w:ind w:left="86"/>
        <w:rPr>
          <w:rFonts w:ascii="Calibri" w:hAnsi="Calibri" w:cs="Calibri"/>
        </w:rPr>
        <w:sectPr w:rsidR="00ED665B" w:rsidRPr="00907702">
          <w:pgSz w:w="11904" w:h="16838"/>
          <w:pgMar w:top="1382" w:right="1392" w:bottom="1555" w:left="133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693"/>
        <w:gridCol w:w="3782"/>
        <w:gridCol w:w="2630"/>
      </w:tblGrid>
      <w:tr w:rsidR="00ED665B" w:rsidRPr="003E67D4" w:rsidTr="003E67D4">
        <w:trPr>
          <w:trHeight w:hRule="exact" w:val="754"/>
        </w:trPr>
        <w:tc>
          <w:tcPr>
            <w:tcW w:w="9105" w:type="dxa"/>
            <w:gridSpan w:val="3"/>
            <w:tcBorders>
              <w:top w:val="nil"/>
              <w:left w:val="nil"/>
              <w:bottom w:val="single" w:sz="8" w:space="0" w:color="009649"/>
              <w:right w:val="nil"/>
            </w:tcBorders>
            <w:shd w:val="clear" w:color="auto" w:fill="FFFFFF"/>
          </w:tcPr>
          <w:p w:rsidR="00ED665B" w:rsidRPr="003E67D4" w:rsidRDefault="006C7D2F" w:rsidP="00457AB2">
            <w:pPr>
              <w:ind w:right="53"/>
              <w:jc w:val="both"/>
              <w:rPr>
                <w:rFonts w:ascii="Calibri" w:hAnsi="Calibri" w:cs="Calibri"/>
                <w:b/>
                <w:bCs/>
              </w:rPr>
            </w:pPr>
            <w:r>
              <w:rPr>
                <w:rFonts w:ascii="Calibri" w:hAnsi="Calibri"/>
                <w:b/>
                <w:color w:val="636466"/>
                <w:sz w:val="24"/>
              </w:rPr>
              <w:lastRenderedPageBreak/>
              <w:t xml:space="preserve">Таблиця 2.1.22. Геномні регіони </w:t>
            </w:r>
            <w:r w:rsidRPr="00457AB2">
              <w:rPr>
                <w:rFonts w:ascii="Calibri" w:hAnsi="Calibri"/>
                <w:b/>
                <w:i/>
                <w:color w:val="636466"/>
                <w:sz w:val="24"/>
              </w:rPr>
              <w:t>мікобактерій</w:t>
            </w:r>
            <w:r>
              <w:rPr>
                <w:rFonts w:ascii="Calibri" w:hAnsi="Calibri"/>
                <w:b/>
                <w:color w:val="636466"/>
                <w:sz w:val="24"/>
              </w:rPr>
              <w:t>, на які спрямовані різні тести для виявлення туберкульозу, включені в оцінку</w:t>
            </w:r>
          </w:p>
        </w:tc>
      </w:tr>
      <w:tr w:rsidR="003E67D4" w:rsidRPr="003E67D4" w:rsidTr="003E67D4">
        <w:trPr>
          <w:trHeight w:hRule="exact" w:val="437"/>
        </w:trPr>
        <w:tc>
          <w:tcPr>
            <w:tcW w:w="269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3E67D4" w:rsidRDefault="006C7D2F" w:rsidP="003E67D4">
            <w:pPr>
              <w:ind w:left="62"/>
              <w:rPr>
                <w:rFonts w:ascii="Calibri" w:hAnsi="Calibri" w:cs="Calibri"/>
                <w:b/>
                <w:bCs/>
                <w:color w:val="000000" w:themeColor="text1"/>
              </w:rPr>
            </w:pPr>
            <w:r>
              <w:rPr>
                <w:rFonts w:ascii="Calibri" w:hAnsi="Calibri"/>
                <w:b/>
                <w:color w:val="000000" w:themeColor="text1"/>
              </w:rPr>
              <w:t>Тест</w:t>
            </w:r>
          </w:p>
        </w:tc>
        <w:tc>
          <w:tcPr>
            <w:tcW w:w="378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3E67D4" w:rsidRDefault="006C7D2F" w:rsidP="003E67D4">
            <w:pPr>
              <w:ind w:left="29"/>
              <w:rPr>
                <w:rFonts w:ascii="Calibri" w:hAnsi="Calibri" w:cs="Calibri"/>
                <w:b/>
                <w:bCs/>
                <w:color w:val="000000" w:themeColor="text1"/>
              </w:rPr>
            </w:pPr>
            <w:r>
              <w:rPr>
                <w:rFonts w:ascii="Calibri" w:hAnsi="Calibri"/>
                <w:b/>
                <w:color w:val="000000" w:themeColor="text1"/>
              </w:rPr>
              <w:t>МТБК-мішень</w:t>
            </w:r>
          </w:p>
        </w:tc>
        <w:tc>
          <w:tcPr>
            <w:tcW w:w="263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3E67D4" w:rsidRDefault="006C7D2F" w:rsidP="003E67D4">
            <w:pPr>
              <w:ind w:left="72"/>
              <w:rPr>
                <w:rFonts w:ascii="Calibri" w:hAnsi="Calibri" w:cs="Calibri"/>
                <w:b/>
                <w:bCs/>
                <w:color w:val="000000" w:themeColor="text1"/>
              </w:rPr>
            </w:pPr>
            <w:r>
              <w:rPr>
                <w:rFonts w:ascii="Calibri" w:hAnsi="Calibri"/>
                <w:b/>
                <w:color w:val="000000" w:themeColor="text1"/>
              </w:rPr>
              <w:t>Мультикопія</w:t>
            </w:r>
          </w:p>
        </w:tc>
      </w:tr>
      <w:tr w:rsidR="00ED665B" w:rsidRPr="00907702" w:rsidTr="003E67D4">
        <w:trPr>
          <w:trHeight w:hRule="exact" w:val="437"/>
        </w:trPr>
        <w:tc>
          <w:tcPr>
            <w:tcW w:w="2693" w:type="dxa"/>
            <w:tcBorders>
              <w:top w:val="single" w:sz="8" w:space="0" w:color="009649"/>
              <w:left w:val="nil"/>
              <w:bottom w:val="single" w:sz="8" w:space="0" w:color="009649"/>
              <w:right w:val="nil"/>
            </w:tcBorders>
            <w:shd w:val="clear" w:color="auto" w:fill="FFFFFF"/>
            <w:vAlign w:val="center"/>
          </w:tcPr>
          <w:p w:rsidR="00ED665B" w:rsidRPr="00907702" w:rsidRDefault="006C7D2F" w:rsidP="003E67D4">
            <w:pPr>
              <w:ind w:left="62"/>
              <w:rPr>
                <w:rFonts w:ascii="Calibri" w:hAnsi="Calibri" w:cs="Calibri"/>
              </w:rPr>
            </w:pPr>
            <w:r>
              <w:rPr>
                <w:rFonts w:ascii="Calibri" w:hAnsi="Calibri"/>
                <w:color w:val="000000"/>
              </w:rPr>
              <w:t>Abbott RealTime MTB</w:t>
            </w:r>
          </w:p>
        </w:tc>
        <w:tc>
          <w:tcPr>
            <w:tcW w:w="3782" w:type="dxa"/>
            <w:tcBorders>
              <w:top w:val="single" w:sz="8" w:space="0" w:color="009649"/>
              <w:left w:val="nil"/>
              <w:bottom w:val="single" w:sz="8" w:space="0" w:color="009649"/>
              <w:right w:val="nil"/>
            </w:tcBorders>
            <w:shd w:val="clear" w:color="auto" w:fill="FFFFFF"/>
            <w:vAlign w:val="center"/>
          </w:tcPr>
          <w:p w:rsidR="00ED665B" w:rsidRPr="00907702" w:rsidRDefault="006C7D2F" w:rsidP="003E67D4">
            <w:pPr>
              <w:ind w:left="34"/>
              <w:rPr>
                <w:rFonts w:ascii="Calibri" w:hAnsi="Calibri" w:cs="Calibri"/>
              </w:rPr>
            </w:pPr>
            <w:r>
              <w:rPr>
                <w:rFonts w:ascii="Calibri" w:hAnsi="Calibri"/>
                <w:i/>
                <w:color w:val="000000"/>
              </w:rPr>
              <w:t xml:space="preserve">Pab, </w:t>
            </w:r>
            <w:r w:rsidR="00457AB2">
              <w:rPr>
                <w:rFonts w:ascii="Calibri" w:hAnsi="Calibri"/>
                <w:color w:val="000000"/>
              </w:rPr>
              <w:t>IS</w:t>
            </w:r>
            <w:r w:rsidR="00457AB2" w:rsidRPr="00457AB2">
              <w:rPr>
                <w:rFonts w:ascii="Calibri" w:hAnsi="Calibri"/>
                <w:i/>
                <w:color w:val="000000"/>
              </w:rPr>
              <w:t>611</w:t>
            </w:r>
            <w:r>
              <w:rPr>
                <w:rFonts w:ascii="Calibri" w:hAnsi="Calibri"/>
                <w:i/>
                <w:color w:val="000000"/>
              </w:rPr>
              <w:t>0</w:t>
            </w:r>
          </w:p>
        </w:tc>
        <w:tc>
          <w:tcPr>
            <w:tcW w:w="2630" w:type="dxa"/>
            <w:tcBorders>
              <w:top w:val="single" w:sz="8" w:space="0" w:color="009649"/>
              <w:left w:val="nil"/>
              <w:bottom w:val="single" w:sz="8" w:space="0" w:color="009649"/>
              <w:right w:val="nil"/>
            </w:tcBorders>
            <w:shd w:val="clear" w:color="auto" w:fill="FFFFFF"/>
            <w:vAlign w:val="center"/>
          </w:tcPr>
          <w:p w:rsidR="00ED665B" w:rsidRPr="00907702" w:rsidRDefault="006C7D2F" w:rsidP="003E67D4">
            <w:pPr>
              <w:ind w:left="72"/>
              <w:rPr>
                <w:rFonts w:ascii="Calibri" w:hAnsi="Calibri" w:cs="Calibri"/>
              </w:rPr>
            </w:pPr>
            <w:r>
              <w:rPr>
                <w:rFonts w:ascii="Calibri" w:hAnsi="Calibri"/>
                <w:color w:val="000000"/>
              </w:rPr>
              <w:t>Так</w:t>
            </w:r>
          </w:p>
        </w:tc>
      </w:tr>
      <w:tr w:rsidR="00ED665B" w:rsidRPr="00907702" w:rsidTr="003E67D4">
        <w:trPr>
          <w:trHeight w:hRule="exact" w:val="437"/>
        </w:trPr>
        <w:tc>
          <w:tcPr>
            <w:tcW w:w="2693" w:type="dxa"/>
            <w:tcBorders>
              <w:top w:val="single" w:sz="8" w:space="0" w:color="009649"/>
              <w:left w:val="nil"/>
              <w:bottom w:val="single" w:sz="8" w:space="0" w:color="009649"/>
              <w:right w:val="nil"/>
            </w:tcBorders>
            <w:shd w:val="clear" w:color="auto" w:fill="FFFFFF"/>
            <w:vAlign w:val="center"/>
          </w:tcPr>
          <w:p w:rsidR="00ED665B" w:rsidRPr="00907702" w:rsidRDefault="006C7D2F" w:rsidP="003E67D4">
            <w:pPr>
              <w:ind w:left="62"/>
              <w:rPr>
                <w:rFonts w:ascii="Calibri" w:hAnsi="Calibri" w:cs="Calibri"/>
              </w:rPr>
            </w:pPr>
            <w:r>
              <w:rPr>
                <w:rFonts w:ascii="Calibri" w:hAnsi="Calibri"/>
                <w:color w:val="000000"/>
              </w:rPr>
              <w:t>BD MAX™ МЛС-ТБ</w:t>
            </w:r>
          </w:p>
        </w:tc>
        <w:tc>
          <w:tcPr>
            <w:tcW w:w="3782" w:type="dxa"/>
            <w:tcBorders>
              <w:top w:val="single" w:sz="8" w:space="0" w:color="009649"/>
              <w:left w:val="nil"/>
              <w:bottom w:val="single" w:sz="8" w:space="0" w:color="009649"/>
              <w:right w:val="nil"/>
            </w:tcBorders>
            <w:shd w:val="clear" w:color="auto" w:fill="FFFFFF"/>
            <w:vAlign w:val="center"/>
          </w:tcPr>
          <w:p w:rsidR="00ED665B" w:rsidRPr="00907702" w:rsidRDefault="00457AB2" w:rsidP="003E67D4">
            <w:pPr>
              <w:ind w:left="48"/>
              <w:rPr>
                <w:rFonts w:ascii="Calibri" w:hAnsi="Calibri" w:cs="Calibri"/>
              </w:rPr>
            </w:pPr>
            <w:r>
              <w:rPr>
                <w:rFonts w:ascii="Calibri" w:hAnsi="Calibri"/>
                <w:color w:val="000000"/>
              </w:rPr>
              <w:t>IS</w:t>
            </w:r>
            <w:r w:rsidRPr="00457AB2">
              <w:rPr>
                <w:rFonts w:ascii="Calibri" w:hAnsi="Calibri"/>
                <w:i/>
                <w:color w:val="000000"/>
              </w:rPr>
              <w:t>61</w:t>
            </w:r>
            <w:r w:rsidR="006C7D2F">
              <w:rPr>
                <w:rFonts w:ascii="Calibri" w:hAnsi="Calibri"/>
                <w:i/>
                <w:color w:val="000000"/>
              </w:rPr>
              <w:t xml:space="preserve">10, </w:t>
            </w:r>
            <w:r w:rsidR="006C7D2F" w:rsidRPr="00457AB2">
              <w:rPr>
                <w:rFonts w:ascii="Calibri" w:hAnsi="Calibri"/>
                <w:color w:val="000000"/>
              </w:rPr>
              <w:t>IS</w:t>
            </w:r>
            <w:r w:rsidR="006C7D2F">
              <w:rPr>
                <w:rFonts w:ascii="Calibri" w:hAnsi="Calibri"/>
                <w:i/>
                <w:color w:val="000000"/>
              </w:rPr>
              <w:t>1081</w:t>
            </w:r>
          </w:p>
        </w:tc>
        <w:tc>
          <w:tcPr>
            <w:tcW w:w="2630" w:type="dxa"/>
            <w:tcBorders>
              <w:top w:val="single" w:sz="8" w:space="0" w:color="009649"/>
              <w:left w:val="nil"/>
              <w:bottom w:val="single" w:sz="8" w:space="0" w:color="009649"/>
              <w:right w:val="nil"/>
            </w:tcBorders>
            <w:shd w:val="clear" w:color="auto" w:fill="FFFFFF"/>
            <w:vAlign w:val="center"/>
          </w:tcPr>
          <w:p w:rsidR="00ED665B" w:rsidRPr="00907702" w:rsidRDefault="006C7D2F" w:rsidP="003E67D4">
            <w:pPr>
              <w:ind w:left="72"/>
              <w:rPr>
                <w:rFonts w:ascii="Calibri" w:hAnsi="Calibri" w:cs="Calibri"/>
              </w:rPr>
            </w:pPr>
            <w:r>
              <w:rPr>
                <w:rFonts w:ascii="Calibri" w:hAnsi="Calibri"/>
                <w:color w:val="000000"/>
              </w:rPr>
              <w:t>Так</w:t>
            </w:r>
          </w:p>
        </w:tc>
      </w:tr>
      <w:tr w:rsidR="00ED665B" w:rsidRPr="00907702" w:rsidTr="003E67D4">
        <w:trPr>
          <w:trHeight w:hRule="exact" w:val="442"/>
        </w:trPr>
        <w:tc>
          <w:tcPr>
            <w:tcW w:w="2693" w:type="dxa"/>
            <w:tcBorders>
              <w:top w:val="single" w:sz="8" w:space="0" w:color="009649"/>
              <w:left w:val="nil"/>
              <w:bottom w:val="single" w:sz="8" w:space="0" w:color="009649"/>
              <w:right w:val="nil"/>
            </w:tcBorders>
            <w:shd w:val="clear" w:color="auto" w:fill="FFFFFF"/>
            <w:vAlign w:val="center"/>
          </w:tcPr>
          <w:p w:rsidR="00ED665B" w:rsidRPr="00907702" w:rsidRDefault="006C7D2F" w:rsidP="00457AB2">
            <w:pPr>
              <w:ind w:left="57"/>
              <w:rPr>
                <w:rFonts w:ascii="Calibri" w:hAnsi="Calibri" w:cs="Calibri"/>
              </w:rPr>
            </w:pPr>
            <w:r>
              <w:rPr>
                <w:rFonts w:ascii="Calibri" w:hAnsi="Calibri"/>
                <w:color w:val="000000"/>
              </w:rPr>
              <w:t>Hain FluoroType® MTBDR</w:t>
            </w:r>
          </w:p>
        </w:tc>
        <w:tc>
          <w:tcPr>
            <w:tcW w:w="3782" w:type="dxa"/>
            <w:tcBorders>
              <w:top w:val="single" w:sz="8" w:space="0" w:color="009649"/>
              <w:left w:val="nil"/>
              <w:bottom w:val="single" w:sz="8" w:space="0" w:color="009649"/>
              <w:right w:val="nil"/>
            </w:tcBorders>
            <w:shd w:val="clear" w:color="auto" w:fill="FFFFFF"/>
            <w:vAlign w:val="center"/>
          </w:tcPr>
          <w:p w:rsidR="00ED665B" w:rsidRPr="00907702" w:rsidRDefault="006C7D2F" w:rsidP="003E67D4">
            <w:pPr>
              <w:ind w:left="34"/>
              <w:rPr>
                <w:rFonts w:ascii="Calibri" w:hAnsi="Calibri" w:cs="Calibri"/>
              </w:rPr>
            </w:pPr>
            <w:r>
              <w:rPr>
                <w:rFonts w:ascii="Calibri" w:hAnsi="Calibri"/>
                <w:i/>
                <w:color w:val="000000"/>
              </w:rPr>
              <w:t>rpoB</w:t>
            </w:r>
          </w:p>
        </w:tc>
        <w:tc>
          <w:tcPr>
            <w:tcW w:w="2630" w:type="dxa"/>
            <w:tcBorders>
              <w:top w:val="single" w:sz="8" w:space="0" w:color="009649"/>
              <w:left w:val="nil"/>
              <w:bottom w:val="single" w:sz="8" w:space="0" w:color="009649"/>
              <w:right w:val="nil"/>
            </w:tcBorders>
            <w:shd w:val="clear" w:color="auto" w:fill="FFFFFF"/>
            <w:vAlign w:val="center"/>
          </w:tcPr>
          <w:p w:rsidR="00ED665B" w:rsidRPr="00907702" w:rsidRDefault="006C7D2F" w:rsidP="003E67D4">
            <w:pPr>
              <w:ind w:left="72"/>
              <w:rPr>
                <w:rFonts w:ascii="Calibri" w:hAnsi="Calibri" w:cs="Calibri"/>
              </w:rPr>
            </w:pPr>
            <w:r>
              <w:rPr>
                <w:rFonts w:ascii="Calibri" w:hAnsi="Calibri"/>
                <w:color w:val="000000"/>
              </w:rPr>
              <w:t>Ні</w:t>
            </w:r>
          </w:p>
        </w:tc>
      </w:tr>
      <w:tr w:rsidR="00ED665B" w:rsidRPr="00907702" w:rsidTr="003E67D4">
        <w:trPr>
          <w:trHeight w:hRule="exact" w:val="437"/>
        </w:trPr>
        <w:tc>
          <w:tcPr>
            <w:tcW w:w="2693" w:type="dxa"/>
            <w:tcBorders>
              <w:top w:val="single" w:sz="8" w:space="0" w:color="009649"/>
              <w:left w:val="nil"/>
              <w:bottom w:val="single" w:sz="8" w:space="0" w:color="009649"/>
              <w:right w:val="nil"/>
            </w:tcBorders>
            <w:shd w:val="clear" w:color="auto" w:fill="FFFFFF"/>
            <w:vAlign w:val="center"/>
          </w:tcPr>
          <w:p w:rsidR="00ED665B" w:rsidRPr="00907702" w:rsidRDefault="006C7D2F" w:rsidP="003E67D4">
            <w:pPr>
              <w:ind w:left="62"/>
              <w:rPr>
                <w:rFonts w:ascii="Calibri" w:hAnsi="Calibri" w:cs="Calibri"/>
              </w:rPr>
            </w:pPr>
            <w:r>
              <w:rPr>
                <w:rFonts w:ascii="Calibri" w:hAnsi="Calibri"/>
                <w:color w:val="000000"/>
              </w:rPr>
              <w:t>Roche cobas® MTB</w:t>
            </w:r>
          </w:p>
        </w:tc>
        <w:tc>
          <w:tcPr>
            <w:tcW w:w="3782" w:type="dxa"/>
            <w:tcBorders>
              <w:top w:val="single" w:sz="8" w:space="0" w:color="009649"/>
              <w:left w:val="nil"/>
              <w:bottom w:val="single" w:sz="8" w:space="0" w:color="009649"/>
              <w:right w:val="nil"/>
            </w:tcBorders>
            <w:shd w:val="clear" w:color="auto" w:fill="FFFFFF"/>
            <w:vAlign w:val="center"/>
          </w:tcPr>
          <w:p w:rsidR="00ED665B" w:rsidRPr="00907702" w:rsidRDefault="006C7D2F" w:rsidP="003E67D4">
            <w:pPr>
              <w:rPr>
                <w:rFonts w:ascii="Calibri" w:hAnsi="Calibri" w:cs="Calibri"/>
              </w:rPr>
            </w:pPr>
            <w:r>
              <w:rPr>
                <w:rFonts w:ascii="Calibri" w:hAnsi="Calibri"/>
                <w:color w:val="000000"/>
              </w:rPr>
              <w:t xml:space="preserve">16S рРНК, </w:t>
            </w:r>
            <w:r>
              <w:rPr>
                <w:rFonts w:ascii="Calibri" w:hAnsi="Calibri"/>
                <w:i/>
                <w:color w:val="000000"/>
              </w:rPr>
              <w:t>esxJ, esxK, esxM, esxP, esxW</w:t>
            </w:r>
          </w:p>
        </w:tc>
        <w:tc>
          <w:tcPr>
            <w:tcW w:w="2630" w:type="dxa"/>
            <w:tcBorders>
              <w:top w:val="single" w:sz="8" w:space="0" w:color="009649"/>
              <w:left w:val="nil"/>
              <w:bottom w:val="single" w:sz="8" w:space="0" w:color="009649"/>
              <w:right w:val="nil"/>
            </w:tcBorders>
            <w:shd w:val="clear" w:color="auto" w:fill="FFFFFF"/>
            <w:vAlign w:val="center"/>
          </w:tcPr>
          <w:p w:rsidR="00ED665B" w:rsidRPr="00907702" w:rsidRDefault="006C7D2F" w:rsidP="003E67D4">
            <w:pPr>
              <w:rPr>
                <w:rFonts w:ascii="Calibri" w:hAnsi="Calibri" w:cs="Calibri"/>
              </w:rPr>
            </w:pPr>
            <w:r>
              <w:rPr>
                <w:rFonts w:ascii="Calibri" w:hAnsi="Calibri"/>
                <w:color w:val="000000"/>
              </w:rPr>
              <w:t>Ні; 6 однокопійних мішеней</w:t>
            </w:r>
          </w:p>
        </w:tc>
      </w:tr>
      <w:tr w:rsidR="00ED665B" w:rsidRPr="00907702" w:rsidTr="003E67D4">
        <w:trPr>
          <w:trHeight w:hRule="exact" w:val="269"/>
        </w:trPr>
        <w:tc>
          <w:tcPr>
            <w:tcW w:w="9105" w:type="dxa"/>
            <w:gridSpan w:val="3"/>
            <w:tcBorders>
              <w:top w:val="single" w:sz="8" w:space="0" w:color="009649"/>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6"/>
              </w:rPr>
              <w:t>MTБК: Мікобактерії туберкульозного комплексу, рРНК: рибосомна рибонуклеїнова кислота; ТБ: туберкульоз.</w:t>
            </w:r>
          </w:p>
        </w:tc>
      </w:tr>
    </w:tbl>
    <w:p w:rsidR="00ED665B" w:rsidRPr="00907702" w:rsidRDefault="006C7D2F" w:rsidP="00FE7B24">
      <w:pPr>
        <w:spacing w:before="240" w:line="216" w:lineRule="auto"/>
        <w:ind w:left="34"/>
        <w:jc w:val="both"/>
        <w:rPr>
          <w:rFonts w:ascii="Calibri" w:hAnsi="Calibri" w:cs="Calibri"/>
        </w:rPr>
      </w:pPr>
      <w:r>
        <w:rPr>
          <w:rFonts w:ascii="Calibri" w:hAnsi="Calibri"/>
          <w:color w:val="000000"/>
          <w:sz w:val="22"/>
        </w:rPr>
        <w:t>У класі помірної складності автоматизований тест – це тест, що пропонує (а) автоматизовану екстракцію ДНК, (б) автоматизовану підготовку ПЛР та (в) автоматизовану інтерпретацію результатів, без кроків піпетування або лише з одним кроком піпетування між етапами (а) та (с). Ці автоматизовані тести можуть вимагати початкового етапу обробки зразка вручну, перш ніж досліджуваний матеріал буде переданий у пробірку для обробки зразків. Випробування в категорії помірної складності вимагає наявності медичних лабораторій з прийнятими заходами біобезпеки та спеціальним обладнанням; вони також потребують добре навченого, кваліфікованого та професійного персоналу лабораторії для проведення тестувань та необхідного обслуговування обладнання.</w:t>
      </w:r>
    </w:p>
    <w:p w:rsidR="00ED665B" w:rsidRPr="003E67D4" w:rsidRDefault="00640824" w:rsidP="00FE7B24">
      <w:pPr>
        <w:spacing w:before="235" w:line="216" w:lineRule="auto"/>
        <w:ind w:left="34"/>
        <w:rPr>
          <w:rFonts w:ascii="Calibri" w:hAnsi="Calibri" w:cs="Calibri"/>
          <w:b/>
          <w:bCs/>
        </w:rPr>
      </w:pPr>
      <w:r>
        <w:rPr>
          <w:rFonts w:ascii="Calibri" w:hAnsi="Calibri"/>
          <w:b/>
          <w:color w:val="009649"/>
          <w:sz w:val="28"/>
        </w:rPr>
        <w:t>Обґрунтування та дані</w:t>
      </w:r>
    </w:p>
    <w:p w:rsidR="00ED665B" w:rsidRPr="00907702" w:rsidRDefault="006C7D2F" w:rsidP="00FE7B24">
      <w:pPr>
        <w:spacing w:before="163" w:line="216" w:lineRule="auto"/>
        <w:ind w:left="34"/>
        <w:jc w:val="both"/>
        <w:rPr>
          <w:rFonts w:ascii="Calibri" w:hAnsi="Calibri" w:cs="Calibri"/>
        </w:rPr>
      </w:pPr>
      <w:r>
        <w:rPr>
          <w:rFonts w:ascii="Calibri" w:hAnsi="Calibri"/>
          <w:color w:val="000000"/>
          <w:sz w:val="22"/>
        </w:rPr>
        <w:t>У своїй Глобальній програмі боротьби з туберкульозом ВООЗ ініціювала оновлення настанов та запровадила систематичний огляд використання автоматизованих ТАНК помірної складності для виявлення туберкульозу та резистентності до рифампіцину та ізоніазиду у людей із ознаками та симптомами туберкульозу</w:t>
      </w:r>
    </w:p>
    <w:p w:rsidR="00ED665B" w:rsidRPr="00907702" w:rsidRDefault="006C7D2F" w:rsidP="00FE7B24">
      <w:pPr>
        <w:spacing w:before="168" w:line="216" w:lineRule="auto"/>
        <w:ind w:left="34"/>
        <w:jc w:val="both"/>
        <w:rPr>
          <w:rFonts w:ascii="Calibri" w:hAnsi="Calibri" w:cs="Calibri"/>
        </w:rPr>
      </w:pPr>
      <w:r>
        <w:rPr>
          <w:rFonts w:ascii="Calibri" w:hAnsi="Calibri"/>
          <w:color w:val="000000"/>
          <w:sz w:val="22"/>
        </w:rPr>
        <w:t>Питання щодо кількості населення, заходів, порівняння, результату (PICO) були розроблені, щоб створити основу для пошуку, зберігання та аналізу даних.</w:t>
      </w:r>
    </w:p>
    <w:p w:rsidR="00ED665B" w:rsidRPr="00907702" w:rsidRDefault="006C7D2F" w:rsidP="00FE7B24">
      <w:pPr>
        <w:numPr>
          <w:ilvl w:val="0"/>
          <w:numId w:val="13"/>
        </w:numPr>
        <w:tabs>
          <w:tab w:val="left" w:pos="317"/>
        </w:tabs>
        <w:spacing w:before="173" w:line="216" w:lineRule="auto"/>
        <w:ind w:left="317" w:hanging="283"/>
        <w:jc w:val="both"/>
        <w:rPr>
          <w:rFonts w:ascii="Calibri" w:hAnsi="Calibri" w:cs="Calibri"/>
          <w:color w:val="000000"/>
          <w:sz w:val="22"/>
          <w:szCs w:val="22"/>
        </w:rPr>
      </w:pPr>
      <w:r>
        <w:rPr>
          <w:rFonts w:ascii="Calibri" w:hAnsi="Calibri"/>
          <w:color w:val="000000"/>
          <w:sz w:val="22"/>
        </w:rPr>
        <w:t>Чи слід використовувати автоматизовані ТАНК помірної складності у дихальних пробах у людей з ознаками та симптомами легеневого туберкульозу для виявлення легеневого туберкульозу, та які його переваги порівняно з культуральним посівом?</w:t>
      </w:r>
    </w:p>
    <w:p w:rsidR="00ED665B" w:rsidRPr="00907702" w:rsidRDefault="006C7D2F" w:rsidP="00FE7B24">
      <w:pPr>
        <w:numPr>
          <w:ilvl w:val="0"/>
          <w:numId w:val="13"/>
        </w:numPr>
        <w:tabs>
          <w:tab w:val="left" w:pos="317"/>
        </w:tabs>
        <w:spacing w:before="168" w:line="216" w:lineRule="auto"/>
        <w:ind w:left="317" w:hanging="283"/>
        <w:jc w:val="both"/>
        <w:rPr>
          <w:rFonts w:ascii="Calibri" w:hAnsi="Calibri" w:cs="Calibri"/>
          <w:color w:val="000000"/>
          <w:sz w:val="22"/>
          <w:szCs w:val="22"/>
        </w:rPr>
      </w:pPr>
      <w:r>
        <w:rPr>
          <w:rFonts w:ascii="Calibri" w:hAnsi="Calibri"/>
          <w:color w:val="000000"/>
          <w:sz w:val="22"/>
        </w:rPr>
        <w:t>Чи слід використовувати автоматизовані ТАНК помірної складності у дихальних пробах у людей з ознаками та симптомами легеневого туберкульозу для виявлення резистентності до рифампіцину, та які його переваги порівняно з фенотипічним ТМЧ на основі культурального посіву?</w:t>
      </w:r>
    </w:p>
    <w:p w:rsidR="00ED665B" w:rsidRPr="00907702" w:rsidRDefault="006C7D2F" w:rsidP="00FE7B24">
      <w:pPr>
        <w:numPr>
          <w:ilvl w:val="0"/>
          <w:numId w:val="13"/>
        </w:numPr>
        <w:tabs>
          <w:tab w:val="left" w:pos="317"/>
        </w:tabs>
        <w:spacing w:before="163" w:line="216" w:lineRule="auto"/>
        <w:ind w:left="317" w:hanging="283"/>
        <w:jc w:val="both"/>
        <w:rPr>
          <w:rFonts w:ascii="Calibri" w:hAnsi="Calibri" w:cs="Calibri"/>
          <w:color w:val="000000"/>
          <w:sz w:val="22"/>
          <w:szCs w:val="22"/>
        </w:rPr>
      </w:pPr>
      <w:r>
        <w:rPr>
          <w:rFonts w:ascii="Calibri" w:hAnsi="Calibri"/>
          <w:color w:val="000000"/>
          <w:sz w:val="22"/>
        </w:rPr>
        <w:t>Чи слід використовувати автоматизовані ТАНК помірної складності у дихальних пробах у людей з ознаками та симптомами легеневого туберкульозу для виявлення резистентності до ізоніазиду, та які його переваги порівняно з фенотипічним ТМЧ на основі культурального посіву?</w:t>
      </w:r>
    </w:p>
    <w:p w:rsidR="00ED665B" w:rsidRPr="00457AB2" w:rsidRDefault="006C7D2F" w:rsidP="00457AB2">
      <w:pPr>
        <w:spacing w:before="168" w:line="216" w:lineRule="auto"/>
        <w:ind w:left="34"/>
        <w:jc w:val="both"/>
        <w:rPr>
          <w:rFonts w:ascii="Calibri" w:hAnsi="Calibri" w:cs="Calibri"/>
          <w:lang w:val="ru-RU"/>
        </w:rPr>
      </w:pPr>
      <w:r>
        <w:rPr>
          <w:rFonts w:ascii="Calibri" w:hAnsi="Calibri"/>
          <w:color w:val="000000"/>
          <w:sz w:val="22"/>
        </w:rPr>
        <w:t>Для пошуку відповідних цитат проведено комплексний пошук у таких базах даних: PubMed, Embase, BIOSIS, Web of Science, LILACS та Cochrane. Пошук було обмежено періодом з січня 2009 р. до липня 2020 р. Також було здійснено пошук серед літературних джерел, включених до досліджень. Жодних обмежень щодо мови не було застосовано. Оскільки досліджень для обраних індексних тестів було мало, до компаній з діагностики зверталися для отримання звітів про їхні внутрішні дані перевірки. Дослідження також були включені до публічного звернення ВООЗ щодо подання даних. Мікобактеріальна культура</w:t>
      </w:r>
      <w:r w:rsidR="00457AB2">
        <w:rPr>
          <w:rFonts w:ascii="Calibri" w:hAnsi="Calibri"/>
          <w:color w:val="000000"/>
          <w:sz w:val="22"/>
          <w:lang w:val="ru-RU"/>
        </w:rPr>
        <w:t xml:space="preserve"> </w:t>
      </w:r>
      <w:r w:rsidR="00457AB2">
        <w:rPr>
          <w:rFonts w:ascii="Calibri" w:hAnsi="Calibri"/>
          <w:color w:val="000000"/>
          <w:sz w:val="22"/>
        </w:rPr>
        <w:t>використовувалась як референс стандарт</w:t>
      </w:r>
    </w:p>
    <w:p w:rsidR="00ED665B" w:rsidRPr="00907702" w:rsidRDefault="00ED665B" w:rsidP="00DC2656">
      <w:pPr>
        <w:spacing w:before="168"/>
        <w:ind w:left="34"/>
        <w:jc w:val="both"/>
        <w:rPr>
          <w:rFonts w:ascii="Calibri" w:hAnsi="Calibri" w:cs="Calibri"/>
        </w:rPr>
        <w:sectPr w:rsidR="00ED665B" w:rsidRPr="00907702">
          <w:pgSz w:w="11904" w:h="16838"/>
          <w:pgMar w:top="1397" w:right="1416" w:bottom="1402" w:left="1382" w:header="720" w:footer="720" w:gutter="0"/>
          <w:cols w:space="60"/>
          <w:noEndnote/>
        </w:sectPr>
      </w:pPr>
    </w:p>
    <w:p w:rsidR="00ED665B" w:rsidRPr="00907702" w:rsidRDefault="006C7D2F" w:rsidP="00DC2656">
      <w:pPr>
        <w:ind w:left="72" w:right="5"/>
        <w:jc w:val="both"/>
        <w:rPr>
          <w:rFonts w:ascii="Calibri" w:hAnsi="Calibri" w:cs="Calibri"/>
        </w:rPr>
      </w:pPr>
      <w:r>
        <w:rPr>
          <w:rFonts w:ascii="Calibri" w:hAnsi="Calibri"/>
          <w:color w:val="000000"/>
          <w:sz w:val="22"/>
        </w:rPr>
        <w:lastRenderedPageBreak/>
        <w:t xml:space="preserve">для оцінки виявлення </w:t>
      </w:r>
      <w:r w:rsidRPr="0031040C">
        <w:rPr>
          <w:rFonts w:ascii="Calibri" w:hAnsi="Calibri"/>
          <w:i/>
          <w:color w:val="000000"/>
          <w:sz w:val="22"/>
        </w:rPr>
        <w:t>Mtb</w:t>
      </w:r>
      <w:r>
        <w:rPr>
          <w:rFonts w:ascii="Calibri" w:hAnsi="Calibri"/>
          <w:color w:val="000000"/>
          <w:sz w:val="22"/>
        </w:rPr>
        <w:t>. Виявлення резистентності порівнювали з фенотипічним референс стандартом ТМЧ та комбінованим референс стандартом (який поєднує фенотипічний та генотипічний результати ТМЧ) у дослідженнях, у яких було проведено обидва.</w:t>
      </w:r>
    </w:p>
    <w:p w:rsidR="00ED665B" w:rsidRPr="00907702" w:rsidRDefault="006C7D2F" w:rsidP="00DC2656">
      <w:pPr>
        <w:spacing w:before="168"/>
        <w:ind w:left="72" w:right="5"/>
        <w:jc w:val="both"/>
        <w:rPr>
          <w:rFonts w:ascii="Calibri" w:hAnsi="Calibri" w:cs="Calibri"/>
        </w:rPr>
      </w:pPr>
      <w:r>
        <w:rPr>
          <w:rFonts w:ascii="Calibri" w:hAnsi="Calibri"/>
          <w:color w:val="000000"/>
          <w:sz w:val="22"/>
        </w:rPr>
        <w:t xml:space="preserve">Двовимірні метааналізи випадкових ефектів були проведені за допомогою програмного забезпечення Stata, щоб отримати об’єднані оцінки чутливості та специфічності з 95% ДІ для резистентності до рифампіцину, резистентності до ізоніазидів та виявлення </w:t>
      </w:r>
      <w:r w:rsidRPr="0031040C">
        <w:rPr>
          <w:rFonts w:ascii="Calibri" w:hAnsi="Calibri"/>
          <w:i/>
          <w:color w:val="000000"/>
          <w:sz w:val="22"/>
        </w:rPr>
        <w:t>Mtb</w:t>
      </w:r>
      <w:r>
        <w:rPr>
          <w:rFonts w:ascii="Calibri" w:hAnsi="Calibri"/>
          <w:color w:val="000000"/>
          <w:sz w:val="22"/>
        </w:rPr>
        <w:t>. Якщо була доступна лише обмежена кількість досліджень, було проведено описові аналізи.</w:t>
      </w:r>
    </w:p>
    <w:p w:rsidR="00ED665B" w:rsidRPr="00907702" w:rsidRDefault="006C7D2F" w:rsidP="00DC2656">
      <w:pPr>
        <w:spacing w:before="163"/>
        <w:ind w:left="72" w:right="5"/>
        <w:jc w:val="both"/>
        <w:rPr>
          <w:rFonts w:ascii="Calibri" w:hAnsi="Calibri" w:cs="Calibri"/>
        </w:rPr>
      </w:pPr>
      <w:r>
        <w:rPr>
          <w:rFonts w:ascii="Calibri" w:hAnsi="Calibri"/>
          <w:color w:val="000000"/>
          <w:sz w:val="22"/>
        </w:rPr>
        <w:t>Для метааналізу дослідження спочатку проводили метааналіз окремо для кожного тесту. Дослідження, що стосувалися усіх тестів, потім використовувалися для отримання об’єднаної оцінки для всіх технологій.</w:t>
      </w:r>
    </w:p>
    <w:p w:rsidR="00ED665B" w:rsidRPr="00907702" w:rsidRDefault="006C7D2F" w:rsidP="00DC2656">
      <w:pPr>
        <w:spacing w:before="168"/>
        <w:ind w:left="72" w:right="5"/>
        <w:jc w:val="both"/>
        <w:rPr>
          <w:rFonts w:ascii="Calibri" w:hAnsi="Calibri" w:cs="Calibri"/>
        </w:rPr>
      </w:pPr>
      <w:r>
        <w:rPr>
          <w:rFonts w:ascii="Calibri" w:hAnsi="Calibri"/>
          <w:color w:val="000000"/>
          <w:sz w:val="22"/>
        </w:rPr>
        <w:t>Щоб вирішити, чи об’єднання всіх тестів надасть значущі оціночні дані, перед їх застосуванням група ГРН розробила та погодила різні критерії для об’єднання. Також дані оцінювались та візуалізувались за допомогою порівнянь тестів з Xpert® MTB/RIF або будь-яким іншим тестом, рекомендованим ВООЗ.</w:t>
      </w:r>
    </w:p>
    <w:p w:rsidR="00ED665B" w:rsidRPr="00907702" w:rsidRDefault="006C7D2F" w:rsidP="00DC2656">
      <w:pPr>
        <w:spacing w:before="163"/>
        <w:ind w:left="72" w:right="5"/>
        <w:jc w:val="both"/>
        <w:rPr>
          <w:rFonts w:ascii="Calibri" w:hAnsi="Calibri" w:cs="Calibri"/>
        </w:rPr>
      </w:pPr>
      <w:r>
        <w:rPr>
          <w:rFonts w:ascii="Calibri" w:hAnsi="Calibri"/>
          <w:color w:val="000000"/>
          <w:sz w:val="22"/>
        </w:rPr>
        <w:t xml:space="preserve">Дані для всіх індексних платформ об’єднуються лише для того, щоб дати відповіді на запитання PICO, якщо вони відповідають передумовам, наведеним у </w:t>
      </w:r>
      <w:r>
        <w:rPr>
          <w:rFonts w:ascii="Calibri" w:hAnsi="Calibri"/>
          <w:color w:val="1B61AF"/>
          <w:sz w:val="22"/>
        </w:rPr>
        <w:t xml:space="preserve">Таблиці 2.1.23 </w:t>
      </w:r>
      <w:r>
        <w:rPr>
          <w:rFonts w:ascii="Calibri" w:hAnsi="Calibri"/>
          <w:color w:val="000000"/>
          <w:sz w:val="22"/>
        </w:rPr>
        <w:t>та відповідають умові 1 або умові 2.</w:t>
      </w:r>
    </w:p>
    <w:p w:rsidR="00ED665B" w:rsidRPr="00907702" w:rsidRDefault="00ED665B" w:rsidP="00DC2656">
      <w:pPr>
        <w:spacing w:after="187"/>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82"/>
        <w:gridCol w:w="2990"/>
        <w:gridCol w:w="3077"/>
      </w:tblGrid>
      <w:tr w:rsidR="00ED665B" w:rsidRPr="003E67D4" w:rsidTr="003E67D4">
        <w:trPr>
          <w:trHeight w:hRule="exact" w:val="850"/>
        </w:trPr>
        <w:tc>
          <w:tcPr>
            <w:tcW w:w="9149" w:type="dxa"/>
            <w:gridSpan w:val="3"/>
            <w:tcBorders>
              <w:top w:val="nil"/>
              <w:left w:val="nil"/>
              <w:bottom w:val="single" w:sz="8" w:space="0" w:color="009649"/>
              <w:right w:val="nil"/>
            </w:tcBorders>
            <w:shd w:val="clear" w:color="auto" w:fill="FFFFFF"/>
          </w:tcPr>
          <w:p w:rsidR="00ED665B" w:rsidRPr="003E67D4" w:rsidRDefault="006C7D2F" w:rsidP="00DC2656">
            <w:pPr>
              <w:ind w:right="211"/>
              <w:rPr>
                <w:rFonts w:ascii="Calibri" w:hAnsi="Calibri" w:cs="Calibri"/>
                <w:b/>
                <w:bCs/>
              </w:rPr>
            </w:pPr>
            <w:r>
              <w:rPr>
                <w:rFonts w:ascii="Calibri" w:hAnsi="Calibri"/>
                <w:b/>
                <w:color w:val="636466"/>
                <w:sz w:val="24"/>
              </w:rPr>
              <w:t>Таблиця 2.1.23. Критерії об’єднання досліджень автоматизованих ТАНК помірної складності</w:t>
            </w:r>
          </w:p>
        </w:tc>
      </w:tr>
      <w:tr w:rsidR="00ED665B" w:rsidRPr="003E67D4" w:rsidTr="00FE7B24">
        <w:trPr>
          <w:trHeight w:val="454"/>
        </w:trPr>
        <w:tc>
          <w:tcPr>
            <w:tcW w:w="308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3E67D4" w:rsidRDefault="006C7D2F" w:rsidP="003E67D4">
            <w:pPr>
              <w:ind w:left="101"/>
              <w:rPr>
                <w:rFonts w:ascii="Calibri" w:hAnsi="Calibri" w:cs="Calibri"/>
                <w:b/>
                <w:bCs/>
              </w:rPr>
            </w:pPr>
            <w:r>
              <w:rPr>
                <w:rFonts w:ascii="Calibri" w:hAnsi="Calibri"/>
                <w:b/>
                <w:color w:val="000000"/>
              </w:rPr>
              <w:t>Параметри</w:t>
            </w:r>
          </w:p>
        </w:tc>
        <w:tc>
          <w:tcPr>
            <w:tcW w:w="299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3E67D4" w:rsidRDefault="006C7D2F" w:rsidP="003E67D4">
            <w:pPr>
              <w:ind w:left="19"/>
              <w:rPr>
                <w:rFonts w:ascii="Calibri" w:hAnsi="Calibri" w:cs="Calibri"/>
                <w:b/>
                <w:bCs/>
              </w:rPr>
            </w:pPr>
            <w:r>
              <w:rPr>
                <w:rFonts w:ascii="Calibri" w:hAnsi="Calibri"/>
                <w:b/>
                <w:color w:val="000000"/>
              </w:rPr>
              <w:t>Чутливість</w:t>
            </w:r>
          </w:p>
        </w:tc>
        <w:tc>
          <w:tcPr>
            <w:tcW w:w="3077"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3E67D4" w:rsidRDefault="00907702" w:rsidP="003E67D4">
            <w:pPr>
              <w:ind w:left="43"/>
              <w:rPr>
                <w:rFonts w:ascii="Calibri" w:hAnsi="Calibri" w:cs="Calibri"/>
                <w:b/>
                <w:bCs/>
              </w:rPr>
            </w:pPr>
            <w:r>
              <w:rPr>
                <w:rFonts w:ascii="Calibri" w:hAnsi="Calibri"/>
                <w:b/>
                <w:color w:val="000000"/>
              </w:rPr>
              <w:t>Специфічність</w:t>
            </w:r>
          </w:p>
        </w:tc>
      </w:tr>
      <w:tr w:rsidR="00ED665B" w:rsidRPr="00907702" w:rsidTr="00FE7B24">
        <w:trPr>
          <w:trHeight w:val="454"/>
        </w:trPr>
        <w:tc>
          <w:tcPr>
            <w:tcW w:w="3082" w:type="dxa"/>
            <w:tcBorders>
              <w:top w:val="single" w:sz="8" w:space="0" w:color="009649"/>
              <w:left w:val="nil"/>
              <w:bottom w:val="single" w:sz="8" w:space="0" w:color="009649"/>
              <w:right w:val="nil"/>
            </w:tcBorders>
            <w:shd w:val="clear" w:color="auto" w:fill="FFFFFF"/>
          </w:tcPr>
          <w:p w:rsidR="00ED665B" w:rsidRPr="00907702" w:rsidRDefault="006C7D2F" w:rsidP="00457AB2">
            <w:pPr>
              <w:spacing w:line="276" w:lineRule="auto"/>
              <w:ind w:left="101"/>
              <w:rPr>
                <w:rFonts w:ascii="Calibri" w:hAnsi="Calibri" w:cs="Calibri"/>
              </w:rPr>
            </w:pPr>
            <w:r>
              <w:rPr>
                <w:rFonts w:ascii="Calibri" w:hAnsi="Calibri"/>
                <w:color w:val="000000"/>
              </w:rPr>
              <w:t>Передумови</w:t>
            </w:r>
          </w:p>
        </w:tc>
        <w:tc>
          <w:tcPr>
            <w:tcW w:w="2990" w:type="dxa"/>
            <w:tcBorders>
              <w:top w:val="single" w:sz="8" w:space="0" w:color="009649"/>
              <w:left w:val="nil"/>
              <w:bottom w:val="single" w:sz="8" w:space="0" w:color="009649"/>
              <w:right w:val="nil"/>
            </w:tcBorders>
            <w:shd w:val="clear" w:color="auto" w:fill="FFFFFF"/>
          </w:tcPr>
          <w:p w:rsidR="00ED665B" w:rsidRPr="00907702" w:rsidRDefault="006C7D2F" w:rsidP="00457AB2">
            <w:pPr>
              <w:spacing w:line="276" w:lineRule="auto"/>
              <w:ind w:left="38"/>
              <w:rPr>
                <w:rFonts w:ascii="Calibri" w:hAnsi="Calibri" w:cs="Calibri"/>
              </w:rPr>
            </w:pPr>
            <w:r>
              <w:rPr>
                <w:rFonts w:ascii="Calibri" w:hAnsi="Calibri"/>
                <w:color w:val="000000"/>
              </w:rPr>
              <w:t>n ≥50 позитивних мазків на туберкульоз</w:t>
            </w:r>
          </w:p>
        </w:tc>
        <w:tc>
          <w:tcPr>
            <w:tcW w:w="3077" w:type="dxa"/>
            <w:tcBorders>
              <w:top w:val="single" w:sz="8" w:space="0" w:color="009649"/>
              <w:left w:val="nil"/>
              <w:bottom w:val="single" w:sz="8" w:space="0" w:color="009649"/>
              <w:right w:val="nil"/>
            </w:tcBorders>
            <w:shd w:val="clear" w:color="auto" w:fill="FFFFFF"/>
          </w:tcPr>
          <w:p w:rsidR="00ED665B" w:rsidRPr="00907702" w:rsidRDefault="006C7D2F" w:rsidP="00457AB2">
            <w:pPr>
              <w:spacing w:line="276" w:lineRule="auto"/>
              <w:ind w:left="53"/>
              <w:rPr>
                <w:rFonts w:ascii="Calibri" w:hAnsi="Calibri" w:cs="Calibri"/>
              </w:rPr>
            </w:pPr>
            <w:r>
              <w:rPr>
                <w:rFonts w:ascii="Calibri" w:hAnsi="Calibri"/>
                <w:color w:val="000000"/>
              </w:rPr>
              <w:t>n ≥100 негативних мазків на туберкульоз</w:t>
            </w:r>
          </w:p>
        </w:tc>
      </w:tr>
      <w:tr w:rsidR="00ED665B" w:rsidRPr="00907702" w:rsidTr="00FE7B24">
        <w:trPr>
          <w:trHeight w:val="454"/>
        </w:trPr>
        <w:tc>
          <w:tcPr>
            <w:tcW w:w="3082" w:type="dxa"/>
            <w:tcBorders>
              <w:top w:val="single" w:sz="8" w:space="0" w:color="009649"/>
              <w:left w:val="nil"/>
              <w:bottom w:val="single" w:sz="8" w:space="0" w:color="009649"/>
              <w:right w:val="nil"/>
            </w:tcBorders>
            <w:shd w:val="clear" w:color="auto" w:fill="FFFFFF"/>
          </w:tcPr>
          <w:p w:rsidR="00ED665B" w:rsidRPr="00907702" w:rsidRDefault="006C7D2F" w:rsidP="00457AB2">
            <w:pPr>
              <w:spacing w:line="276" w:lineRule="auto"/>
              <w:ind w:left="101" w:right="250"/>
              <w:rPr>
                <w:rFonts w:ascii="Calibri" w:hAnsi="Calibri" w:cs="Calibri"/>
              </w:rPr>
            </w:pPr>
            <w:r>
              <w:rPr>
                <w:rFonts w:ascii="Calibri" w:hAnsi="Calibri"/>
                <w:color w:val="000000"/>
              </w:rPr>
              <w:t>Умова 1 (об’єднання на основі клінічних даних)</w:t>
            </w:r>
          </w:p>
        </w:tc>
        <w:tc>
          <w:tcPr>
            <w:tcW w:w="2990" w:type="dxa"/>
            <w:tcBorders>
              <w:top w:val="single" w:sz="8" w:space="0" w:color="009649"/>
              <w:left w:val="nil"/>
              <w:bottom w:val="single" w:sz="8" w:space="0" w:color="009649"/>
              <w:right w:val="nil"/>
            </w:tcBorders>
            <w:shd w:val="clear" w:color="auto" w:fill="FFFFFF"/>
          </w:tcPr>
          <w:p w:rsidR="00ED665B" w:rsidRPr="00907702" w:rsidRDefault="006C7D2F" w:rsidP="00457AB2">
            <w:pPr>
              <w:spacing w:line="276" w:lineRule="auto"/>
              <w:ind w:left="19" w:right="211"/>
              <w:rPr>
                <w:rFonts w:ascii="Calibri" w:hAnsi="Calibri" w:cs="Calibri"/>
              </w:rPr>
            </w:pPr>
            <w:r>
              <w:rPr>
                <w:rFonts w:ascii="Calibri" w:hAnsi="Calibri"/>
                <w:color w:val="000000"/>
              </w:rPr>
              <w:t>Об’єднана оцінка одного тесту лежить у межах ± 5% від загальної об’єднаної оцінки</w:t>
            </w:r>
          </w:p>
        </w:tc>
        <w:tc>
          <w:tcPr>
            <w:tcW w:w="3077" w:type="dxa"/>
            <w:tcBorders>
              <w:top w:val="single" w:sz="8" w:space="0" w:color="009649"/>
              <w:left w:val="nil"/>
              <w:bottom w:val="single" w:sz="8" w:space="0" w:color="009649"/>
              <w:right w:val="nil"/>
            </w:tcBorders>
            <w:shd w:val="clear" w:color="auto" w:fill="FFFFFF"/>
          </w:tcPr>
          <w:p w:rsidR="00ED665B" w:rsidRPr="00907702" w:rsidRDefault="006C7D2F" w:rsidP="00457AB2">
            <w:pPr>
              <w:spacing w:line="276" w:lineRule="auto"/>
              <w:ind w:left="34" w:right="283"/>
              <w:rPr>
                <w:rFonts w:ascii="Calibri" w:hAnsi="Calibri" w:cs="Calibri"/>
              </w:rPr>
            </w:pPr>
            <w:r>
              <w:rPr>
                <w:rFonts w:ascii="Calibri" w:hAnsi="Calibri"/>
                <w:color w:val="000000"/>
              </w:rPr>
              <w:t>Об’єднана оцінка одного тесту лежить у межах ± 2% від загальної об’єднаної оцінки</w:t>
            </w:r>
          </w:p>
        </w:tc>
      </w:tr>
      <w:tr w:rsidR="00ED665B" w:rsidRPr="00907702" w:rsidTr="00FE7B24">
        <w:trPr>
          <w:trHeight w:val="454"/>
        </w:trPr>
        <w:tc>
          <w:tcPr>
            <w:tcW w:w="3082" w:type="dxa"/>
            <w:tcBorders>
              <w:top w:val="single" w:sz="8" w:space="0" w:color="009649"/>
              <w:left w:val="nil"/>
              <w:bottom w:val="single" w:sz="8" w:space="0" w:color="009649"/>
              <w:right w:val="nil"/>
            </w:tcBorders>
            <w:shd w:val="clear" w:color="auto" w:fill="FFFFFF"/>
          </w:tcPr>
          <w:p w:rsidR="00ED665B" w:rsidRPr="00907702" w:rsidRDefault="006C7D2F" w:rsidP="00457AB2">
            <w:pPr>
              <w:spacing w:line="276" w:lineRule="auto"/>
              <w:ind w:left="101" w:right="250"/>
              <w:rPr>
                <w:rFonts w:ascii="Calibri" w:hAnsi="Calibri" w:cs="Calibri"/>
              </w:rPr>
            </w:pPr>
            <w:r>
              <w:rPr>
                <w:rFonts w:ascii="Calibri" w:hAnsi="Calibri"/>
                <w:color w:val="000000"/>
              </w:rPr>
              <w:t>Умова 2 (об’єднання на основі статистичних даних)</w:t>
            </w:r>
          </w:p>
        </w:tc>
        <w:tc>
          <w:tcPr>
            <w:tcW w:w="2990" w:type="dxa"/>
            <w:tcBorders>
              <w:top w:val="single" w:sz="8" w:space="0" w:color="009649"/>
              <w:left w:val="nil"/>
              <w:bottom w:val="single" w:sz="8" w:space="0" w:color="009649"/>
              <w:right w:val="nil"/>
            </w:tcBorders>
            <w:shd w:val="clear" w:color="auto" w:fill="FFFFFF"/>
          </w:tcPr>
          <w:p w:rsidR="00ED665B" w:rsidRPr="00907702" w:rsidRDefault="006C7D2F" w:rsidP="00457AB2">
            <w:pPr>
              <w:spacing w:line="276" w:lineRule="auto"/>
              <w:ind w:left="19" w:right="115"/>
              <w:rPr>
                <w:rFonts w:ascii="Calibri" w:hAnsi="Calibri" w:cs="Calibri"/>
              </w:rPr>
            </w:pPr>
            <w:r>
              <w:rPr>
                <w:rFonts w:ascii="Calibri" w:hAnsi="Calibri"/>
                <w:color w:val="000000"/>
              </w:rPr>
              <w:t>Об’єднана оцінка одного тесту лежить у межах 95% ДІ від загальної об’єднаної оцінки</w:t>
            </w:r>
          </w:p>
          <w:p w:rsidR="00ED665B" w:rsidRPr="00907702" w:rsidRDefault="006C7D2F" w:rsidP="00457AB2">
            <w:pPr>
              <w:spacing w:line="276" w:lineRule="auto"/>
              <w:ind w:left="19"/>
              <w:rPr>
                <w:rFonts w:ascii="Calibri" w:hAnsi="Calibri" w:cs="Calibri"/>
              </w:rPr>
            </w:pPr>
            <w:r>
              <w:rPr>
                <w:rFonts w:ascii="Calibri" w:hAnsi="Calibri"/>
                <w:color w:val="000000"/>
              </w:rPr>
              <w:t>та</w:t>
            </w:r>
          </w:p>
          <w:p w:rsidR="00ED665B" w:rsidRPr="00907702" w:rsidRDefault="006C7D2F" w:rsidP="00457AB2">
            <w:pPr>
              <w:spacing w:line="276" w:lineRule="auto"/>
              <w:ind w:left="19" w:right="115"/>
              <w:rPr>
                <w:rFonts w:ascii="Calibri" w:hAnsi="Calibri" w:cs="Calibri"/>
              </w:rPr>
            </w:pPr>
            <w:r>
              <w:rPr>
                <w:rFonts w:ascii="Calibri" w:hAnsi="Calibri"/>
                <w:color w:val="000000"/>
              </w:rPr>
              <w:t>Об’єднана оцінка одного тесту лежить у межах ±10% від загальної об’єднаної оцінки</w:t>
            </w:r>
          </w:p>
        </w:tc>
        <w:tc>
          <w:tcPr>
            <w:tcW w:w="3077" w:type="dxa"/>
            <w:tcBorders>
              <w:top w:val="single" w:sz="8" w:space="0" w:color="009649"/>
              <w:left w:val="nil"/>
              <w:bottom w:val="single" w:sz="8" w:space="0" w:color="009649"/>
              <w:right w:val="nil"/>
            </w:tcBorders>
            <w:shd w:val="clear" w:color="auto" w:fill="FFFFFF"/>
          </w:tcPr>
          <w:p w:rsidR="00ED665B" w:rsidRPr="00907702" w:rsidRDefault="006C7D2F" w:rsidP="00457AB2">
            <w:pPr>
              <w:spacing w:line="276" w:lineRule="auto"/>
              <w:ind w:left="34" w:right="192"/>
              <w:rPr>
                <w:rFonts w:ascii="Calibri" w:hAnsi="Calibri" w:cs="Calibri"/>
              </w:rPr>
            </w:pPr>
            <w:r>
              <w:rPr>
                <w:rFonts w:ascii="Calibri" w:hAnsi="Calibri"/>
                <w:color w:val="000000"/>
              </w:rPr>
              <w:t>Об’єднана оцінка одного тесту лежить у межах 95% ДІ від загальної об’єднаної оцінки</w:t>
            </w:r>
          </w:p>
          <w:p w:rsidR="00ED665B" w:rsidRPr="00907702" w:rsidRDefault="006C7D2F" w:rsidP="00457AB2">
            <w:pPr>
              <w:spacing w:line="276" w:lineRule="auto"/>
              <w:ind w:left="34"/>
              <w:rPr>
                <w:rFonts w:ascii="Calibri" w:hAnsi="Calibri" w:cs="Calibri"/>
              </w:rPr>
            </w:pPr>
            <w:r>
              <w:rPr>
                <w:rFonts w:ascii="Calibri" w:hAnsi="Calibri"/>
                <w:color w:val="000000"/>
              </w:rPr>
              <w:t>та</w:t>
            </w:r>
          </w:p>
          <w:p w:rsidR="00ED665B" w:rsidRPr="00907702" w:rsidRDefault="006C7D2F" w:rsidP="00457AB2">
            <w:pPr>
              <w:spacing w:line="276" w:lineRule="auto"/>
              <w:ind w:left="34" w:right="192"/>
              <w:rPr>
                <w:rFonts w:ascii="Calibri" w:hAnsi="Calibri" w:cs="Calibri"/>
              </w:rPr>
            </w:pPr>
            <w:r>
              <w:rPr>
                <w:rFonts w:ascii="Calibri" w:hAnsi="Calibri"/>
                <w:color w:val="000000"/>
              </w:rPr>
              <w:t>Об’єднана оцінка одного тесту лежить у межах ±5% від загальної об’єднаної оцінки</w:t>
            </w:r>
          </w:p>
        </w:tc>
      </w:tr>
    </w:tbl>
    <w:p w:rsidR="00ED665B" w:rsidRPr="00907702" w:rsidRDefault="006C7D2F" w:rsidP="00DC2656">
      <w:pPr>
        <w:spacing w:before="125"/>
        <w:ind w:left="72"/>
        <w:rPr>
          <w:rFonts w:ascii="Calibri" w:hAnsi="Calibri" w:cs="Calibri"/>
        </w:rPr>
      </w:pPr>
      <w:r>
        <w:rPr>
          <w:rFonts w:ascii="Calibri" w:hAnsi="Calibri"/>
          <w:color w:val="000000"/>
          <w:sz w:val="16"/>
        </w:rPr>
        <w:t>ДІ: довірчий інтервал; n: число; ТАНК: тест на ампліфікацію нуклеїнових кислот; ТБ: туберкульоз.</w:t>
      </w:r>
    </w:p>
    <w:p w:rsidR="00ED665B" w:rsidRPr="00907702" w:rsidRDefault="006C7D2F" w:rsidP="00DC2656">
      <w:pPr>
        <w:spacing w:before="254"/>
        <w:ind w:left="72" w:right="5"/>
        <w:jc w:val="both"/>
        <w:rPr>
          <w:rFonts w:ascii="Calibri" w:hAnsi="Calibri" w:cs="Calibri"/>
        </w:rPr>
      </w:pPr>
      <w:r>
        <w:rPr>
          <w:rFonts w:ascii="Calibri" w:hAnsi="Calibri"/>
          <w:color w:val="000000"/>
          <w:sz w:val="22"/>
        </w:rPr>
        <w:t xml:space="preserve">Достовірність даних об’єднаних досліджень систематично оцінювалась за допомогою питань PICO з використанням підходу градації з оцінки, розробки та ранжування рекомендацій (GRADE) </w:t>
      </w:r>
      <w:r w:rsidRPr="00BE6F5B">
        <w:rPr>
          <w:rFonts w:ascii="Calibri" w:hAnsi="Calibri"/>
          <w:i/>
          <w:color w:val="000000"/>
          <w:sz w:val="22"/>
        </w:rPr>
        <w:t>(10)</w:t>
      </w:r>
      <w:r>
        <w:rPr>
          <w:rFonts w:ascii="Calibri" w:hAnsi="Calibri"/>
          <w:color w:val="000000"/>
          <w:sz w:val="22"/>
        </w:rPr>
        <w:t>. Підхід GRADE пропонує загальну оцінку якості (або достовірності) даних і дає основу для перетворення даних у рекомендації; також, за такого підходу, навіть якщо дослідження діагностичної точності мають спостережний характер, вони починаються за наявності високоякісних даних.</w:t>
      </w:r>
    </w:p>
    <w:p w:rsidR="00ED665B" w:rsidRPr="00907702" w:rsidRDefault="006C7D2F" w:rsidP="00DC2656">
      <w:pPr>
        <w:spacing w:before="163"/>
        <w:ind w:left="72" w:right="5"/>
        <w:jc w:val="both"/>
        <w:rPr>
          <w:rFonts w:ascii="Calibri" w:hAnsi="Calibri" w:cs="Calibri"/>
        </w:rPr>
      </w:pPr>
      <w:r>
        <w:rPr>
          <w:rFonts w:ascii="Calibri" w:hAnsi="Calibri"/>
          <w:color w:val="000000"/>
          <w:sz w:val="22"/>
        </w:rPr>
        <w:t xml:space="preserve">Інструмент програмного забезпечення для розробки настанов GRADEpro </w:t>
      </w:r>
      <w:r w:rsidRPr="00BE6F5B">
        <w:rPr>
          <w:rFonts w:ascii="Calibri" w:hAnsi="Calibri"/>
          <w:i/>
          <w:color w:val="000000"/>
          <w:sz w:val="22"/>
        </w:rPr>
        <w:t>(19)</w:t>
      </w:r>
      <w:r>
        <w:rPr>
          <w:rFonts w:ascii="Calibri" w:hAnsi="Calibri"/>
          <w:color w:val="000000"/>
          <w:sz w:val="22"/>
        </w:rPr>
        <w:t xml:space="preserve"> використовувався для створення резюме таблиць результатів. Якість даних оцінювалась як висока (не знижена), середня (знижена на один рівень), низька (знижена на два рівні) або дуже низька (знижена більш </w:t>
      </w:r>
    </w:p>
    <w:p w:rsidR="00ED665B" w:rsidRPr="00907702" w:rsidRDefault="00ED665B" w:rsidP="00DC2656">
      <w:pPr>
        <w:spacing w:before="163"/>
        <w:ind w:left="72" w:right="5"/>
        <w:jc w:val="both"/>
        <w:rPr>
          <w:rFonts w:ascii="Calibri" w:hAnsi="Calibri" w:cs="Calibri"/>
        </w:rPr>
        <w:sectPr w:rsidR="00ED665B" w:rsidRPr="00907702">
          <w:pgSz w:w="11904" w:h="16838"/>
          <w:pgMar w:top="1339" w:right="1411" w:bottom="1579" w:left="1344" w:header="720" w:footer="720" w:gutter="0"/>
          <w:cols w:space="60"/>
          <w:noEndnote/>
        </w:sectPr>
      </w:pPr>
    </w:p>
    <w:p w:rsidR="00ED665B" w:rsidRPr="00907702" w:rsidRDefault="0000373D" w:rsidP="00DC2656">
      <w:pPr>
        <w:jc w:val="both"/>
        <w:rPr>
          <w:rFonts w:ascii="Calibri" w:hAnsi="Calibri" w:cs="Calibri"/>
        </w:rPr>
      </w:pPr>
      <w:r>
        <w:rPr>
          <w:rFonts w:ascii="Calibri" w:hAnsi="Calibri"/>
          <w:color w:val="000000"/>
          <w:sz w:val="22"/>
        </w:rPr>
        <w:lastRenderedPageBreak/>
        <w:t xml:space="preserve">ніж на два рівні) на основі </w:t>
      </w:r>
      <w:r w:rsidR="006C7D2F">
        <w:rPr>
          <w:rFonts w:ascii="Calibri" w:hAnsi="Calibri"/>
          <w:color w:val="000000"/>
          <w:sz w:val="22"/>
        </w:rPr>
        <w:t>п’яти факторів: ризик упередженості, непрямості, непослідовності, неточності та інших міркувань. Якість (достовірність) даних була знижена на один рівень, коли було виявлено серйозне питання, і на два рівні, коли дуже серйозне питання було виявлено в будь-якому з факторів, що використовуються для оцінки якості даних.</w:t>
      </w:r>
    </w:p>
    <w:p w:rsidR="00ED665B" w:rsidRPr="00907702" w:rsidRDefault="006C7D2F" w:rsidP="00457AB2">
      <w:pPr>
        <w:spacing w:before="163"/>
        <w:jc w:val="both"/>
        <w:rPr>
          <w:rFonts w:ascii="Calibri" w:hAnsi="Calibri" w:cs="Calibri"/>
        </w:rPr>
      </w:pPr>
      <w:r>
        <w:rPr>
          <w:rFonts w:ascii="Calibri" w:hAnsi="Calibri"/>
          <w:color w:val="000000"/>
          <w:sz w:val="22"/>
        </w:rPr>
        <w:t>Синтез даних був структурований за заздалегідь заданим списком з трьох питань PICO. Три вебдодатки надають додаткову інформацію:</w:t>
      </w:r>
    </w:p>
    <w:p w:rsidR="00ED665B" w:rsidRPr="00907702" w:rsidRDefault="006C7D2F" w:rsidP="00457AB2">
      <w:pPr>
        <w:numPr>
          <w:ilvl w:val="0"/>
          <w:numId w:val="2"/>
        </w:numPr>
        <w:tabs>
          <w:tab w:val="left" w:pos="240"/>
        </w:tabs>
        <w:spacing w:before="82"/>
        <w:ind w:left="240" w:hanging="240"/>
        <w:jc w:val="both"/>
        <w:rPr>
          <w:rFonts w:ascii="Calibri" w:hAnsi="Calibri" w:cs="Calibri"/>
          <w:color w:val="009649"/>
          <w:sz w:val="22"/>
          <w:szCs w:val="22"/>
        </w:rPr>
      </w:pPr>
      <w:r>
        <w:rPr>
          <w:rFonts w:ascii="Calibri" w:hAnsi="Calibri"/>
          <w:color w:val="000000"/>
          <w:sz w:val="22"/>
        </w:rPr>
        <w:t>подробиці досліджень, включених до поточного аналізу (</w:t>
      </w:r>
      <w:r>
        <w:rPr>
          <w:rFonts w:ascii="Calibri" w:hAnsi="Calibri"/>
          <w:b/>
          <w:color w:val="000000"/>
          <w:sz w:val="22"/>
        </w:rPr>
        <w:t>Вебдодаток 1.3</w:t>
      </w:r>
      <w:r>
        <w:rPr>
          <w:rFonts w:ascii="Calibri" w:hAnsi="Calibri"/>
          <w:color w:val="000000"/>
          <w:sz w:val="22"/>
        </w:rPr>
        <w:t>: Автоматизовані ТАНК помірної складності;</w:t>
      </w:r>
    </w:p>
    <w:p w:rsidR="00ED665B" w:rsidRPr="00907702" w:rsidRDefault="006C7D2F" w:rsidP="00457AB2">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огляд результатів та даних щодо оцінки якості доказових даних (</w:t>
      </w:r>
      <w:r>
        <w:rPr>
          <w:rFonts w:ascii="Calibri" w:hAnsi="Calibri"/>
          <w:b/>
          <w:color w:val="000000"/>
          <w:sz w:val="22"/>
        </w:rPr>
        <w:t xml:space="preserve">Вебдодаток 2.3 </w:t>
      </w:r>
      <w:r>
        <w:rPr>
          <w:rFonts w:ascii="Calibri" w:hAnsi="Calibri"/>
          <w:color w:val="000000"/>
          <w:sz w:val="22"/>
        </w:rPr>
        <w:t>: Профілі GRADE: Автоматизовані ТАНК помірної складності); та</w:t>
      </w:r>
    </w:p>
    <w:p w:rsidR="00ED665B" w:rsidRPr="00907702" w:rsidRDefault="006C7D2F" w:rsidP="00457AB2">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резюме суджень комісії ГРН (</w:t>
      </w:r>
      <w:r>
        <w:rPr>
          <w:rFonts w:ascii="Calibri" w:hAnsi="Calibri"/>
          <w:b/>
          <w:color w:val="000000"/>
          <w:sz w:val="22"/>
        </w:rPr>
        <w:t>Вебдодаток 3.3</w:t>
      </w:r>
      <w:r>
        <w:rPr>
          <w:rFonts w:ascii="Calibri" w:hAnsi="Calibri"/>
          <w:color w:val="000000"/>
          <w:sz w:val="22"/>
        </w:rPr>
        <w:t>: Таблиці прийняття рішень на основі доказів: Автоматизовані ТАНК помірної складності).</w:t>
      </w:r>
    </w:p>
    <w:p w:rsidR="00ED665B" w:rsidRPr="0061089A" w:rsidRDefault="006C7D2F" w:rsidP="00DC2656">
      <w:pPr>
        <w:spacing w:before="274"/>
        <w:ind w:left="859" w:hanging="859"/>
        <w:rPr>
          <w:rFonts w:ascii="Calibri" w:hAnsi="Calibri" w:cs="Calibri"/>
          <w:b/>
          <w:bCs/>
        </w:rPr>
      </w:pPr>
      <w:r>
        <w:rPr>
          <w:rFonts w:ascii="Calibri" w:hAnsi="Calibri"/>
          <w:b/>
          <w:color w:val="000000"/>
          <w:sz w:val="24"/>
        </w:rPr>
        <w:t xml:space="preserve">PICO 1: </w:t>
      </w:r>
      <w:r>
        <w:rPr>
          <w:rFonts w:ascii="Calibri" w:hAnsi="Calibri"/>
          <w:b/>
          <w:color w:val="000000"/>
          <w:sz w:val="24"/>
        </w:rPr>
        <w:tab/>
        <w:t>Чи слід використовувати автоматизовані ТАНК помірної складності у дихальних пробах у людей з ознаками та симптомами легеневого туберкульозу для виявлення легеневого туберкульозу, та які його переваги порівняно з культуральним посівом?</w:t>
      </w:r>
    </w:p>
    <w:p w:rsidR="00ED665B" w:rsidRPr="00907702" w:rsidRDefault="006C7D2F" w:rsidP="00DC2656">
      <w:pPr>
        <w:spacing w:before="182"/>
        <w:jc w:val="both"/>
        <w:rPr>
          <w:rFonts w:ascii="Calibri" w:hAnsi="Calibri" w:cs="Calibri"/>
        </w:rPr>
      </w:pPr>
      <w:r>
        <w:rPr>
          <w:rFonts w:ascii="Calibri" w:hAnsi="Calibri"/>
          <w:color w:val="000000"/>
          <w:sz w:val="22"/>
        </w:rPr>
        <w:t>Всього 13 852 зразків, що використовувались у 29 дослідженнях, стали джерелом даних для оцінки виявлення туберкульозу у результаті проведення 5 індексних тестів</w:t>
      </w:r>
      <w:r w:rsidR="00457AB2">
        <w:rPr>
          <w:rFonts w:ascii="Calibri" w:hAnsi="Calibri"/>
          <w:color w:val="000000"/>
          <w:sz w:val="22"/>
          <w:lang w:val="ru-RU"/>
        </w:rPr>
        <w:t xml:space="preserve"> </w:t>
      </w:r>
      <w:r>
        <w:rPr>
          <w:rFonts w:ascii="Calibri" w:hAnsi="Calibri"/>
          <w:color w:val="000000"/>
          <w:sz w:val="22"/>
        </w:rPr>
        <w:t>(</w:t>
      </w:r>
      <w:r>
        <w:rPr>
          <w:rFonts w:ascii="Calibri" w:hAnsi="Calibri"/>
          <w:color w:val="1B61AF"/>
          <w:sz w:val="22"/>
        </w:rPr>
        <w:t>Рис. 2.1.4</w:t>
      </w:r>
      <w:r>
        <w:rPr>
          <w:rFonts w:ascii="Calibri" w:hAnsi="Calibri"/>
          <w:color w:val="000000"/>
          <w:sz w:val="22"/>
        </w:rPr>
        <w:t>). З цих 29 досліджень 12 було проведено із використанням тесту Abbott RealTime MTB, шість – за методом MTB FluoroType, чотири – за методом MTBDR типу FluoroType, п’ять – із використанням тесту BD MAX і два – із використанням тесту cobas MTB. Референс стандартом для кожного з цих досліджень для виявлення туберкульозу була культура мікобактерій.</w:t>
      </w:r>
    </w:p>
    <w:p w:rsidR="00ED665B" w:rsidRPr="00907702" w:rsidRDefault="006C7D2F" w:rsidP="00DC2656">
      <w:pPr>
        <w:spacing w:before="168"/>
        <w:jc w:val="both"/>
        <w:rPr>
          <w:rFonts w:ascii="Calibri" w:hAnsi="Calibri" w:cs="Calibri"/>
        </w:rPr>
      </w:pPr>
      <w:r>
        <w:rPr>
          <w:rFonts w:ascii="Calibri" w:hAnsi="Calibri"/>
          <w:color w:val="000000"/>
          <w:sz w:val="22"/>
        </w:rPr>
        <w:t>З 29 досліджень 16 (55%) мали високий або неясний ризик упередженості, оскільки в них тестувались зразки перед включенням у дослідження, використовувалась зручність вибірки або не повідомлялось про метод відбору учасників. Таким чином, дані були знижені на один рівень через ризик упередженості. В цілому достовірність даних була визнана помірною для чутливості та високою для специфічності.</w:t>
      </w:r>
    </w:p>
    <w:p w:rsidR="00ED665B" w:rsidRPr="00907702" w:rsidRDefault="00ED665B" w:rsidP="00DC2656">
      <w:pPr>
        <w:spacing w:before="168"/>
        <w:jc w:val="both"/>
        <w:rPr>
          <w:rFonts w:ascii="Calibri" w:hAnsi="Calibri" w:cs="Calibri"/>
        </w:rPr>
        <w:sectPr w:rsidR="00ED665B" w:rsidRPr="00907702">
          <w:pgSz w:w="11904" w:h="16838"/>
          <w:pgMar w:top="1339" w:right="1416" w:bottom="7037" w:left="1416" w:header="720" w:footer="720" w:gutter="0"/>
          <w:cols w:space="60"/>
          <w:noEndnote/>
        </w:sectPr>
      </w:pPr>
    </w:p>
    <w:p w:rsidR="00ED665B" w:rsidRPr="0061089A" w:rsidRDefault="006C7D2F" w:rsidP="00FE7B24">
      <w:pPr>
        <w:spacing w:line="216" w:lineRule="auto"/>
        <w:rPr>
          <w:rFonts w:ascii="Calibri" w:hAnsi="Calibri" w:cs="Calibri"/>
          <w:b/>
          <w:bCs/>
        </w:rPr>
      </w:pPr>
      <w:r>
        <w:rPr>
          <w:rFonts w:ascii="Calibri" w:hAnsi="Calibri"/>
          <w:b/>
          <w:color w:val="636466"/>
          <w:sz w:val="24"/>
        </w:rPr>
        <w:lastRenderedPageBreak/>
        <w:t>Рис. 2.1.8. Форест-діаграма включених досліджень, присвячених виявленню туберкульозу, з використанням культури як референс стандарту</w:t>
      </w:r>
    </w:p>
    <w:p w:rsidR="00ED665B" w:rsidRPr="00907702" w:rsidRDefault="00ED665B" w:rsidP="00DC2656">
      <w:pPr>
        <w:spacing w:after="288"/>
        <w:rPr>
          <w:rFonts w:ascii="Calibri" w:hAnsi="Calibri" w:cs="Calibri"/>
          <w:sz w:val="2"/>
          <w:szCs w:val="2"/>
        </w:rPr>
      </w:pPr>
    </w:p>
    <w:tbl>
      <w:tblPr>
        <w:tblW w:w="9082" w:type="dxa"/>
        <w:tblInd w:w="40" w:type="dxa"/>
        <w:tblLayout w:type="fixed"/>
        <w:tblCellMar>
          <w:left w:w="40" w:type="dxa"/>
          <w:right w:w="40" w:type="dxa"/>
        </w:tblCellMar>
        <w:tblLook w:val="0000" w:firstRow="0" w:lastRow="0" w:firstColumn="0" w:lastColumn="0" w:noHBand="0" w:noVBand="0"/>
      </w:tblPr>
      <w:tblGrid>
        <w:gridCol w:w="1733"/>
        <w:gridCol w:w="432"/>
        <w:gridCol w:w="283"/>
        <w:gridCol w:w="307"/>
        <w:gridCol w:w="437"/>
        <w:gridCol w:w="1304"/>
        <w:gridCol w:w="1543"/>
        <w:gridCol w:w="1576"/>
        <w:gridCol w:w="1467"/>
      </w:tblGrid>
      <w:tr w:rsidR="00ED665B" w:rsidRPr="00907702" w:rsidTr="00457AB2">
        <w:trPr>
          <w:trHeight w:val="20"/>
        </w:trPr>
        <w:tc>
          <w:tcPr>
            <w:tcW w:w="1733" w:type="dxa"/>
            <w:tcBorders>
              <w:top w:val="nil"/>
              <w:left w:val="nil"/>
              <w:bottom w:val="nil"/>
              <w:right w:val="nil"/>
            </w:tcBorders>
            <w:shd w:val="clear" w:color="auto" w:fill="FFFFFF"/>
          </w:tcPr>
          <w:p w:rsidR="00ED665B" w:rsidRPr="00FE7B24" w:rsidRDefault="006C7D2F" w:rsidP="00DC2656">
            <w:pPr>
              <w:rPr>
                <w:rFonts w:ascii="Calibri" w:hAnsi="Calibri" w:cs="Calibri"/>
                <w:b/>
              </w:rPr>
            </w:pPr>
            <w:r w:rsidRPr="00FE7B24">
              <w:rPr>
                <w:rFonts w:ascii="Calibri" w:hAnsi="Calibri"/>
                <w:b/>
                <w:color w:val="000000"/>
                <w:sz w:val="14"/>
              </w:rPr>
              <w:t>Дослідження</w:t>
            </w:r>
          </w:p>
        </w:tc>
        <w:tc>
          <w:tcPr>
            <w:tcW w:w="432" w:type="dxa"/>
            <w:tcBorders>
              <w:top w:val="nil"/>
              <w:left w:val="nil"/>
              <w:bottom w:val="nil"/>
              <w:right w:val="nil"/>
            </w:tcBorders>
            <w:shd w:val="clear" w:color="auto" w:fill="FFFFFF"/>
          </w:tcPr>
          <w:p w:rsidR="00ED665B" w:rsidRPr="00FE7B24" w:rsidRDefault="006C7D2F" w:rsidP="00457AB2">
            <w:pPr>
              <w:jc w:val="right"/>
              <w:rPr>
                <w:rFonts w:ascii="Calibri" w:hAnsi="Calibri" w:cs="Calibri"/>
                <w:b/>
              </w:rPr>
            </w:pPr>
            <w:r w:rsidRPr="00FE7B24">
              <w:rPr>
                <w:rFonts w:ascii="Calibri" w:hAnsi="Calibri"/>
                <w:b/>
                <w:color w:val="000000"/>
                <w:sz w:val="14"/>
              </w:rPr>
              <w:t>ІП</w:t>
            </w:r>
          </w:p>
        </w:tc>
        <w:tc>
          <w:tcPr>
            <w:tcW w:w="283" w:type="dxa"/>
            <w:tcBorders>
              <w:top w:val="nil"/>
              <w:left w:val="nil"/>
              <w:bottom w:val="nil"/>
              <w:right w:val="nil"/>
            </w:tcBorders>
            <w:shd w:val="clear" w:color="auto" w:fill="FFFFFF"/>
          </w:tcPr>
          <w:p w:rsidR="00ED665B" w:rsidRPr="00FE7B24" w:rsidRDefault="006C7D2F" w:rsidP="00457AB2">
            <w:pPr>
              <w:jc w:val="right"/>
              <w:rPr>
                <w:rFonts w:ascii="Calibri" w:hAnsi="Calibri" w:cs="Calibri"/>
                <w:b/>
              </w:rPr>
            </w:pPr>
            <w:r w:rsidRPr="00FE7B24">
              <w:rPr>
                <w:rFonts w:ascii="Calibri" w:hAnsi="Calibri"/>
                <w:b/>
                <w:color w:val="000000"/>
                <w:sz w:val="14"/>
              </w:rPr>
              <w:t>ХП</w:t>
            </w:r>
          </w:p>
        </w:tc>
        <w:tc>
          <w:tcPr>
            <w:tcW w:w="307" w:type="dxa"/>
            <w:tcBorders>
              <w:top w:val="nil"/>
              <w:left w:val="nil"/>
              <w:bottom w:val="nil"/>
              <w:right w:val="nil"/>
            </w:tcBorders>
            <w:shd w:val="clear" w:color="auto" w:fill="FFFFFF"/>
          </w:tcPr>
          <w:p w:rsidR="00ED665B" w:rsidRPr="00FE7B24" w:rsidRDefault="006C7D2F" w:rsidP="00457AB2">
            <w:pPr>
              <w:jc w:val="right"/>
              <w:rPr>
                <w:rFonts w:ascii="Calibri" w:hAnsi="Calibri" w:cs="Calibri"/>
                <w:b/>
              </w:rPr>
            </w:pPr>
            <w:r w:rsidRPr="00FE7B24">
              <w:rPr>
                <w:rFonts w:ascii="Calibri" w:hAnsi="Calibri"/>
                <w:b/>
                <w:color w:val="000000"/>
                <w:sz w:val="14"/>
              </w:rPr>
              <w:t>ХН</w:t>
            </w:r>
          </w:p>
        </w:tc>
        <w:tc>
          <w:tcPr>
            <w:tcW w:w="437" w:type="dxa"/>
            <w:tcBorders>
              <w:top w:val="nil"/>
              <w:left w:val="nil"/>
              <w:bottom w:val="nil"/>
              <w:right w:val="nil"/>
            </w:tcBorders>
            <w:shd w:val="clear" w:color="auto" w:fill="FFFFFF"/>
          </w:tcPr>
          <w:p w:rsidR="00ED665B" w:rsidRPr="00FE7B24" w:rsidRDefault="006C7D2F" w:rsidP="00457AB2">
            <w:pPr>
              <w:jc w:val="right"/>
              <w:rPr>
                <w:rFonts w:ascii="Calibri" w:hAnsi="Calibri" w:cs="Calibri"/>
                <w:b/>
              </w:rPr>
            </w:pPr>
            <w:r w:rsidRPr="00FE7B24">
              <w:rPr>
                <w:rFonts w:ascii="Calibri" w:hAnsi="Calibri"/>
                <w:b/>
                <w:color w:val="000000"/>
                <w:sz w:val="14"/>
              </w:rPr>
              <w:t>ІН</w:t>
            </w:r>
          </w:p>
        </w:tc>
        <w:tc>
          <w:tcPr>
            <w:tcW w:w="1304" w:type="dxa"/>
            <w:tcBorders>
              <w:top w:val="nil"/>
              <w:left w:val="nil"/>
              <w:bottom w:val="nil"/>
              <w:right w:val="nil"/>
            </w:tcBorders>
            <w:shd w:val="clear" w:color="auto" w:fill="FFFFFF"/>
          </w:tcPr>
          <w:p w:rsidR="00ED665B" w:rsidRPr="00FE7B24" w:rsidRDefault="006C7D2F" w:rsidP="00457AB2">
            <w:pPr>
              <w:jc w:val="right"/>
              <w:rPr>
                <w:rFonts w:ascii="Calibri" w:hAnsi="Calibri" w:cs="Calibri"/>
                <w:b/>
              </w:rPr>
            </w:pPr>
            <w:r w:rsidRPr="00FE7B24">
              <w:rPr>
                <w:rFonts w:ascii="Calibri" w:hAnsi="Calibri"/>
                <w:b/>
                <w:color w:val="000000"/>
                <w:sz w:val="14"/>
              </w:rPr>
              <w:t>Чутливість (95 % ДІ)</w:t>
            </w:r>
          </w:p>
        </w:tc>
        <w:tc>
          <w:tcPr>
            <w:tcW w:w="1543" w:type="dxa"/>
            <w:tcBorders>
              <w:top w:val="nil"/>
              <w:left w:val="nil"/>
              <w:bottom w:val="nil"/>
              <w:right w:val="nil"/>
            </w:tcBorders>
            <w:shd w:val="clear" w:color="auto" w:fill="FFFFFF"/>
          </w:tcPr>
          <w:p w:rsidR="00ED665B" w:rsidRPr="00FE7B24" w:rsidRDefault="006C7D2F" w:rsidP="00457AB2">
            <w:pPr>
              <w:jc w:val="right"/>
              <w:rPr>
                <w:rFonts w:ascii="Calibri" w:hAnsi="Calibri" w:cs="Calibri"/>
                <w:b/>
              </w:rPr>
            </w:pPr>
            <w:r w:rsidRPr="00FE7B24">
              <w:rPr>
                <w:rFonts w:ascii="Calibri" w:hAnsi="Calibri"/>
                <w:b/>
                <w:color w:val="000000"/>
                <w:sz w:val="14"/>
              </w:rPr>
              <w:t>Специфічність (95 % ДІ)</w:t>
            </w:r>
          </w:p>
        </w:tc>
        <w:tc>
          <w:tcPr>
            <w:tcW w:w="1576" w:type="dxa"/>
            <w:tcBorders>
              <w:top w:val="nil"/>
              <w:left w:val="nil"/>
              <w:bottom w:val="nil"/>
              <w:right w:val="nil"/>
            </w:tcBorders>
            <w:shd w:val="clear" w:color="auto" w:fill="FFFFFF"/>
          </w:tcPr>
          <w:p w:rsidR="00ED665B" w:rsidRPr="00FE7B24" w:rsidRDefault="006C7D2F" w:rsidP="00457AB2">
            <w:pPr>
              <w:jc w:val="right"/>
              <w:rPr>
                <w:rFonts w:ascii="Calibri" w:hAnsi="Calibri" w:cs="Calibri"/>
                <w:b/>
              </w:rPr>
            </w:pPr>
            <w:r w:rsidRPr="00FE7B24">
              <w:rPr>
                <w:rFonts w:ascii="Calibri" w:hAnsi="Calibri"/>
                <w:b/>
                <w:color w:val="000000"/>
                <w:sz w:val="14"/>
              </w:rPr>
              <w:t>Чутливість (95 % ДІ)</w:t>
            </w:r>
          </w:p>
        </w:tc>
        <w:tc>
          <w:tcPr>
            <w:tcW w:w="1467" w:type="dxa"/>
            <w:tcBorders>
              <w:top w:val="nil"/>
              <w:left w:val="nil"/>
              <w:bottom w:val="nil"/>
              <w:right w:val="nil"/>
            </w:tcBorders>
            <w:shd w:val="clear" w:color="auto" w:fill="FFFFFF"/>
          </w:tcPr>
          <w:p w:rsidR="00ED665B" w:rsidRPr="00FE7B24" w:rsidRDefault="006C7D2F" w:rsidP="00457AB2">
            <w:pPr>
              <w:jc w:val="right"/>
              <w:rPr>
                <w:rFonts w:ascii="Calibri" w:hAnsi="Calibri" w:cs="Calibri"/>
                <w:b/>
              </w:rPr>
            </w:pPr>
            <w:r w:rsidRPr="00FE7B24">
              <w:rPr>
                <w:rFonts w:ascii="Calibri" w:hAnsi="Calibri"/>
                <w:b/>
                <w:color w:val="000000"/>
                <w:sz w:val="14"/>
              </w:rPr>
              <w:t>Специфічність (95 % ДІ)</w:t>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Berhanu 2018</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44</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6</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12</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175</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0,79 [0,66, 0,88]</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0,97 [0,93, 0,99]</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Chen 2015</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126</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392</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1,00 [0,97, 1,00]</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0,99 [0,98, 1,00]</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Ciesielczuk 2020</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36</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3</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28</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0,92 [0,79, 0,98]</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0,93 [0,78, 0,99]</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Cobas 2020</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391</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6</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21</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326</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0,95 [0,92, 0,97]</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0,98 [0,96, 0,99]</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de Vos 2018</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322</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13</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105</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0,96 [0,93, 0,98]</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1,00 [0,97, 1,00]</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de Vos 2020</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231</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9</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21</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196</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0,92 [0,88, 0,95]</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0,96 [0,92, 0,98]</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de Vos 2020-FT</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294</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17</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27</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259</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0,92 [0,88, 0,94]</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0,94 [0,90, 0,96]</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de Vos 2020-FTMTBDR</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291</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7</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33</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270</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0,90 [0,86, 0,93]</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0,97 [0,95, 0,99]</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Eigner2013</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77</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21</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4</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559</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0,95 [0,88, 0,99]</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0,96 [0,95, 0,98]</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Gene 2018</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15</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108</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0,94 [0,70, 1,00]</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1,00 [0,97, 1,00]</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2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Haasis 2018</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64</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6</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271</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0,91 [0,82, 0,97]</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1,00 [0,98, 1,00]</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Hinic2017</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13</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3</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181</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0,93 [0,66, 1,00]</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0,98 [0,95, 1,00]</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3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3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Hofmann-Thiel 2014</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45</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17</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7</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902</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0,87 [0,74, 0,94]</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0,98 [0,97, 0,99]</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3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Hofmann-Thiel 2016</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201</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14</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391</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0,93 [0,89, 0,96]</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0,99 [0,98, 1,00]</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3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C1177C">
            <w:pPr>
              <w:rPr>
                <w:rFonts w:ascii="Calibri" w:hAnsi="Calibri" w:cs="Calibri"/>
                <w:sz w:val="14"/>
                <w:szCs w:val="14"/>
              </w:rPr>
            </w:pPr>
            <w:r>
              <w:rPr>
                <w:rFonts w:ascii="Calibri" w:hAnsi="Calibri"/>
                <w:color w:val="000000"/>
                <w:sz w:val="14"/>
              </w:rPr>
              <w:t>Hofmann-Thiel 2016-FT</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196</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19</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393</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0,91 [0,87, 0,95]</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1,00 [0,99, 1,00]</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3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3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Hofmann-Thiel 2020</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213</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33</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257</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0,87 [0,82, 0,91]</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1,00 [0,99, 1,00]</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3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4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Howlett 2020</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96</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8</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22</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299</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0,81 [0,73, 0,88]</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0,97 [0,95, 0,99]</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4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4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Luukinen 2020</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22</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131</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1,00 [0,85, 1,00]</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1,00 [0,97, 1,00]</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4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4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Obasanya 2017</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62</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91</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8</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135</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0,89 [0,79, 0,95]</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0,60 [0,53, 0,66]</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4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Paradis 2018</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274</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81</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13</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207</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0,95 [0,92, 0,98]</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0,72 [0,66, 0,77]</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4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4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Scott 2017</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53</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9</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121</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0,85 [0,74, 0,93]</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0,92 [0,86, 0,96]</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4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5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Shah 2019</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262</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17</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20</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593</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0,93 [0,89, 0,96]</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0,97 [0,96, 0,98]</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5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5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Shaheed 2020</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231</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7</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13</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15</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0,95 [0,91, 0,97]</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0,68 [0,45, 0,86]</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5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5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C1177C">
            <w:pPr>
              <w:rPr>
                <w:rFonts w:ascii="Calibri" w:hAnsi="Calibri" w:cs="Calibri"/>
                <w:sz w:val="14"/>
                <w:szCs w:val="14"/>
              </w:rPr>
            </w:pPr>
            <w:r>
              <w:rPr>
                <w:rFonts w:ascii="Calibri" w:hAnsi="Calibri"/>
                <w:color w:val="000000"/>
                <w:sz w:val="14"/>
              </w:rPr>
              <w:t>Shaheed 2020-FTMTBDR</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209</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38</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23</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0,85 [0,80, 0,89]</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1,00 [0,85, 1,00]</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5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5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Tarn 2017</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152</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27</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9</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422</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0,94 [0,90, 0,97]</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0,94 [0,91, 0,96]</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5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5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Tang 2015</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198</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11</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14</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348</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0,93 [0,89, 0,96]</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0,97 [0,95, 0,98]</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5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6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Vinuesa2016</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106</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21</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5</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125</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0,95 [0,90, 0,99]</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0,86 [0,79, 0,91]</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6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6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Vinuesa2018</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18</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7</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1384</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1,00 [0,81, 1,00]</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0,99 [0,99, 1,00]</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6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6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457AB2">
        <w:trPr>
          <w:trHeight w:val="20"/>
        </w:trPr>
        <w:tc>
          <w:tcPr>
            <w:tcW w:w="1733" w:type="dxa"/>
            <w:tcBorders>
              <w:top w:val="nil"/>
              <w:left w:val="nil"/>
              <w:bottom w:val="nil"/>
              <w:right w:val="nil"/>
            </w:tcBorders>
            <w:shd w:val="clear" w:color="auto" w:fill="FFFFFF"/>
          </w:tcPr>
          <w:p w:rsidR="00ED665B" w:rsidRPr="00C1177C" w:rsidRDefault="006C7D2F" w:rsidP="00DC2656">
            <w:pPr>
              <w:rPr>
                <w:rFonts w:ascii="Calibri" w:hAnsi="Calibri" w:cs="Calibri"/>
                <w:sz w:val="14"/>
                <w:szCs w:val="14"/>
              </w:rPr>
            </w:pPr>
            <w:r>
              <w:rPr>
                <w:rFonts w:ascii="Calibri" w:hAnsi="Calibri"/>
                <w:color w:val="000000"/>
                <w:sz w:val="14"/>
              </w:rPr>
              <w:t>Wang 2016</w:t>
            </w:r>
          </w:p>
        </w:tc>
        <w:tc>
          <w:tcPr>
            <w:tcW w:w="432"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159</w:t>
            </w:r>
          </w:p>
        </w:tc>
        <w:tc>
          <w:tcPr>
            <w:tcW w:w="28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15</w:t>
            </w:r>
          </w:p>
        </w:tc>
        <w:tc>
          <w:tcPr>
            <w:tcW w:w="30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w:t>
            </w:r>
          </w:p>
        </w:tc>
        <w:tc>
          <w:tcPr>
            <w:tcW w:w="437"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81</w:t>
            </w:r>
          </w:p>
        </w:tc>
        <w:tc>
          <w:tcPr>
            <w:tcW w:w="1304"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1,00 [0,98, 1,00]</w:t>
            </w:r>
          </w:p>
        </w:tc>
        <w:tc>
          <w:tcPr>
            <w:tcW w:w="1543" w:type="dxa"/>
            <w:tcBorders>
              <w:top w:val="nil"/>
              <w:left w:val="nil"/>
              <w:bottom w:val="nil"/>
              <w:right w:val="nil"/>
            </w:tcBorders>
            <w:shd w:val="clear" w:color="auto" w:fill="FFFFFF"/>
          </w:tcPr>
          <w:p w:rsidR="00ED665B" w:rsidRPr="00907702" w:rsidRDefault="006C7D2F" w:rsidP="00457AB2">
            <w:pPr>
              <w:jc w:val="right"/>
              <w:rPr>
                <w:rFonts w:ascii="Calibri" w:hAnsi="Calibri" w:cs="Calibri"/>
              </w:rPr>
            </w:pPr>
            <w:r>
              <w:rPr>
                <w:rFonts w:ascii="Calibri" w:hAnsi="Calibri"/>
                <w:color w:val="000000"/>
                <w:sz w:val="14"/>
              </w:rPr>
              <w:t>0,84 [0,76, 0,91]</w:t>
            </w:r>
          </w:p>
        </w:tc>
        <w:tc>
          <w:tcPr>
            <w:tcW w:w="157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254635"/>
                  <wp:effectExtent l="0" t="0" r="0" b="0"/>
                  <wp:docPr id="6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62025" cy="254635"/>
                          </a:xfrm>
                          <a:prstGeom prst="rect">
                            <a:avLst/>
                          </a:prstGeom>
                          <a:noFill/>
                          <a:ln>
                            <a:noFill/>
                          </a:ln>
                        </pic:spPr>
                      </pic:pic>
                    </a:graphicData>
                  </a:graphic>
                </wp:inline>
              </w:drawing>
            </w:r>
          </w:p>
        </w:tc>
        <w:tc>
          <w:tcPr>
            <w:tcW w:w="146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254635"/>
                  <wp:effectExtent l="0" t="0" r="0" b="0"/>
                  <wp:docPr id="6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62025" cy="254635"/>
                          </a:xfrm>
                          <a:prstGeom prst="rect">
                            <a:avLst/>
                          </a:prstGeom>
                          <a:noFill/>
                          <a:ln>
                            <a:noFill/>
                          </a:ln>
                        </pic:spPr>
                      </pic:pic>
                    </a:graphicData>
                  </a:graphic>
                </wp:inline>
              </w:drawing>
            </w:r>
          </w:p>
        </w:tc>
      </w:tr>
      <w:tr w:rsidR="00ED665B" w:rsidRPr="00FE7B24" w:rsidTr="00457AB2">
        <w:trPr>
          <w:trHeight w:val="20"/>
        </w:trPr>
        <w:tc>
          <w:tcPr>
            <w:tcW w:w="1733" w:type="dxa"/>
            <w:tcBorders>
              <w:top w:val="nil"/>
              <w:left w:val="nil"/>
              <w:bottom w:val="nil"/>
              <w:right w:val="nil"/>
            </w:tcBorders>
            <w:shd w:val="clear" w:color="auto" w:fill="FFFFFF"/>
          </w:tcPr>
          <w:p w:rsidR="00ED665B" w:rsidRPr="00FE7B24" w:rsidRDefault="00ED665B" w:rsidP="00DC2656">
            <w:pPr>
              <w:rPr>
                <w:rFonts w:ascii="Calibri" w:hAnsi="Calibri" w:cs="Calibri"/>
                <w:sz w:val="10"/>
              </w:rPr>
            </w:pPr>
          </w:p>
        </w:tc>
        <w:tc>
          <w:tcPr>
            <w:tcW w:w="432" w:type="dxa"/>
            <w:tcBorders>
              <w:top w:val="nil"/>
              <w:left w:val="nil"/>
              <w:bottom w:val="nil"/>
              <w:right w:val="nil"/>
            </w:tcBorders>
            <w:shd w:val="clear" w:color="auto" w:fill="FFFFFF"/>
          </w:tcPr>
          <w:p w:rsidR="00ED665B" w:rsidRPr="00FE7B24" w:rsidRDefault="00ED665B" w:rsidP="00DC2656">
            <w:pPr>
              <w:rPr>
                <w:rFonts w:ascii="Calibri" w:hAnsi="Calibri" w:cs="Calibri"/>
                <w:sz w:val="10"/>
              </w:rPr>
            </w:pPr>
          </w:p>
        </w:tc>
        <w:tc>
          <w:tcPr>
            <w:tcW w:w="283" w:type="dxa"/>
            <w:tcBorders>
              <w:top w:val="nil"/>
              <w:left w:val="nil"/>
              <w:bottom w:val="nil"/>
              <w:right w:val="nil"/>
            </w:tcBorders>
            <w:shd w:val="clear" w:color="auto" w:fill="FFFFFF"/>
          </w:tcPr>
          <w:p w:rsidR="00ED665B" w:rsidRPr="00FE7B24" w:rsidRDefault="00ED665B" w:rsidP="00DC2656">
            <w:pPr>
              <w:rPr>
                <w:rFonts w:ascii="Calibri" w:hAnsi="Calibri" w:cs="Calibri"/>
                <w:sz w:val="10"/>
              </w:rPr>
            </w:pPr>
          </w:p>
        </w:tc>
        <w:tc>
          <w:tcPr>
            <w:tcW w:w="307" w:type="dxa"/>
            <w:tcBorders>
              <w:top w:val="nil"/>
              <w:left w:val="nil"/>
              <w:bottom w:val="nil"/>
              <w:right w:val="nil"/>
            </w:tcBorders>
            <w:shd w:val="clear" w:color="auto" w:fill="FFFFFF"/>
          </w:tcPr>
          <w:p w:rsidR="00ED665B" w:rsidRPr="00FE7B24" w:rsidRDefault="00ED665B" w:rsidP="00DC2656">
            <w:pPr>
              <w:rPr>
                <w:rFonts w:ascii="Calibri" w:hAnsi="Calibri" w:cs="Calibri"/>
                <w:sz w:val="10"/>
              </w:rPr>
            </w:pPr>
          </w:p>
        </w:tc>
        <w:tc>
          <w:tcPr>
            <w:tcW w:w="437" w:type="dxa"/>
            <w:tcBorders>
              <w:top w:val="nil"/>
              <w:left w:val="nil"/>
              <w:bottom w:val="nil"/>
              <w:right w:val="nil"/>
            </w:tcBorders>
            <w:shd w:val="clear" w:color="auto" w:fill="FFFFFF"/>
          </w:tcPr>
          <w:p w:rsidR="00ED665B" w:rsidRPr="00FE7B24" w:rsidRDefault="00ED665B" w:rsidP="00DC2656">
            <w:pPr>
              <w:rPr>
                <w:rFonts w:ascii="Calibri" w:hAnsi="Calibri" w:cs="Calibri"/>
                <w:sz w:val="10"/>
              </w:rPr>
            </w:pPr>
          </w:p>
        </w:tc>
        <w:tc>
          <w:tcPr>
            <w:tcW w:w="1304" w:type="dxa"/>
            <w:tcBorders>
              <w:top w:val="nil"/>
              <w:left w:val="nil"/>
              <w:bottom w:val="nil"/>
              <w:right w:val="nil"/>
            </w:tcBorders>
            <w:shd w:val="clear" w:color="auto" w:fill="FFFFFF"/>
          </w:tcPr>
          <w:p w:rsidR="00ED665B" w:rsidRPr="00FE7B24" w:rsidRDefault="00ED665B" w:rsidP="00DC2656">
            <w:pPr>
              <w:rPr>
                <w:rFonts w:ascii="Calibri" w:hAnsi="Calibri" w:cs="Calibri"/>
                <w:sz w:val="10"/>
              </w:rPr>
            </w:pPr>
          </w:p>
        </w:tc>
        <w:tc>
          <w:tcPr>
            <w:tcW w:w="1543" w:type="dxa"/>
            <w:tcBorders>
              <w:top w:val="nil"/>
              <w:left w:val="nil"/>
              <w:bottom w:val="nil"/>
              <w:right w:val="nil"/>
            </w:tcBorders>
            <w:shd w:val="clear" w:color="auto" w:fill="FFFFFF"/>
          </w:tcPr>
          <w:p w:rsidR="00ED665B" w:rsidRPr="00FE7B24" w:rsidRDefault="00ED665B" w:rsidP="00DC2656">
            <w:pPr>
              <w:rPr>
                <w:rFonts w:ascii="Calibri" w:hAnsi="Calibri" w:cs="Calibri"/>
                <w:sz w:val="10"/>
              </w:rPr>
            </w:pPr>
          </w:p>
        </w:tc>
        <w:tc>
          <w:tcPr>
            <w:tcW w:w="1576" w:type="dxa"/>
            <w:tcBorders>
              <w:top w:val="nil"/>
              <w:left w:val="nil"/>
              <w:bottom w:val="nil"/>
              <w:right w:val="nil"/>
            </w:tcBorders>
            <w:shd w:val="clear" w:color="auto" w:fill="FFFFFF"/>
          </w:tcPr>
          <w:p w:rsidR="00ED665B" w:rsidRPr="00FE7B24" w:rsidRDefault="00ED665B" w:rsidP="00DC2656">
            <w:pPr>
              <w:rPr>
                <w:rFonts w:ascii="Calibri" w:hAnsi="Calibri" w:cs="Calibri"/>
                <w:sz w:val="10"/>
              </w:rPr>
            </w:pPr>
          </w:p>
        </w:tc>
        <w:tc>
          <w:tcPr>
            <w:tcW w:w="1467" w:type="dxa"/>
            <w:tcBorders>
              <w:top w:val="nil"/>
              <w:left w:val="nil"/>
              <w:bottom w:val="nil"/>
              <w:right w:val="nil"/>
            </w:tcBorders>
            <w:shd w:val="clear" w:color="auto" w:fill="FFFFFF"/>
          </w:tcPr>
          <w:p w:rsidR="00ED665B" w:rsidRPr="00FE7B24" w:rsidRDefault="00ED665B" w:rsidP="00DC2656">
            <w:pPr>
              <w:rPr>
                <w:rFonts w:ascii="Calibri" w:hAnsi="Calibri" w:cs="Calibri"/>
                <w:sz w:val="10"/>
              </w:rPr>
            </w:pPr>
          </w:p>
        </w:tc>
      </w:tr>
      <w:tr w:rsidR="00ED665B" w:rsidRPr="00907702" w:rsidTr="00457AB2">
        <w:trPr>
          <w:trHeight w:val="255"/>
        </w:trPr>
        <w:tc>
          <w:tcPr>
            <w:tcW w:w="9082" w:type="dxa"/>
            <w:gridSpan w:val="9"/>
            <w:tcBorders>
              <w:top w:val="nil"/>
              <w:left w:val="nil"/>
              <w:bottom w:val="nil"/>
              <w:right w:val="nil"/>
            </w:tcBorders>
            <w:shd w:val="clear" w:color="auto" w:fill="FFFFFF"/>
          </w:tcPr>
          <w:p w:rsidR="00ED665B" w:rsidRPr="00907702" w:rsidRDefault="006C7D2F" w:rsidP="00457AB2">
            <w:pPr>
              <w:spacing w:line="216" w:lineRule="auto"/>
              <w:jc w:val="both"/>
              <w:rPr>
                <w:rFonts w:ascii="Calibri" w:hAnsi="Calibri" w:cs="Calibri"/>
              </w:rPr>
            </w:pPr>
            <w:r>
              <w:rPr>
                <w:rFonts w:ascii="Calibri" w:hAnsi="Calibri"/>
                <w:color w:val="000000"/>
                <w:sz w:val="16"/>
              </w:rPr>
              <w:t>ДІ: довірчий інтервал; ХН: хибнонегативний; ХП: хибнопозитивний; ТБ: туберкульоз; ІН: істинно негативний; ІП: істинно позитивний.</w:t>
            </w:r>
          </w:p>
        </w:tc>
      </w:tr>
    </w:tbl>
    <w:p w:rsidR="00ED665B" w:rsidRPr="00907702" w:rsidRDefault="006C7D2F" w:rsidP="00FE7B24">
      <w:pPr>
        <w:spacing w:before="240" w:line="216" w:lineRule="auto"/>
        <w:ind w:right="24"/>
        <w:jc w:val="both"/>
        <w:rPr>
          <w:rFonts w:ascii="Calibri" w:hAnsi="Calibri" w:cs="Calibri"/>
        </w:rPr>
      </w:pPr>
      <w:r>
        <w:rPr>
          <w:rFonts w:ascii="Calibri" w:hAnsi="Calibri"/>
          <w:color w:val="000000"/>
          <w:sz w:val="22"/>
        </w:rPr>
        <w:t xml:space="preserve">Загальна чутливість у цих 29 дослідженнях коливалась від 79% до 100%, а специфічність – від 60% до 100%. </w:t>
      </w:r>
      <w:r w:rsidRPr="00FE7B24">
        <w:rPr>
          <w:rFonts w:ascii="Calibri" w:hAnsi="Calibri"/>
          <w:b/>
          <w:color w:val="000000"/>
          <w:sz w:val="22"/>
        </w:rPr>
        <w:t>Об’єднана чутливість становила 93,0% (95% ДІ: 90,9–94,7%), а сукупна специфічність – 97,7% (95% ДІ: 95,6-98,8%).</w:t>
      </w:r>
    </w:p>
    <w:p w:rsidR="00ED665B" w:rsidRPr="00C1177C" w:rsidRDefault="006C7D2F" w:rsidP="00FE7B24">
      <w:pPr>
        <w:spacing w:before="274" w:line="216" w:lineRule="auto"/>
        <w:ind w:left="993" w:hanging="993"/>
        <w:rPr>
          <w:rFonts w:ascii="Calibri" w:hAnsi="Calibri" w:cs="Calibri"/>
          <w:b/>
          <w:bCs/>
        </w:rPr>
      </w:pPr>
      <w:r>
        <w:rPr>
          <w:rFonts w:ascii="Calibri" w:hAnsi="Calibri"/>
          <w:b/>
          <w:color w:val="000000"/>
          <w:sz w:val="24"/>
        </w:rPr>
        <w:t xml:space="preserve">PICO 2: </w:t>
      </w:r>
      <w:r>
        <w:rPr>
          <w:rFonts w:ascii="Calibri" w:hAnsi="Calibri"/>
          <w:b/>
          <w:color w:val="000000"/>
          <w:sz w:val="24"/>
        </w:rPr>
        <w:tab/>
        <w:t>Чи слід використовувати автоматизовані ТАНК помірної складності у дихальних пробах у людей з ознаками та симптомами легеневого туберкульозу для виявлення резистентності до рифампіцину, та які його переваги порівняно з фенотипічним ТМЧ на основі культурального посіву?</w:t>
      </w:r>
    </w:p>
    <w:p w:rsidR="00ED665B" w:rsidRPr="00907702" w:rsidRDefault="006C7D2F" w:rsidP="00FE7B24">
      <w:pPr>
        <w:spacing w:before="178" w:line="216" w:lineRule="auto"/>
        <w:ind w:right="24"/>
        <w:jc w:val="both"/>
        <w:rPr>
          <w:rFonts w:ascii="Calibri" w:hAnsi="Calibri" w:cs="Calibri"/>
        </w:rPr>
      </w:pPr>
      <w:r>
        <w:rPr>
          <w:rFonts w:ascii="Calibri" w:hAnsi="Calibri"/>
          <w:color w:val="000000"/>
          <w:sz w:val="22"/>
        </w:rPr>
        <w:t>Всього 2874 зразків, що використовувались у 18 дослідженнях надали дані для тестування на резистентність рифампіцину з використанням автоматизованих NAAT (</w:t>
      </w:r>
      <w:r>
        <w:rPr>
          <w:rFonts w:ascii="Calibri" w:hAnsi="Calibri"/>
          <w:color w:val="1B61AF"/>
          <w:sz w:val="22"/>
        </w:rPr>
        <w:t>Рис. 2.1.5</w:t>
      </w:r>
      <w:r>
        <w:rPr>
          <w:rFonts w:ascii="Calibri" w:hAnsi="Calibri"/>
          <w:color w:val="000000"/>
          <w:sz w:val="22"/>
        </w:rPr>
        <w:t>). З цих 18 досліджень 9 було проведено із використанням тесту Abbott RealTime RIF/INH, три – за методом FluoroType MTBDR, чотири – за методом BD MAX і два – із використанням тесту cobas RIF/INH. Референс стандартом для кожного з цих досліджень, метою яких було виявлення резистентності, був фенотипічний ТМЧ з використанням складеного референс стандарту з фенотипічним ТМЧ та результатами секвенування.</w:t>
      </w:r>
    </w:p>
    <w:p w:rsidR="00ED665B" w:rsidRPr="00907702" w:rsidRDefault="006C7D2F" w:rsidP="00FE7B24">
      <w:pPr>
        <w:spacing w:before="163" w:line="216" w:lineRule="auto"/>
        <w:ind w:right="34"/>
        <w:jc w:val="both"/>
        <w:rPr>
          <w:rFonts w:ascii="Calibri" w:hAnsi="Calibri" w:cs="Calibri"/>
        </w:rPr>
      </w:pPr>
      <w:r>
        <w:rPr>
          <w:rFonts w:ascii="Calibri" w:hAnsi="Calibri"/>
          <w:color w:val="000000"/>
          <w:sz w:val="22"/>
        </w:rPr>
        <w:t>Вісім (44%) з 18 досліджень мали високий або незрозумілий ризик упередженості, оскільки не повідомлялось про метод відбору учасників або випробовувались зразки до включення до дослідження.</w:t>
      </w:r>
    </w:p>
    <w:p w:rsidR="00ED665B" w:rsidRPr="00907702" w:rsidRDefault="00ED665B" w:rsidP="00DC2656">
      <w:pPr>
        <w:spacing w:before="163"/>
        <w:ind w:right="34"/>
        <w:jc w:val="both"/>
        <w:rPr>
          <w:rFonts w:ascii="Calibri" w:hAnsi="Calibri" w:cs="Calibri"/>
        </w:rPr>
        <w:sectPr w:rsidR="00ED665B" w:rsidRPr="00907702" w:rsidSect="00FE7B24">
          <w:pgSz w:w="11904" w:h="16838"/>
          <w:pgMar w:top="1378" w:right="1392" w:bottom="567" w:left="1416" w:header="720" w:footer="720" w:gutter="0"/>
          <w:cols w:space="60"/>
          <w:noEndnote/>
        </w:sectPr>
      </w:pPr>
    </w:p>
    <w:p w:rsidR="00ED665B" w:rsidRPr="00FE7B24" w:rsidRDefault="006C7D2F" w:rsidP="00DC2656">
      <w:pPr>
        <w:ind w:right="499"/>
        <w:rPr>
          <w:rFonts w:ascii="Calibri" w:hAnsi="Calibri" w:cs="Calibri"/>
          <w:b/>
        </w:rPr>
      </w:pPr>
      <w:r w:rsidRPr="00FE7B24">
        <w:rPr>
          <w:rFonts w:ascii="Calibri" w:hAnsi="Calibri"/>
          <w:b/>
          <w:color w:val="636466"/>
          <w:sz w:val="24"/>
        </w:rPr>
        <w:lastRenderedPageBreak/>
        <w:t>Рис. 2.1.9. Форест-діаграма включених досліджень, присвячених виявленню резистентності до рифампіцину, з використанням фенотипічного ТМЧ як референс стандарту</w:t>
      </w:r>
    </w:p>
    <w:p w:rsidR="00ED665B" w:rsidRPr="00907702" w:rsidRDefault="00ED665B" w:rsidP="00DC2656">
      <w:pPr>
        <w:spacing w:after="288"/>
        <w:rPr>
          <w:rFonts w:ascii="Calibri" w:hAnsi="Calibri" w:cs="Calibri"/>
          <w:sz w:val="2"/>
          <w:szCs w:val="2"/>
        </w:rPr>
      </w:pPr>
    </w:p>
    <w:tbl>
      <w:tblPr>
        <w:tblW w:w="9043" w:type="dxa"/>
        <w:tblInd w:w="40" w:type="dxa"/>
        <w:tblLayout w:type="fixed"/>
        <w:tblCellMar>
          <w:left w:w="40" w:type="dxa"/>
          <w:right w:w="40" w:type="dxa"/>
        </w:tblCellMar>
        <w:tblLook w:val="0000" w:firstRow="0" w:lastRow="0" w:firstColumn="0" w:lastColumn="0" w:noHBand="0" w:noVBand="0"/>
      </w:tblPr>
      <w:tblGrid>
        <w:gridCol w:w="1766"/>
        <w:gridCol w:w="442"/>
        <w:gridCol w:w="288"/>
        <w:gridCol w:w="269"/>
        <w:gridCol w:w="324"/>
        <w:gridCol w:w="1276"/>
        <w:gridCol w:w="1559"/>
        <w:gridCol w:w="1655"/>
        <w:gridCol w:w="1464"/>
      </w:tblGrid>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b/>
                <w:color w:val="000000"/>
                <w:sz w:val="14"/>
              </w:rPr>
              <w:t>Дослідження</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4"/>
              </w:rPr>
              <w:t>ІП</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ХП</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ХН</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ІН</w:t>
            </w:r>
          </w:p>
        </w:tc>
        <w:tc>
          <w:tcPr>
            <w:tcW w:w="1276" w:type="dxa"/>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Чутливість (95 % ДІ)</w:t>
            </w:r>
          </w:p>
        </w:tc>
        <w:tc>
          <w:tcPr>
            <w:tcW w:w="1559" w:type="dxa"/>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Специфічність (95 % ДІ)</w:t>
            </w:r>
          </w:p>
        </w:tc>
        <w:tc>
          <w:tcPr>
            <w:tcW w:w="1655" w:type="dxa"/>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Чутливість (95 % ДІ)</w:t>
            </w:r>
          </w:p>
        </w:tc>
        <w:tc>
          <w:tcPr>
            <w:tcW w:w="1464" w:type="dxa"/>
            <w:shd w:val="clear" w:color="auto" w:fill="FFFFFF"/>
          </w:tcPr>
          <w:p w:rsidR="00ED665B" w:rsidRPr="00907702" w:rsidRDefault="006C7D2F" w:rsidP="00BD40D2">
            <w:pPr>
              <w:ind w:left="-57" w:right="-57"/>
              <w:jc w:val="center"/>
              <w:rPr>
                <w:rFonts w:ascii="Calibri" w:hAnsi="Calibri" w:cs="Calibri"/>
              </w:rPr>
            </w:pPr>
            <w:r>
              <w:rPr>
                <w:rFonts w:ascii="Calibri" w:hAnsi="Calibri"/>
                <w:b/>
                <w:color w:val="000000"/>
                <w:sz w:val="14"/>
              </w:rPr>
              <w:t>Специфічність (95 % ДІ)</w:t>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Berhanu 2018</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2</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42</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[0,16, 1,00]</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[0,92,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27000"/>
                  <wp:effectExtent l="0" t="0" r="0" b="0"/>
                  <wp:docPr id="6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93775" cy="127000"/>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27000"/>
                  <wp:effectExtent l="0" t="0" r="0" b="0"/>
                  <wp:docPr id="6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30275" cy="127000"/>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Ciesielczuk 2020</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33</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Оцінка відсутня</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0,97 [0,85,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6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7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de Vos2020</w:t>
            </w:r>
          </w:p>
        </w:tc>
        <w:tc>
          <w:tcPr>
            <w:tcW w:w="442"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115</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14</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11</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367</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0,91 [0,85, 0,96]</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0,96 [0,94, 0,98]</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27000"/>
                  <wp:effectExtent l="0" t="0" r="0" b="0"/>
                  <wp:docPr id="7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93775" cy="127000"/>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27000"/>
                  <wp:effectExtent l="0" t="0" r="0" b="0"/>
                  <wp:docPr id="7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30275" cy="127000"/>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Haasis 2018</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28</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22</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0,97 [0,82, 1,00]</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[0,85,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7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7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Hillemann 2018</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87</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92</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0,99 [0,94, 1,00]</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[0,96,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7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7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Hofmann-Thiel 2020</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3</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3</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163</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[0,29, 1,00]</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0,98 [0,95,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7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7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Hofmann-Thiel 2016</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164</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[0,69, 1,00]</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[0,98,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7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8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Hofmann-Thiel 2018</w:t>
            </w:r>
          </w:p>
        </w:tc>
        <w:tc>
          <w:tcPr>
            <w:tcW w:w="442"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109</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3</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10</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185</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0,92 [0,85, 0,96]</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0,98 [0,95,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8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8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Howlett 2020</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7</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57</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[0,59, 1,00]</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0,98 [0,91,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8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8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Kostera 2016</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91</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5</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120</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0,95 [0,88, 0,98]</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[0,97,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8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8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Kostera 2018</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28</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4</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90</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0,88 [0,71, 0,96]</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[0,96,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8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8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Luukinen 2020</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18</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Оцінка відсутня</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[0,81,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8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9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Paradis 2018</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30</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3</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206</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[0,88, 1,00]</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0,99 [0,96,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9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9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Scott 2020</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6</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79</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[0,54, 1,00]</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[0,95,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9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9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Shah 2019</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9</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11</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211</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0,90 [0,55, 1,00]</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0,95 [0,91, 0,98]</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9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9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Shaheed 2020</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75</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3</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132</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0,99 [0,93, 1,00]</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0,98 [0,94,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9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9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C1177C">
            <w:pPr>
              <w:rPr>
                <w:rFonts w:ascii="Calibri" w:hAnsi="Calibri" w:cs="Calibri"/>
              </w:rPr>
            </w:pPr>
            <w:r>
              <w:rPr>
                <w:rFonts w:ascii="Calibri" w:hAnsi="Calibri"/>
                <w:color w:val="000000"/>
                <w:sz w:val="14"/>
              </w:rPr>
              <w:t>Shaheed 2020-FTMTBDR</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51</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5</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104</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[0,93, 1,00]</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0,95 [0,90, 0,98]</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9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10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r>
      <w:tr w:rsidR="00ED665B" w:rsidRPr="00907702" w:rsidTr="00BD40D2">
        <w:trPr>
          <w:trHeight w:val="20"/>
        </w:trPr>
        <w:tc>
          <w:tcPr>
            <w:tcW w:w="1766" w:type="dxa"/>
            <w:shd w:val="clear" w:color="auto" w:fill="FFFFFF"/>
          </w:tcPr>
          <w:p w:rsidR="00ED665B" w:rsidRPr="00907702" w:rsidRDefault="006C7D2F" w:rsidP="00DC2656">
            <w:pPr>
              <w:rPr>
                <w:rFonts w:ascii="Calibri" w:hAnsi="Calibri" w:cs="Calibri"/>
              </w:rPr>
            </w:pPr>
            <w:r>
              <w:rPr>
                <w:rFonts w:ascii="Calibri" w:hAnsi="Calibri"/>
                <w:color w:val="000000"/>
                <w:sz w:val="14"/>
              </w:rPr>
              <w:t>Tam 2017</w:t>
            </w:r>
          </w:p>
        </w:tc>
        <w:tc>
          <w:tcPr>
            <w:tcW w:w="442"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17</w:t>
            </w:r>
          </w:p>
        </w:tc>
        <w:tc>
          <w:tcPr>
            <w:tcW w:w="288"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69"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24" w:type="dxa"/>
            <w:shd w:val="clear" w:color="auto" w:fill="FFFFFF"/>
          </w:tcPr>
          <w:p w:rsidR="00ED665B" w:rsidRPr="00907702" w:rsidRDefault="006C7D2F" w:rsidP="00DC2656">
            <w:pPr>
              <w:jc w:val="center"/>
              <w:rPr>
                <w:rFonts w:ascii="Calibri" w:hAnsi="Calibri" w:cs="Calibri"/>
              </w:rPr>
            </w:pPr>
            <w:r>
              <w:rPr>
                <w:rFonts w:ascii="Calibri" w:hAnsi="Calibri"/>
                <w:color w:val="000000"/>
                <w:sz w:val="14"/>
              </w:rPr>
              <w:t>95</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[0,80, 1,00]</w:t>
            </w:r>
          </w:p>
        </w:tc>
        <w:tc>
          <w:tcPr>
            <w:tcW w:w="1559" w:type="dxa"/>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[0,96, 1,00]</w:t>
            </w:r>
          </w:p>
        </w:tc>
        <w:tc>
          <w:tcPr>
            <w:tcW w:w="1655"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270510"/>
                  <wp:effectExtent l="0" t="0" r="0" b="0"/>
                  <wp:docPr id="10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93775" cy="270510"/>
                          </a:xfrm>
                          <a:prstGeom prst="rect">
                            <a:avLst/>
                          </a:prstGeom>
                          <a:noFill/>
                          <a:ln>
                            <a:noFill/>
                          </a:ln>
                        </pic:spPr>
                      </pic:pic>
                    </a:graphicData>
                  </a:graphic>
                </wp:inline>
              </w:drawing>
            </w:r>
          </w:p>
        </w:tc>
        <w:tc>
          <w:tcPr>
            <w:tcW w:w="1464"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270510"/>
                  <wp:effectExtent l="0" t="0" r="0" b="0"/>
                  <wp:docPr id="10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30275" cy="270510"/>
                          </a:xfrm>
                          <a:prstGeom prst="rect">
                            <a:avLst/>
                          </a:prstGeom>
                          <a:noFill/>
                          <a:ln>
                            <a:noFill/>
                          </a:ln>
                        </pic:spPr>
                      </pic:pic>
                    </a:graphicData>
                  </a:graphic>
                </wp:inline>
              </w:drawing>
            </w:r>
          </w:p>
        </w:tc>
      </w:tr>
    </w:tbl>
    <w:p w:rsidR="00ED665B" w:rsidRPr="00907702" w:rsidRDefault="006C7D2F" w:rsidP="00DC2656">
      <w:pPr>
        <w:spacing w:before="72"/>
        <w:ind w:right="5"/>
        <w:jc w:val="both"/>
        <w:rPr>
          <w:rFonts w:ascii="Calibri" w:hAnsi="Calibri" w:cs="Calibri"/>
        </w:rPr>
      </w:pPr>
      <w:r>
        <w:rPr>
          <w:rFonts w:ascii="Calibri" w:hAnsi="Calibri"/>
          <w:color w:val="000000"/>
          <w:sz w:val="16"/>
        </w:rPr>
        <w:t>ДІ: довірчий інтервал; ТМЧ: тест медикаментозної чутливості; ХН: хибнонегативний; ХП: хибнопозитивний; ТБ: туберкульоз; ІН: істинно негативний; ІП: істинно позитивний.</w:t>
      </w:r>
    </w:p>
    <w:p w:rsidR="00ED665B" w:rsidRPr="00907702" w:rsidRDefault="006C7D2F" w:rsidP="00DC2656">
      <w:pPr>
        <w:spacing w:before="245"/>
        <w:ind w:right="5"/>
        <w:jc w:val="both"/>
        <w:rPr>
          <w:rFonts w:ascii="Calibri" w:hAnsi="Calibri" w:cs="Calibri"/>
        </w:rPr>
      </w:pPr>
      <w:r>
        <w:rPr>
          <w:rFonts w:ascii="Calibri" w:hAnsi="Calibri"/>
          <w:color w:val="000000"/>
          <w:sz w:val="22"/>
        </w:rPr>
        <w:t>Загальна чутливість щодо резистентності до рифампіцину у цих 18 дослідженнях коливалась від 88% до 100%, а специфічність – від 98% до 100%. Об’єднана чутливість становила 96,7% (95% ДІ: 93,1-98,4%), а сукупна специфічність – 98,9% (95% ДІ: 97,5-99,5%).</w:t>
      </w:r>
    </w:p>
    <w:p w:rsidR="00ED665B" w:rsidRPr="00907702" w:rsidRDefault="006C7D2F" w:rsidP="00DC2656">
      <w:pPr>
        <w:spacing w:before="168"/>
        <w:ind w:right="5"/>
        <w:jc w:val="both"/>
        <w:rPr>
          <w:rFonts w:ascii="Calibri" w:hAnsi="Calibri" w:cs="Calibri"/>
        </w:rPr>
      </w:pPr>
      <w:r>
        <w:rPr>
          <w:rFonts w:ascii="Calibri" w:hAnsi="Calibri"/>
          <w:color w:val="000000"/>
          <w:sz w:val="22"/>
        </w:rPr>
        <w:t>За можливості, при визначенні резистентності до рифампіцину були отримані результати генетичного секвенування (генотипічний ТМЧ) і було розроблено складений референс стандарт, який поєднував результати фенотипічного та генотипічного ТМЧ. Для діагностики резистентності до рифампіцину точність діагностичного тесту автоматизованих ТАНК помірної складності була подібною для фенотипічного ТМЧ та складеного референс стандарту.</w:t>
      </w:r>
    </w:p>
    <w:p w:rsidR="00ED665B" w:rsidRPr="00C1177C" w:rsidRDefault="006C7D2F" w:rsidP="00DC2656">
      <w:pPr>
        <w:spacing w:before="274"/>
        <w:ind w:left="859" w:hanging="859"/>
        <w:rPr>
          <w:rFonts w:ascii="Calibri" w:hAnsi="Calibri" w:cs="Calibri"/>
          <w:b/>
          <w:bCs/>
        </w:rPr>
      </w:pPr>
      <w:r>
        <w:rPr>
          <w:rFonts w:ascii="Calibri" w:hAnsi="Calibri"/>
          <w:b/>
          <w:color w:val="000000"/>
          <w:sz w:val="24"/>
        </w:rPr>
        <w:t xml:space="preserve">PICO 3: </w:t>
      </w:r>
      <w:r>
        <w:rPr>
          <w:rFonts w:ascii="Calibri" w:hAnsi="Calibri"/>
          <w:b/>
          <w:color w:val="000000"/>
          <w:sz w:val="24"/>
        </w:rPr>
        <w:tab/>
        <w:t>Чи слід використовувати автоматизовані ТАНК помірної складності у дихальних пробах у людей з ознаками та симптомами легеневого туберкульозу для виявлення резистентності до ізоніазиду, та які його переваги порівняно з фенотипічним ТМЧ на основі культурального посіву?</w:t>
      </w:r>
    </w:p>
    <w:p w:rsidR="00ED665B" w:rsidRPr="00907702" w:rsidRDefault="006C7D2F" w:rsidP="00DC2656">
      <w:pPr>
        <w:spacing w:before="182"/>
        <w:jc w:val="both"/>
        <w:rPr>
          <w:rFonts w:ascii="Calibri" w:hAnsi="Calibri" w:cs="Calibri"/>
        </w:rPr>
      </w:pPr>
      <w:r>
        <w:rPr>
          <w:rFonts w:ascii="Calibri" w:hAnsi="Calibri"/>
          <w:color w:val="000000"/>
          <w:sz w:val="22"/>
        </w:rPr>
        <w:t>Всього 1758 зразків, що використовувались у 18 дослідженнях надали дані для тестування на резистентність до ізоніазиду з використанням автоматизованих NAAT (</w:t>
      </w:r>
      <w:r>
        <w:rPr>
          <w:rFonts w:ascii="Calibri" w:hAnsi="Calibri"/>
          <w:color w:val="1B61AF"/>
          <w:sz w:val="22"/>
        </w:rPr>
        <w:t>Рис. 2.1.6</w:t>
      </w:r>
      <w:r>
        <w:rPr>
          <w:rFonts w:ascii="Calibri" w:hAnsi="Calibri"/>
          <w:color w:val="000000"/>
          <w:sz w:val="22"/>
        </w:rPr>
        <w:t>). З цих 18 досліджень 9 було проведено із використанням тесту Abbott RealTime RIF/INH, три – за методом FluoroType MTBDR, чотири – за методом BD MAX і два – із використанням тесту cobas MTB-RIF/INH. Референс стандартом для кожного з цих досліджень, метою яких було виявлення резистентності, був фенотипічний ТМЧ та складений референс стандарт з фенотипічним ТМЧ та результатами секвенування.</w:t>
      </w:r>
    </w:p>
    <w:p w:rsidR="00ED665B" w:rsidRPr="00907702" w:rsidRDefault="006C7D2F" w:rsidP="00DC2656">
      <w:pPr>
        <w:spacing w:before="163"/>
        <w:ind w:right="5"/>
        <w:jc w:val="both"/>
        <w:rPr>
          <w:rFonts w:ascii="Calibri" w:hAnsi="Calibri" w:cs="Calibri"/>
        </w:rPr>
      </w:pPr>
      <w:r>
        <w:rPr>
          <w:rFonts w:ascii="Calibri" w:hAnsi="Calibri"/>
          <w:color w:val="000000"/>
          <w:sz w:val="22"/>
        </w:rPr>
        <w:t>Вісім (44%) з 18 досліджень мали високий або неясний ризик упередженості, оскільки не повідомлялося про вибір учасників або попередні випробування були зроблені на включених зразках.</w:t>
      </w:r>
    </w:p>
    <w:p w:rsidR="00ED665B" w:rsidRPr="00907702" w:rsidRDefault="00ED665B" w:rsidP="00DC2656">
      <w:pPr>
        <w:spacing w:before="163"/>
        <w:ind w:right="5"/>
        <w:jc w:val="both"/>
        <w:rPr>
          <w:rFonts w:ascii="Calibri" w:hAnsi="Calibri" w:cs="Calibri"/>
        </w:rPr>
        <w:sectPr w:rsidR="00ED665B" w:rsidRPr="00907702" w:rsidSect="00BD40D2">
          <w:pgSz w:w="11904" w:h="16838"/>
          <w:pgMar w:top="1378" w:right="1411" w:bottom="142" w:left="1416" w:header="720" w:footer="720" w:gutter="0"/>
          <w:cols w:space="60"/>
          <w:noEndnote/>
        </w:sectPr>
      </w:pPr>
    </w:p>
    <w:p w:rsidR="00ED665B" w:rsidRPr="00C1177C" w:rsidRDefault="006C7D2F" w:rsidP="00BD40D2">
      <w:pPr>
        <w:spacing w:line="216" w:lineRule="auto"/>
        <w:ind w:right="499"/>
        <w:rPr>
          <w:rFonts w:ascii="Calibri" w:hAnsi="Calibri" w:cs="Calibri"/>
          <w:b/>
          <w:bCs/>
        </w:rPr>
      </w:pPr>
      <w:r>
        <w:rPr>
          <w:rFonts w:ascii="Calibri" w:hAnsi="Calibri"/>
          <w:b/>
          <w:color w:val="636466"/>
          <w:sz w:val="24"/>
        </w:rPr>
        <w:lastRenderedPageBreak/>
        <w:t>Рис. 2.1.10. Форест-діаграма включених досліджень, присвячених виявленню резистентності до ізоніазиду, з використанням фенотипічного ТМЧ як референс стандарту</w:t>
      </w:r>
    </w:p>
    <w:p w:rsidR="00ED665B" w:rsidRPr="00907702" w:rsidRDefault="00ED665B" w:rsidP="00BD40D2">
      <w:pPr>
        <w:spacing w:after="120"/>
        <w:rPr>
          <w:rFonts w:ascii="Calibri" w:hAnsi="Calibri" w:cs="Calibri"/>
          <w:sz w:val="2"/>
          <w:szCs w:val="2"/>
        </w:rPr>
      </w:pPr>
    </w:p>
    <w:tbl>
      <w:tblPr>
        <w:tblW w:w="9172" w:type="dxa"/>
        <w:tblInd w:w="40" w:type="dxa"/>
        <w:tblLayout w:type="fixed"/>
        <w:tblCellMar>
          <w:left w:w="40" w:type="dxa"/>
          <w:right w:w="40" w:type="dxa"/>
        </w:tblCellMar>
        <w:tblLook w:val="0000" w:firstRow="0" w:lastRow="0" w:firstColumn="0" w:lastColumn="0" w:noHBand="0" w:noVBand="0"/>
      </w:tblPr>
      <w:tblGrid>
        <w:gridCol w:w="1378"/>
        <w:gridCol w:w="283"/>
        <w:gridCol w:w="284"/>
        <w:gridCol w:w="283"/>
        <w:gridCol w:w="284"/>
        <w:gridCol w:w="1276"/>
        <w:gridCol w:w="1134"/>
        <w:gridCol w:w="1390"/>
        <w:gridCol w:w="1487"/>
        <w:gridCol w:w="1373"/>
      </w:tblGrid>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Дослідження</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ІП</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ХП</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ХН</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ІН</w:t>
            </w:r>
          </w:p>
        </w:tc>
        <w:tc>
          <w:tcPr>
            <w:tcW w:w="1276" w:type="dxa"/>
            <w:shd w:val="clear" w:color="auto" w:fill="FFFFFF"/>
          </w:tcPr>
          <w:p w:rsidR="00ED665B" w:rsidRPr="00907702" w:rsidRDefault="006C7D2F" w:rsidP="00DC2656">
            <w:pPr>
              <w:jc w:val="center"/>
              <w:rPr>
                <w:rFonts w:ascii="Calibri" w:hAnsi="Calibri" w:cs="Calibri"/>
              </w:rPr>
            </w:pPr>
            <w:r>
              <w:rPr>
                <w:rFonts w:ascii="Calibri" w:hAnsi="Calibri"/>
                <w:b/>
                <w:color w:val="000000"/>
                <w:sz w:val="12"/>
              </w:rPr>
              <w:t>%РИФ-резистентності</w:t>
            </w:r>
          </w:p>
        </w:tc>
        <w:tc>
          <w:tcPr>
            <w:tcW w:w="1134" w:type="dxa"/>
            <w:shd w:val="clear" w:color="auto" w:fill="FFFFFF"/>
          </w:tcPr>
          <w:p w:rsidR="00ED665B" w:rsidRPr="00907702" w:rsidRDefault="006C7D2F" w:rsidP="00DC2656">
            <w:pPr>
              <w:jc w:val="center"/>
              <w:rPr>
                <w:rFonts w:ascii="Calibri" w:hAnsi="Calibri" w:cs="Calibri"/>
              </w:rPr>
            </w:pPr>
            <w:r>
              <w:rPr>
                <w:rFonts w:ascii="Calibri" w:hAnsi="Calibri"/>
                <w:b/>
                <w:color w:val="000000"/>
                <w:sz w:val="12"/>
              </w:rPr>
              <w:t>Чутливість (95 % ДІ)</w:t>
            </w:r>
          </w:p>
        </w:tc>
        <w:tc>
          <w:tcPr>
            <w:tcW w:w="1390" w:type="dxa"/>
            <w:shd w:val="clear" w:color="auto" w:fill="FFFFFF"/>
          </w:tcPr>
          <w:p w:rsidR="00ED665B" w:rsidRPr="00907702" w:rsidRDefault="006C7D2F" w:rsidP="00DC2656">
            <w:pPr>
              <w:jc w:val="center"/>
              <w:rPr>
                <w:rFonts w:ascii="Calibri" w:hAnsi="Calibri" w:cs="Calibri"/>
              </w:rPr>
            </w:pPr>
            <w:r>
              <w:rPr>
                <w:rFonts w:ascii="Calibri" w:hAnsi="Calibri"/>
                <w:b/>
                <w:color w:val="000000"/>
                <w:sz w:val="12"/>
              </w:rPr>
              <w:t>Специфічність (95 % ДІ)</w:t>
            </w:r>
          </w:p>
        </w:tc>
        <w:tc>
          <w:tcPr>
            <w:tcW w:w="1487" w:type="dxa"/>
            <w:shd w:val="clear" w:color="auto" w:fill="FFFFFF"/>
          </w:tcPr>
          <w:p w:rsidR="00ED665B" w:rsidRPr="00907702" w:rsidRDefault="006C7D2F" w:rsidP="00DC2656">
            <w:pPr>
              <w:jc w:val="center"/>
              <w:rPr>
                <w:rFonts w:ascii="Calibri" w:hAnsi="Calibri" w:cs="Calibri"/>
              </w:rPr>
            </w:pPr>
            <w:r>
              <w:rPr>
                <w:rFonts w:ascii="Calibri" w:hAnsi="Calibri"/>
                <w:b/>
                <w:color w:val="000000"/>
                <w:sz w:val="12"/>
              </w:rPr>
              <w:t>Чутливість (95 % ДІ)</w:t>
            </w:r>
          </w:p>
        </w:tc>
        <w:tc>
          <w:tcPr>
            <w:tcW w:w="1373" w:type="dxa"/>
            <w:shd w:val="clear" w:color="auto" w:fill="FFFFFF"/>
          </w:tcPr>
          <w:p w:rsidR="00ED665B" w:rsidRPr="00907702" w:rsidRDefault="006C7D2F" w:rsidP="00DC2656">
            <w:pPr>
              <w:rPr>
                <w:rFonts w:ascii="Calibri" w:hAnsi="Calibri" w:cs="Calibri"/>
              </w:rPr>
            </w:pPr>
            <w:r>
              <w:rPr>
                <w:rFonts w:ascii="Calibri" w:hAnsi="Calibri"/>
                <w:b/>
                <w:color w:val="000000"/>
                <w:sz w:val="12"/>
              </w:rPr>
              <w:t>Специфічність (95 % ДІ)</w:t>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Haasis 2018</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14</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6</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21</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56,85</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0,70 [0,46, 0,88]</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[0,84,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111125"/>
                  <wp:effectExtent l="0" t="0" r="0" b="0"/>
                  <wp:docPr id="10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111125"/>
                  <wp:effectExtent l="0" t="0" r="0" b="0"/>
                  <wp:docPr id="10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Hillemann 2018</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77</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7</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92</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48,89</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0,92 [0,84, 0,97]</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[0,96,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95250"/>
                  <wp:effectExtent l="0" t="0" r="0" b="0"/>
                  <wp:docPr id="10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95250"/>
                  <wp:effectExtent l="0" t="0" r="0" b="0"/>
                  <wp:docPr id="10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Kostera 2016</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83</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7</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11</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116</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44,44</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0,88 [0,80, 0,94]</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0,94 [0,89, 0,98]</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111125"/>
                  <wp:effectExtent l="0" t="0" r="0" b="0"/>
                  <wp:docPr id="10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111125"/>
                  <wp:effectExtent l="0" t="0" r="0" b="0"/>
                  <wp:docPr id="10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Hofmann-Thiel 2018</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163</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18</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129</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38,76</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0,90 [0,85, 0,94]</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0,99 [0,96,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95250"/>
                  <wp:effectExtent l="0" t="0" r="0" b="0"/>
                  <wp:docPr id="10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95250"/>
                  <wp:effectExtent l="0" t="0" r="0" b="0"/>
                  <wp:docPr id="11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Shaheed 2020-FTMTBDR</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49</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13</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91</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36,02</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0,79 [0,67, 0,88]</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0,99 [0,94,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111125"/>
                  <wp:effectExtent l="0" t="0" r="0" b="0"/>
                  <wp:docPr id="11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111125"/>
                  <wp:effectExtent l="0" t="0" r="0" b="0"/>
                  <wp:docPr id="11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Shaheed 2020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78</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13</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116</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31,88</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0,86 [0,77, 0,92]</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0,99 [0,95,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95250"/>
                  <wp:effectExtent l="0" t="0" r="0" b="0"/>
                  <wp:docPr id="11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95250"/>
                  <wp:effectExtent l="0" t="0" r="0" b="0"/>
                  <wp:docPr id="11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Kostera 2018</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28</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5</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4</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85</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26,23</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0,88 [0,71, 0,96]</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0,94 [0,88, 0,98]</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111125"/>
                  <wp:effectExtent l="0" t="0" r="0" b="0"/>
                  <wp:docPr id="11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111125"/>
                  <wp:effectExtent l="0" t="0" r="0" b="0"/>
                  <wp:docPr id="11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de Vos 2020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163</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5</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19</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323</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24,85</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0,90 [0,84, 0,94]</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0,98 [0,96,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95250"/>
                  <wp:effectExtent l="0" t="0" r="0" b="0"/>
                  <wp:docPr id="11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95250"/>
                  <wp:effectExtent l="0" t="0" r="0" b="0"/>
                  <wp:docPr id="11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Tarn 2017</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19</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5</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88</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15,18</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0,79 [0,58, 0,93]</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[0,96,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111125"/>
                  <wp:effectExtent l="0" t="0" r="0" b="0"/>
                  <wp:docPr id="11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111125"/>
                  <wp:effectExtent l="0" t="0" r="0" b="0"/>
                  <wp:docPr id="120"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Howlett 2020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13</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53</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10,77</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[0,75, 1,00]</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[0,93,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95250"/>
                  <wp:effectExtent l="0" t="0" r="0" b="0"/>
                  <wp:docPr id="12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95250"/>
                  <wp:effectExtent l="0" t="0" r="0" b="0"/>
                  <wp:docPr id="12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Scott 2020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4</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2</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78</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7,06</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0,80 [0,28, 0,99]</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0,97 [0,91,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111125"/>
                  <wp:effectExtent l="0" t="0" r="0" b="0"/>
                  <wp:docPr id="123"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111125"/>
                  <wp:effectExtent l="0" t="0" r="0" b="0"/>
                  <wp:docPr id="12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Ciesielczuk 2020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2</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32</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5,88</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[0,16, 1,00]</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[0,89,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95250"/>
                  <wp:effectExtent l="0" t="0" r="0" b="0"/>
                  <wp:docPr id="12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95250"/>
                  <wp:effectExtent l="0" t="0" r="0" b="0"/>
                  <wp:docPr id="12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Hofmann-Thiel 2016</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16</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2</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160</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5,75</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0,89 [0,65, 0,99]</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[0,98,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95250"/>
                  <wp:effectExtent l="0" t="0" r="0" b="0"/>
                  <wp:docPr id="12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95250"/>
                  <wp:effectExtent l="0" t="0" r="0" b="0"/>
                  <wp:docPr id="128"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Berhanu 2018</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43</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4,55</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[0,03, 1,00]</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[0,92,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111125"/>
                  <wp:effectExtent l="0" t="0" r="0" b="0"/>
                  <wp:docPr id="12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111125"/>
                  <wp:effectExtent l="0" t="0" r="0" b="0"/>
                  <wp:docPr id="13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Shah 2019</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22</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5</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205</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4,31</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0,81 [0,62, 0,94]</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[0,98,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95250"/>
                  <wp:effectExtent l="0" t="0" r="0" b="0"/>
                  <wp:docPr id="13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95250"/>
                  <wp:effectExtent l="0" t="0" r="0" b="0"/>
                  <wp:docPr id="13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Hofmann-Thiel 2020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7</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5</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152</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1,79</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0,58 [0,28, 0,85]</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0,99 [0,96,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111125"/>
                  <wp:effectExtent l="0" t="0" r="0" b="0"/>
                  <wp:docPr id="133"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82650" cy="111125"/>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111125"/>
                  <wp:effectExtent l="0" t="0" r="0" b="0"/>
                  <wp:docPr id="13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66775" cy="111125"/>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Luukinen 2020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17</w:t>
            </w:r>
          </w:p>
        </w:tc>
        <w:tc>
          <w:tcPr>
            <w:tcW w:w="1276"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0,0</w:t>
            </w: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[0,03, 1,00]</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[0,80,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95250"/>
                  <wp:effectExtent l="0" t="0" r="0" b="0"/>
                  <wp:docPr id="135"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95250"/>
                  <wp:effectExtent l="0" t="0" r="0" b="0"/>
                  <wp:docPr id="13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p>
        </w:tc>
      </w:tr>
      <w:tr w:rsidR="00ED665B" w:rsidRPr="00907702" w:rsidTr="00983321">
        <w:trPr>
          <w:trHeight w:val="20"/>
        </w:trPr>
        <w:tc>
          <w:tcPr>
            <w:tcW w:w="1378" w:type="dxa"/>
            <w:shd w:val="clear" w:color="auto" w:fill="FFFFFF"/>
          </w:tcPr>
          <w:p w:rsidR="00ED665B" w:rsidRPr="00907702" w:rsidRDefault="006C7D2F" w:rsidP="00DC2656">
            <w:pPr>
              <w:rPr>
                <w:rFonts w:ascii="Calibri" w:hAnsi="Calibri" w:cs="Calibri"/>
              </w:rPr>
            </w:pPr>
            <w:r>
              <w:rPr>
                <w:rFonts w:ascii="Calibri" w:hAnsi="Calibri"/>
                <w:b/>
                <w:color w:val="000000"/>
                <w:sz w:val="12"/>
              </w:rPr>
              <w:t>Paradis 2018</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43</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3"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0</w:t>
            </w:r>
          </w:p>
        </w:tc>
        <w:tc>
          <w:tcPr>
            <w:tcW w:w="284" w:type="dxa"/>
            <w:shd w:val="clear" w:color="auto" w:fill="FFFFFF"/>
          </w:tcPr>
          <w:p w:rsidR="00ED665B" w:rsidRPr="00907702" w:rsidRDefault="006C7D2F" w:rsidP="00BD40D2">
            <w:pPr>
              <w:jc w:val="right"/>
              <w:rPr>
                <w:rFonts w:ascii="Calibri" w:hAnsi="Calibri" w:cs="Calibri"/>
              </w:rPr>
            </w:pPr>
            <w:r>
              <w:rPr>
                <w:rFonts w:ascii="Calibri" w:hAnsi="Calibri"/>
                <w:b/>
                <w:color w:val="000000"/>
                <w:sz w:val="12"/>
              </w:rPr>
              <w:t>199</w:t>
            </w:r>
          </w:p>
        </w:tc>
        <w:tc>
          <w:tcPr>
            <w:tcW w:w="1276" w:type="dxa"/>
            <w:shd w:val="clear" w:color="auto" w:fill="FFFFFF"/>
          </w:tcPr>
          <w:p w:rsidR="00ED665B" w:rsidRPr="00907702" w:rsidRDefault="00ED665B" w:rsidP="00DC2656">
            <w:pPr>
              <w:rPr>
                <w:rFonts w:ascii="Calibri" w:hAnsi="Calibri" w:cs="Calibri"/>
              </w:rPr>
            </w:pPr>
          </w:p>
        </w:tc>
        <w:tc>
          <w:tcPr>
            <w:tcW w:w="1134"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[0,92, 1,00]</w:t>
            </w:r>
          </w:p>
        </w:tc>
        <w:tc>
          <w:tcPr>
            <w:tcW w:w="1390" w:type="dxa"/>
            <w:shd w:val="clear" w:color="auto" w:fill="FFFFFF"/>
          </w:tcPr>
          <w:p w:rsidR="00ED665B" w:rsidRPr="00907702" w:rsidRDefault="006C7D2F" w:rsidP="00DC2656">
            <w:pPr>
              <w:jc w:val="right"/>
              <w:rPr>
                <w:rFonts w:ascii="Calibri" w:hAnsi="Calibri" w:cs="Calibri"/>
              </w:rPr>
            </w:pPr>
            <w:r>
              <w:rPr>
                <w:rFonts w:ascii="Calibri" w:hAnsi="Calibri"/>
                <w:b/>
                <w:color w:val="000000"/>
                <w:sz w:val="12"/>
              </w:rPr>
              <w:t>1,00 [0,98, 1,00]</w:t>
            </w:r>
          </w:p>
        </w:tc>
        <w:tc>
          <w:tcPr>
            <w:tcW w:w="1487"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82650" cy="238760"/>
                  <wp:effectExtent l="0" t="0" r="0" b="0"/>
                  <wp:docPr id="137"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82650" cy="238760"/>
                          </a:xfrm>
                          <a:prstGeom prst="rect">
                            <a:avLst/>
                          </a:prstGeom>
                          <a:noFill/>
                          <a:ln>
                            <a:noFill/>
                          </a:ln>
                        </pic:spPr>
                      </pic:pic>
                    </a:graphicData>
                  </a:graphic>
                </wp:inline>
              </w:drawing>
            </w:r>
          </w:p>
        </w:tc>
        <w:tc>
          <w:tcPr>
            <w:tcW w:w="1373" w:type="dxa"/>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866775" cy="238760"/>
                  <wp:effectExtent l="0" t="0" r="0" b="0"/>
                  <wp:docPr id="138"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p>
        </w:tc>
      </w:tr>
    </w:tbl>
    <w:p w:rsidR="00ED665B" w:rsidRPr="00907702" w:rsidRDefault="006C7D2F" w:rsidP="00BD40D2">
      <w:pPr>
        <w:spacing w:before="86" w:line="216" w:lineRule="auto"/>
        <w:ind w:right="53"/>
        <w:jc w:val="both"/>
        <w:rPr>
          <w:rFonts w:ascii="Calibri" w:hAnsi="Calibri" w:cs="Calibri"/>
        </w:rPr>
      </w:pPr>
      <w:r>
        <w:rPr>
          <w:rFonts w:ascii="Calibri" w:hAnsi="Calibri"/>
          <w:color w:val="000000"/>
          <w:sz w:val="16"/>
        </w:rPr>
        <w:t>ДІ: довірчий інтервал; ТМЧ: тест медикаментозної чутливості; ХН: хибнонегативний; ХП: хибнопозитивний; РИФ: рифампіцин; ТБ: туберкульоз; ІН: істинно негативний; ІП: істинно позитивний.</w:t>
      </w:r>
    </w:p>
    <w:p w:rsidR="00ED665B" w:rsidRPr="00907702" w:rsidRDefault="006C7D2F" w:rsidP="00BD40D2">
      <w:pPr>
        <w:spacing w:before="120" w:line="216" w:lineRule="auto"/>
        <w:ind w:right="43"/>
        <w:jc w:val="both"/>
        <w:rPr>
          <w:rFonts w:ascii="Calibri" w:hAnsi="Calibri" w:cs="Calibri"/>
        </w:rPr>
      </w:pPr>
      <w:r>
        <w:rPr>
          <w:rFonts w:ascii="Calibri" w:hAnsi="Calibri"/>
          <w:color w:val="000000"/>
          <w:sz w:val="22"/>
        </w:rPr>
        <w:t xml:space="preserve">Загальна чутливість щодо резистентності до ізоніазиду у цих 18 дослідженнях коливалась від 58% до 100%, а специфічність – від 94% до 100%. </w:t>
      </w:r>
      <w:r w:rsidRPr="00BD40D2">
        <w:rPr>
          <w:rFonts w:ascii="Calibri" w:hAnsi="Calibri"/>
          <w:b/>
          <w:color w:val="000000"/>
          <w:sz w:val="22"/>
        </w:rPr>
        <w:t>Об’єднана чутливість становила 86,4% (95% ДІ: 82,1-89,8%), а сукупна специфічність – 99,8% (95% ДІ: 98,3-99,8%).</w:t>
      </w:r>
    </w:p>
    <w:p w:rsidR="00ED665B" w:rsidRPr="00907702" w:rsidRDefault="006C7D2F" w:rsidP="00BD40D2">
      <w:pPr>
        <w:spacing w:before="120" w:line="216" w:lineRule="auto"/>
        <w:ind w:right="38"/>
        <w:jc w:val="both"/>
        <w:rPr>
          <w:rFonts w:ascii="Calibri" w:hAnsi="Calibri" w:cs="Calibri"/>
        </w:rPr>
      </w:pPr>
      <w:r>
        <w:rPr>
          <w:rFonts w:ascii="Calibri" w:hAnsi="Calibri"/>
          <w:color w:val="000000"/>
          <w:sz w:val="22"/>
        </w:rPr>
        <w:t>За можливості, при визначенні резистентності до ізоніазиду були отримані результати генетичного секвенування (генотипічний ТМЧ) і було розроблено складений референс стандарт, який поєднував результати фенотипічного та генотипічного ТМЧ. Для виявлення резистентності до ізоніазидів точність діагностичного тесту фенотипічного ТМЧ була такою ж, як у складеному референс стандарті.</w:t>
      </w:r>
    </w:p>
    <w:p w:rsidR="00ED665B" w:rsidRPr="00C1177C" w:rsidRDefault="006C7D2F" w:rsidP="00BD40D2">
      <w:pPr>
        <w:spacing w:before="230" w:line="216" w:lineRule="auto"/>
        <w:rPr>
          <w:rFonts w:ascii="Calibri" w:hAnsi="Calibri" w:cs="Calibri"/>
          <w:b/>
          <w:bCs/>
          <w:color w:val="009649"/>
        </w:rPr>
      </w:pPr>
      <w:r>
        <w:rPr>
          <w:rFonts w:ascii="Calibri" w:hAnsi="Calibri"/>
          <w:b/>
          <w:color w:val="009649"/>
          <w:sz w:val="28"/>
        </w:rPr>
        <w:t>Аналіз співвідношення витрати / ефективність</w:t>
      </w:r>
    </w:p>
    <w:p w:rsidR="00ED665B" w:rsidRPr="00907702" w:rsidRDefault="006C7D2F" w:rsidP="00BD40D2">
      <w:pPr>
        <w:spacing w:before="120" w:line="216" w:lineRule="auto"/>
        <w:rPr>
          <w:rFonts w:ascii="Calibri" w:hAnsi="Calibri" w:cs="Calibri"/>
        </w:rPr>
      </w:pPr>
      <w:r>
        <w:rPr>
          <w:rFonts w:ascii="Calibri" w:hAnsi="Calibri"/>
          <w:color w:val="000000"/>
          <w:sz w:val="22"/>
        </w:rPr>
        <w:t>У цьому розділі дається відповідь на наступне додаткове питання:</w:t>
      </w:r>
    </w:p>
    <w:p w:rsidR="00ED665B" w:rsidRPr="00BD40D2" w:rsidRDefault="006C7D2F" w:rsidP="00BD40D2">
      <w:pPr>
        <w:spacing w:before="120" w:line="216" w:lineRule="auto"/>
        <w:ind w:right="43"/>
        <w:jc w:val="both"/>
        <w:rPr>
          <w:rFonts w:ascii="Calibri" w:hAnsi="Calibri" w:cs="Calibri"/>
          <w:b/>
        </w:rPr>
      </w:pPr>
      <w:r w:rsidRPr="00BD40D2">
        <w:rPr>
          <w:rFonts w:ascii="Calibri" w:hAnsi="Calibri"/>
          <w:b/>
          <w:color w:val="000000"/>
          <w:sz w:val="22"/>
        </w:rPr>
        <w:t>Які порівняльні витрати, доступність та співвідношення витрати / ефективність щодо впровадження тестів автоматизованих ТАНК помірної складності?</w:t>
      </w:r>
    </w:p>
    <w:p w:rsidR="00ED665B" w:rsidRPr="00907702" w:rsidRDefault="006C7D2F" w:rsidP="00BD40D2">
      <w:pPr>
        <w:spacing w:before="120" w:line="216" w:lineRule="auto"/>
        <w:ind w:right="43"/>
        <w:jc w:val="both"/>
        <w:rPr>
          <w:rFonts w:ascii="Calibri" w:hAnsi="Calibri" w:cs="Calibri"/>
        </w:rPr>
      </w:pPr>
      <w:r>
        <w:rPr>
          <w:rFonts w:ascii="Calibri" w:hAnsi="Calibri"/>
          <w:color w:val="000000"/>
          <w:sz w:val="22"/>
        </w:rPr>
        <w:t>Було проведено систематичний огляд, зосереджений на економічних оцінках автоматизованих ТАНК помірної складності. В чотирьох онлайн-базах даних (Embase, Medline, Web of Science та Scopus) було проведено пошук нових досліджень, опублікованих з 1 січня 2010 року по 17 вересня 2020 року. Для додаткових досліджень було переглянуто цитати зі всіх статей, вказівок та оглядів, що відповідають необхідним критеріям. Також було встановлено зв’язок з експертами, а також виробниками тестів з метою виявлення будь-яких додаткових неопублікованих досліджень.</w:t>
      </w:r>
    </w:p>
    <w:p w:rsidR="00ED665B" w:rsidRPr="00907702" w:rsidRDefault="006C7D2F" w:rsidP="00BD40D2">
      <w:pPr>
        <w:spacing w:before="168" w:line="216" w:lineRule="auto"/>
        <w:ind w:right="53"/>
        <w:jc w:val="both"/>
        <w:rPr>
          <w:rFonts w:ascii="Calibri" w:hAnsi="Calibri" w:cs="Calibri"/>
        </w:rPr>
      </w:pPr>
      <w:r>
        <w:rPr>
          <w:rFonts w:ascii="Calibri" w:hAnsi="Calibri"/>
          <w:color w:val="000000"/>
          <w:sz w:val="22"/>
        </w:rPr>
        <w:t>Мета цього огляду полягала в узагальненні поточних економічних даних та подальшому розумінні витрат, співвідношення витрати / ефективність та доступності автоматизованих ТАНК помірної складності.</w:t>
      </w:r>
    </w:p>
    <w:p w:rsidR="00ED665B" w:rsidRPr="00907702" w:rsidRDefault="006C7D2F" w:rsidP="00BD40D2">
      <w:pPr>
        <w:spacing w:before="168" w:line="216" w:lineRule="auto"/>
        <w:ind w:right="43"/>
        <w:jc w:val="both"/>
        <w:rPr>
          <w:rFonts w:ascii="Calibri" w:hAnsi="Calibri" w:cs="Calibri"/>
        </w:rPr>
      </w:pPr>
      <w:r>
        <w:rPr>
          <w:rFonts w:ascii="Calibri" w:hAnsi="Calibri"/>
          <w:color w:val="000000"/>
          <w:sz w:val="22"/>
        </w:rPr>
        <w:t>Кілька комерційно доступних тестів були включені в якості прийнятних тестів до категорії автоматизованих ТАНК помірної складності; однак жодних опублікованих досліджень, в яких би оцінювались витрати чи співвідношення витрати / ефективність будь-якого з цих тестів, виявлено не було. Було виявлено одне неопубліковане дослідження, яке порівнювало наявні дані щодо двох технологій із класу автоматизованих ТАНК помірної складності, а дані цього дослідження описано нижче.</w:t>
      </w:r>
    </w:p>
    <w:p w:rsidR="00ED665B" w:rsidRPr="00907702" w:rsidRDefault="00ED665B" w:rsidP="00DC2656">
      <w:pPr>
        <w:spacing w:before="168"/>
        <w:ind w:right="43"/>
        <w:jc w:val="both"/>
        <w:rPr>
          <w:rFonts w:ascii="Calibri" w:hAnsi="Calibri" w:cs="Calibri"/>
        </w:rPr>
        <w:sectPr w:rsidR="00ED665B" w:rsidRPr="00907702" w:rsidSect="00BD40D2">
          <w:pgSz w:w="11904" w:h="16838"/>
          <w:pgMar w:top="1378" w:right="1373" w:bottom="568" w:left="1416" w:header="720" w:footer="720" w:gutter="0"/>
          <w:cols w:space="60"/>
          <w:noEndnote/>
        </w:sectPr>
      </w:pPr>
    </w:p>
    <w:p w:rsidR="00ED665B" w:rsidRPr="00907702" w:rsidRDefault="006C7D2F" w:rsidP="00BD40D2">
      <w:pPr>
        <w:spacing w:line="216" w:lineRule="auto"/>
        <w:jc w:val="both"/>
        <w:rPr>
          <w:rFonts w:ascii="Calibri" w:hAnsi="Calibri" w:cs="Calibri"/>
        </w:rPr>
      </w:pPr>
      <w:r>
        <w:rPr>
          <w:rFonts w:ascii="Calibri" w:hAnsi="Calibri"/>
          <w:color w:val="000000"/>
          <w:sz w:val="22"/>
        </w:rPr>
        <w:lastRenderedPageBreak/>
        <w:t>Неопубліковані дані Фонду інноваційної нової діагностики (FIND) були надані шляхом прямого опитування. У цьому дослідженні, що було направлено лише на визначення співвідношення витрати / ефективність, використовувалися дослідження часу та руху, а також підхід на основі інгредієнтів знизу вгору для оцінки вартості одиничного випробування для двох обраних технологій.</w:t>
      </w:r>
      <w:r>
        <w:rPr>
          <w:rFonts w:ascii="Calibri" w:hAnsi="Calibri"/>
          <w:color w:val="000000"/>
          <w:sz w:val="22"/>
          <w:vertAlign w:val="superscript"/>
        </w:rPr>
        <w:t>13</w:t>
      </w:r>
      <w:r>
        <w:rPr>
          <w:rFonts w:ascii="Calibri" w:hAnsi="Calibri"/>
          <w:color w:val="000000"/>
          <w:sz w:val="22"/>
        </w:rPr>
        <w:t xml:space="preserve"> Дослідження часу та руху проводилися в референс лабораторії у ПАР. Було зроблено кілька важливих спрощувальних припущень, які можуть обмежити узагальнення результатів; наприклад, 50% лабораторних операцій, що займаються виявленням туберкульозу, мінімальна щоденна пропускна здатність, що становить 24 зразки або еквівалент одного запуску тесту BD MAX (24 тестування/запуск), витрати на устаткування, що становлять 100 000 доларів США для обох платформ, 5% щорічна вартість утримання та стандартна ставка знижки 3% та 10 років очікуваного терміну корисного використання.</w:t>
      </w:r>
    </w:p>
    <w:p w:rsidR="00ED665B" w:rsidRPr="00907702" w:rsidRDefault="006C7D2F" w:rsidP="00BD40D2">
      <w:pPr>
        <w:spacing w:before="168" w:line="216" w:lineRule="auto"/>
        <w:jc w:val="both"/>
        <w:rPr>
          <w:rFonts w:ascii="Calibri" w:hAnsi="Calibri" w:cs="Calibri"/>
        </w:rPr>
      </w:pPr>
      <w:r>
        <w:rPr>
          <w:rFonts w:ascii="Calibri" w:hAnsi="Calibri"/>
          <w:color w:val="000000"/>
          <w:sz w:val="22"/>
        </w:rPr>
        <w:t xml:space="preserve">Додаткові пошуки у літературі, проведені для отримання економічних даних за допомогою подібних платформ для хвороб, відмінних від туберкульозу, виявили три додаткові дослідження ВІЛ та гепатиту С вірусу (ВГС) з обмеженими даними про вартість: один </w:t>
      </w:r>
      <w:r w:rsidRPr="00BE6F5B">
        <w:rPr>
          <w:rFonts w:ascii="Calibri" w:hAnsi="Calibri"/>
          <w:i/>
          <w:color w:val="000000"/>
          <w:sz w:val="22"/>
        </w:rPr>
        <w:t>(20)</w:t>
      </w:r>
      <w:r>
        <w:rPr>
          <w:rFonts w:ascii="Calibri" w:hAnsi="Calibri"/>
          <w:color w:val="000000"/>
          <w:sz w:val="22"/>
        </w:rPr>
        <w:t>, що використовує ВІЛ Abbott RealTime, і два – для виявлення ВГС (21, 22). Дані були обмежені інформацією про вартість за одиницю тестового набору і не можуть відображатись на витрати для придбання наборів тестів, які розглядаються в цьому огляді.</w:t>
      </w:r>
    </w:p>
    <w:p w:rsidR="00ED665B" w:rsidRPr="00BD40D2" w:rsidRDefault="006C7D2F" w:rsidP="00BD40D2">
      <w:pPr>
        <w:spacing w:before="216" w:line="216" w:lineRule="auto"/>
        <w:rPr>
          <w:rFonts w:ascii="Calibri" w:hAnsi="Calibri" w:cs="Calibri"/>
          <w:i/>
        </w:rPr>
      </w:pPr>
      <w:r w:rsidRPr="00BD40D2">
        <w:rPr>
          <w:rFonts w:ascii="Calibri" w:hAnsi="Calibri"/>
          <w:i/>
          <w:color w:val="000000"/>
          <w:sz w:val="22"/>
        </w:rPr>
        <w:t>Наскільки високі вимоги до ресурсів (витрати)?</w:t>
      </w:r>
    </w:p>
    <w:p w:rsidR="00ED665B" w:rsidRPr="00907702" w:rsidRDefault="006C7D2F" w:rsidP="00BD40D2">
      <w:pPr>
        <w:spacing w:before="182" w:line="216" w:lineRule="auto"/>
        <w:jc w:val="both"/>
        <w:rPr>
          <w:rFonts w:ascii="Calibri" w:hAnsi="Calibri" w:cs="Calibri"/>
        </w:rPr>
      </w:pPr>
      <w:r>
        <w:rPr>
          <w:rFonts w:ascii="Calibri" w:hAnsi="Calibri"/>
          <w:color w:val="000000"/>
          <w:sz w:val="22"/>
        </w:rPr>
        <w:t>Доступні витрати на одиничне тестування для двох автоматизованих ТАНК помірної складності становили від 18,52 дол. США (13,79–40,70 дол. США) до 15,37 дол. США (9,61–37,40 дол. США), при цьому в одному дослідженні повідомляється про нижчі витрати на комплект тестування та вищі операційні витрати, пов’язані з часом обробки результатів лабораторією. Витрати на обладнання були вагомими факторами зміни вартості і будуть змінюватися в залежності від мереж та операцій, що проводяться лабораторіями. Якщо обладнання можна оптимально розмістити або ущільнити для забезпечення великого обсягу тестування, вартість одного тесту можна звести до мінімуму.</w:t>
      </w:r>
    </w:p>
    <w:p w:rsidR="00ED665B" w:rsidRPr="00907702" w:rsidRDefault="006C7D2F" w:rsidP="00BD40D2">
      <w:pPr>
        <w:spacing w:before="168" w:line="216" w:lineRule="auto"/>
        <w:jc w:val="both"/>
        <w:rPr>
          <w:rFonts w:ascii="Calibri" w:hAnsi="Calibri" w:cs="Calibri"/>
        </w:rPr>
      </w:pPr>
      <w:r>
        <w:rPr>
          <w:rFonts w:ascii="Calibri" w:hAnsi="Calibri"/>
          <w:color w:val="000000"/>
          <w:sz w:val="22"/>
        </w:rPr>
        <w:t>В односторонньому аналізі чутливості щорічні обсяги тестування коливалися від менш ніж 5000 тестів на рік до понад 25 000 тестів на рік. Вартість одного тесту значною мірою залежала від обсягу тестування, якщо на рік проводилося менше 5000 тестів; однак витрати на одиничні тести починають стабілізуватися, коли тестування досягає цифри 5000 - 10 000 на рік і вище 10000 на рік, а оцінка вартості одиниці була достовірною. Якщо обладнання можна ущільнити та використовувати на максимальну потужність, вартість кожного тесту можна звести до мінімуму.</w:t>
      </w:r>
    </w:p>
    <w:p w:rsidR="00ED665B" w:rsidRPr="00BD40D2" w:rsidRDefault="006C7D2F" w:rsidP="00BD40D2">
      <w:pPr>
        <w:spacing w:before="216" w:line="216" w:lineRule="auto"/>
        <w:rPr>
          <w:rFonts w:ascii="Calibri" w:hAnsi="Calibri" w:cs="Calibri"/>
          <w:i/>
        </w:rPr>
      </w:pPr>
      <w:r w:rsidRPr="00BD40D2">
        <w:rPr>
          <w:rFonts w:ascii="Calibri" w:hAnsi="Calibri"/>
          <w:i/>
          <w:color w:val="000000"/>
          <w:sz w:val="22"/>
        </w:rPr>
        <w:t>Яка якість доказових даних про потреби у ресурсах (витрати)?</w:t>
      </w:r>
    </w:p>
    <w:p w:rsidR="00ED665B" w:rsidRPr="00907702" w:rsidRDefault="006C7D2F" w:rsidP="00BD40D2">
      <w:pPr>
        <w:spacing w:before="187" w:line="216" w:lineRule="auto"/>
        <w:jc w:val="both"/>
        <w:rPr>
          <w:rFonts w:ascii="Calibri" w:hAnsi="Calibri" w:cs="Calibri"/>
        </w:rPr>
      </w:pPr>
      <w:r>
        <w:rPr>
          <w:rFonts w:ascii="Calibri" w:hAnsi="Calibri"/>
          <w:color w:val="000000"/>
          <w:sz w:val="22"/>
        </w:rPr>
        <w:t>Дані про вартість тесту не були опубліковані, проте передбачали накладні витрати, обладнання, утримання будівель, персонал та витратні матеріали; однак повна оцінка якості дослідження була неможлива. Вартість тесту буде змінюватися залежно від обсягу тестування та лабораторних операцій. Існує обмежена кількість даних для оцінки важливої мінливості між центрами, країнами та підходами до впровадження.</w:t>
      </w:r>
    </w:p>
    <w:p w:rsidR="00ED665B" w:rsidRPr="00BD40D2" w:rsidRDefault="006C7D2F" w:rsidP="00BD40D2">
      <w:pPr>
        <w:spacing w:before="216" w:line="216" w:lineRule="auto"/>
        <w:rPr>
          <w:rFonts w:ascii="Calibri" w:hAnsi="Calibri" w:cs="Calibri"/>
          <w:i/>
        </w:rPr>
      </w:pPr>
      <w:r w:rsidRPr="00BD40D2">
        <w:rPr>
          <w:rFonts w:ascii="Calibri" w:hAnsi="Calibri"/>
          <w:i/>
          <w:color w:val="000000"/>
          <w:sz w:val="22"/>
        </w:rPr>
        <w:t>Співвідношення витрати / ефективність втручання сприяє втручанню або порівнянню?</w:t>
      </w:r>
    </w:p>
    <w:p w:rsidR="00ED665B" w:rsidRPr="00907702" w:rsidRDefault="006C7D2F" w:rsidP="00BD40D2">
      <w:pPr>
        <w:spacing w:before="182" w:line="216" w:lineRule="auto"/>
        <w:jc w:val="both"/>
        <w:rPr>
          <w:rFonts w:ascii="Calibri" w:hAnsi="Calibri" w:cs="Calibri"/>
        </w:rPr>
      </w:pPr>
      <w:r>
        <w:rPr>
          <w:rFonts w:ascii="Calibri" w:hAnsi="Calibri"/>
          <w:color w:val="000000"/>
          <w:sz w:val="22"/>
        </w:rPr>
        <w:t xml:space="preserve">Не було виявлено жодних досліджень, в яких би оцінювалось співвідношення витрати / ефективність для будь-якого з автоматизованих ТАНК помірної складності, а екстраполяція була недоречною з огляду на відмінності в стандартах медичної допомоги, каскадах догляду та пов’язаних з цим витратах, операційних умовах, обсязі тестування та точності діагностики. Рекомендації щодо впровадження (наприклад, кваліфікаційні тести, лабораторна мережа та здатність програми швидко розпочинати лікування), швидше за все, вплинуть на вартість одного </w:t>
      </w:r>
    </w:p>
    <w:p w:rsidR="00BD40D2" w:rsidRDefault="00BD40D2" w:rsidP="00BD40D2">
      <w:pPr>
        <w:spacing w:line="216" w:lineRule="auto"/>
        <w:rPr>
          <w:rFonts w:ascii="Calibri" w:hAnsi="Calibri"/>
          <w:color w:val="000000"/>
          <w:sz w:val="16"/>
          <w:vertAlign w:val="superscript"/>
        </w:rPr>
      </w:pPr>
    </w:p>
    <w:p w:rsidR="00BD40D2" w:rsidRPr="00BD40D2" w:rsidRDefault="00BD40D2" w:rsidP="00BD40D2">
      <w:pPr>
        <w:tabs>
          <w:tab w:val="left" w:pos="2268"/>
        </w:tabs>
        <w:spacing w:line="216" w:lineRule="auto"/>
        <w:rPr>
          <w:rFonts w:ascii="Calibri" w:hAnsi="Calibri"/>
          <w:color w:val="000000"/>
          <w:sz w:val="16"/>
          <w:u w:val="single"/>
          <w:vertAlign w:val="superscript"/>
        </w:rPr>
      </w:pPr>
      <w:r w:rsidRPr="00BD40D2">
        <w:rPr>
          <w:rFonts w:ascii="Calibri" w:hAnsi="Calibri"/>
          <w:color w:val="000000"/>
          <w:sz w:val="16"/>
          <w:u w:val="single"/>
          <w:vertAlign w:val="superscript"/>
        </w:rPr>
        <w:tab/>
      </w:r>
    </w:p>
    <w:p w:rsidR="00ED665B" w:rsidRPr="00907702" w:rsidRDefault="006C7D2F" w:rsidP="00BD40D2">
      <w:pPr>
        <w:spacing w:line="216" w:lineRule="auto"/>
        <w:rPr>
          <w:rFonts w:ascii="Calibri" w:hAnsi="Calibri" w:cs="Calibri"/>
        </w:rPr>
      </w:pPr>
      <w:r>
        <w:rPr>
          <w:rFonts w:ascii="Calibri" w:hAnsi="Calibri"/>
          <w:color w:val="000000"/>
          <w:sz w:val="16"/>
          <w:vertAlign w:val="superscript"/>
        </w:rPr>
        <w:t>13</w:t>
      </w:r>
      <w:r>
        <w:rPr>
          <w:rFonts w:ascii="Calibri" w:hAnsi="Calibri"/>
          <w:color w:val="000000"/>
          <w:sz w:val="16"/>
        </w:rPr>
        <w:t xml:space="preserve"> Дані надано H Sohn і W Stevens, FIND (неопубліковані).</w:t>
      </w:r>
    </w:p>
    <w:p w:rsidR="00ED665B" w:rsidRPr="00907702" w:rsidRDefault="00ED665B" w:rsidP="00DC2656">
      <w:pPr>
        <w:spacing w:before="408"/>
        <w:rPr>
          <w:rFonts w:ascii="Calibri" w:hAnsi="Calibri" w:cs="Calibri"/>
        </w:rPr>
        <w:sectPr w:rsidR="00ED665B" w:rsidRPr="00907702">
          <w:pgSz w:w="11904" w:h="16838"/>
          <w:pgMar w:top="1339" w:right="1416" w:bottom="1378" w:left="1416" w:header="720" w:footer="720" w:gutter="0"/>
          <w:cols w:space="60"/>
          <w:noEndnote/>
        </w:sectPr>
      </w:pPr>
    </w:p>
    <w:p w:rsidR="00ED665B" w:rsidRPr="00907702" w:rsidRDefault="001F19DE" w:rsidP="00DC2656">
      <w:pPr>
        <w:ind w:right="5"/>
        <w:jc w:val="both"/>
        <w:rPr>
          <w:rFonts w:ascii="Calibri" w:hAnsi="Calibri" w:cs="Calibri"/>
        </w:rPr>
      </w:pPr>
      <w:r>
        <w:rPr>
          <w:rFonts w:ascii="Calibri" w:hAnsi="Calibri"/>
          <w:color w:val="000000"/>
          <w:sz w:val="22"/>
        </w:rPr>
        <w:lastRenderedPageBreak/>
        <w:t xml:space="preserve">тестування та </w:t>
      </w:r>
      <w:r w:rsidR="006C7D2F">
        <w:rPr>
          <w:rFonts w:ascii="Calibri" w:hAnsi="Calibri"/>
          <w:color w:val="000000"/>
          <w:sz w:val="22"/>
        </w:rPr>
        <w:t>співвідношення витрати / ефективність. Економічне моделювання необхідне для різних умов, щоб зрозуміти діапазон профілів співвідношення витрати / ефективність автоматизованих ТАНК помірної складності та те, як вони, ймовірно, змінюватимуться за різних операційних критеріїв.</w:t>
      </w:r>
    </w:p>
    <w:p w:rsidR="00ED665B" w:rsidRPr="00907702" w:rsidRDefault="006C7D2F" w:rsidP="00DC2656">
      <w:pPr>
        <w:spacing w:before="163"/>
        <w:ind w:right="5"/>
        <w:jc w:val="both"/>
        <w:rPr>
          <w:rFonts w:ascii="Calibri" w:hAnsi="Calibri" w:cs="Calibri"/>
        </w:rPr>
      </w:pPr>
      <w:r>
        <w:rPr>
          <w:rFonts w:ascii="Calibri" w:hAnsi="Calibri"/>
          <w:color w:val="000000"/>
          <w:sz w:val="22"/>
        </w:rPr>
        <w:t xml:space="preserve">Додаткові відомості про синтез та аналіз економічних даних наведено у </w:t>
      </w:r>
      <w:r>
        <w:rPr>
          <w:rFonts w:ascii="Calibri" w:hAnsi="Calibri"/>
          <w:b/>
          <w:color w:val="000000"/>
          <w:sz w:val="22"/>
        </w:rPr>
        <w:t>Вебдодатку 4.9</w:t>
      </w:r>
      <w:r>
        <w:rPr>
          <w:rFonts w:ascii="Calibri" w:hAnsi="Calibri"/>
          <w:color w:val="000000"/>
          <w:sz w:val="22"/>
        </w:rPr>
        <w:t>: Систематичний огляд літератури стосовно економічних даних для тестів на ампліфікацію нуклеїнової кислоти (ТАНК) для виявлення ТБ та резистентного ТБ у дорослих та дітей.</w:t>
      </w:r>
    </w:p>
    <w:p w:rsidR="00ED665B" w:rsidRPr="00C1177C" w:rsidRDefault="006C7D2F" w:rsidP="00DC2656">
      <w:pPr>
        <w:spacing w:before="230"/>
        <w:rPr>
          <w:rFonts w:ascii="Calibri" w:hAnsi="Calibri" w:cs="Calibri"/>
          <w:b/>
          <w:bCs/>
        </w:rPr>
      </w:pPr>
      <w:r>
        <w:rPr>
          <w:rFonts w:ascii="Calibri" w:hAnsi="Calibri"/>
          <w:b/>
          <w:color w:val="009649"/>
          <w:sz w:val="28"/>
        </w:rPr>
        <w:t>Перспективи тестування</w:t>
      </w:r>
    </w:p>
    <w:p w:rsidR="00ED665B" w:rsidRPr="00907702" w:rsidRDefault="006C7D2F" w:rsidP="00DC2656">
      <w:pPr>
        <w:spacing w:before="163"/>
        <w:ind w:right="5"/>
        <w:jc w:val="both"/>
        <w:rPr>
          <w:rFonts w:ascii="Calibri" w:hAnsi="Calibri" w:cs="Calibri"/>
        </w:rPr>
      </w:pPr>
      <w:r>
        <w:rPr>
          <w:rFonts w:ascii="Calibri" w:hAnsi="Calibri"/>
          <w:color w:val="000000"/>
          <w:sz w:val="22"/>
        </w:rPr>
        <w:t xml:space="preserve">У цьому розділі даються відповіді на наступні запитання про </w:t>
      </w:r>
      <w:r>
        <w:rPr>
          <w:rFonts w:ascii="Calibri" w:hAnsi="Calibri"/>
          <w:b/>
          <w:color w:val="000000"/>
          <w:sz w:val="22"/>
        </w:rPr>
        <w:t>погляди та перспективи, представлені ключовими інформаторами, на використання автоматизованих ТАНК помірної складності:</w:t>
      </w:r>
    </w:p>
    <w:p w:rsidR="00ED665B" w:rsidRPr="00907702" w:rsidRDefault="006C7D2F" w:rsidP="00DC2656">
      <w:pPr>
        <w:numPr>
          <w:ilvl w:val="0"/>
          <w:numId w:val="2"/>
        </w:numPr>
        <w:tabs>
          <w:tab w:val="left" w:pos="240"/>
        </w:tabs>
        <w:spacing w:before="77"/>
        <w:ind w:left="240" w:hanging="240"/>
        <w:jc w:val="both"/>
        <w:rPr>
          <w:rFonts w:ascii="Calibri" w:hAnsi="Calibri" w:cs="Calibri"/>
          <w:color w:val="009649"/>
          <w:sz w:val="22"/>
          <w:szCs w:val="22"/>
        </w:rPr>
      </w:pPr>
      <w:r>
        <w:rPr>
          <w:rFonts w:ascii="Calibri" w:hAnsi="Calibri"/>
          <w:color w:val="000000"/>
          <w:sz w:val="22"/>
        </w:rPr>
        <w:t>Чи є важлива невизначеність або різниця в тому, наскільки кінцеві користувачі оцінюють основні результати?</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Яким би був вплив на рівність у питанні надання послуг у сфері охорони здоров’я?</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Чи є втручання прийнятним для ключових зацікавлених сторін?</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Чи можливо реалізувати втручання?</w:t>
      </w:r>
    </w:p>
    <w:p w:rsidR="00ED665B" w:rsidRPr="00907702" w:rsidRDefault="006C7D2F" w:rsidP="00DC2656">
      <w:pPr>
        <w:spacing w:before="168"/>
        <w:ind w:right="5"/>
        <w:jc w:val="both"/>
        <w:rPr>
          <w:rFonts w:ascii="Calibri" w:hAnsi="Calibri" w:cs="Calibri"/>
        </w:rPr>
      </w:pPr>
      <w:r>
        <w:rPr>
          <w:rFonts w:ascii="Calibri" w:hAnsi="Calibri"/>
          <w:color w:val="000000"/>
          <w:sz w:val="22"/>
        </w:rPr>
        <w:t>Для впровадження технологій важливі погляди користувачів на цінність, доцільність, зручність використання та прийнятність таких діагностичних технологій. Якщо не враховувати інтереси персоналу лабораторії, клініцистів, пацієнтів та персоналу програми боротьби з туберкульозом, може виникнути ризик того, що технології будуть недоступними для тих, для кого вони призначені.</w:t>
      </w:r>
    </w:p>
    <w:p w:rsidR="00ED665B" w:rsidRPr="00907702" w:rsidRDefault="006C7D2F" w:rsidP="00DC2656">
      <w:pPr>
        <w:spacing w:before="211"/>
        <w:rPr>
          <w:rFonts w:ascii="Calibri" w:hAnsi="Calibri" w:cs="Calibri"/>
        </w:rPr>
      </w:pPr>
      <w:r>
        <w:rPr>
          <w:rFonts w:ascii="Calibri" w:hAnsi="Calibri"/>
          <w:color w:val="000000"/>
          <w:sz w:val="22"/>
        </w:rPr>
        <w:t>З точки зору перспектив, було здійснено дві дії:</w:t>
      </w:r>
    </w:p>
    <w:p w:rsidR="00ED665B" w:rsidRPr="00907702" w:rsidRDefault="006C7D2F" w:rsidP="00DC2656">
      <w:pPr>
        <w:numPr>
          <w:ilvl w:val="0"/>
          <w:numId w:val="2"/>
        </w:numPr>
        <w:tabs>
          <w:tab w:val="left" w:pos="240"/>
        </w:tabs>
        <w:spacing w:before="96"/>
        <w:ind w:left="240" w:right="5" w:hanging="240"/>
        <w:jc w:val="both"/>
        <w:rPr>
          <w:rFonts w:ascii="Calibri" w:hAnsi="Calibri" w:cs="Calibri"/>
          <w:color w:val="009649"/>
          <w:sz w:val="22"/>
          <w:szCs w:val="22"/>
        </w:rPr>
      </w:pPr>
      <w:r>
        <w:rPr>
          <w:rFonts w:ascii="Calibri" w:hAnsi="Calibri"/>
          <w:color w:val="000000"/>
          <w:sz w:val="22"/>
        </w:rPr>
        <w:t>З липня по листопад 2020 року було проведено систематичний огляд даних перспектив користувачів та досвіду роботи з ТАНК для виявлення туберкульозу та резистентності до протитуберкульозних препаратів (автоматизовані аналізи помірної та низької складності та аналізи високої складності на основі гібридизації).</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Всього з Індії, Молдови та Південної Африки з жовтня по листопад 2020 року було проведено 14 напівструктурованих опитувань клініцистів, керівників програм, працівників лабораторій та захисників інтересів пацієнтів.</w:t>
      </w:r>
    </w:p>
    <w:p w:rsidR="00ED665B" w:rsidRPr="00907702" w:rsidRDefault="006C7D2F" w:rsidP="00DC2656">
      <w:pPr>
        <w:spacing w:before="211"/>
        <w:rPr>
          <w:rFonts w:ascii="Calibri" w:hAnsi="Calibri" w:cs="Calibri"/>
        </w:rPr>
      </w:pPr>
      <w:r>
        <w:rPr>
          <w:rFonts w:ascii="Calibri" w:hAnsi="Calibri"/>
          <w:color w:val="000000"/>
          <w:sz w:val="22"/>
        </w:rPr>
        <w:t>Висновки цих заходів обговорюватимуться нижче.</w:t>
      </w:r>
    </w:p>
    <w:p w:rsidR="00ED665B" w:rsidRPr="00983321" w:rsidRDefault="006C7D2F" w:rsidP="00DC2656">
      <w:pPr>
        <w:spacing w:before="293"/>
        <w:rPr>
          <w:rFonts w:ascii="Calibri" w:hAnsi="Calibri" w:cs="Calibri"/>
          <w:b/>
          <w:bCs/>
          <w:i/>
        </w:rPr>
      </w:pPr>
      <w:r w:rsidRPr="00983321">
        <w:rPr>
          <w:rFonts w:ascii="Calibri" w:hAnsi="Calibri"/>
          <w:b/>
          <w:i/>
          <w:color w:val="009649"/>
          <w:sz w:val="22"/>
        </w:rPr>
        <w:t>Систематичний огляд</w:t>
      </w:r>
    </w:p>
    <w:p w:rsidR="00ED665B" w:rsidRPr="00907702" w:rsidRDefault="006C7D2F" w:rsidP="00DC2656">
      <w:pPr>
        <w:spacing w:before="178"/>
        <w:jc w:val="both"/>
        <w:rPr>
          <w:rFonts w:ascii="Calibri" w:hAnsi="Calibri" w:cs="Calibri"/>
        </w:rPr>
      </w:pPr>
      <w:r>
        <w:rPr>
          <w:rFonts w:ascii="Calibri" w:hAnsi="Calibri"/>
          <w:color w:val="000000"/>
          <w:sz w:val="22"/>
        </w:rPr>
        <w:t>Всього було визначено 27 досліджень, які відповідали критеріям включення, з яких 21 було відібрано для включення в аналіз. Усі вибіркові дослідження були опубліковані у період з 2012 до 2020 року. З 21 включених досліджень 18 проводились у країнах з високим тягарем туберкульозу: шість в Індії, чотири у Південній Африці, по два у Кенії та Уганді та по одному у Бразилії, Камбоджі, М’янмі та В’єтнамі. Одне дослідження включало проекти дев’яти країни (Бангладеш, Камбоджа, Демократична Республіка Конго, Кенія, Малаві, Молдова, Мозамбік, Непал та Пакистан). Крім того, було одне дослідження, яке проводилося в Есватіні, одне – в Монголії та одне – в Непалі. Усі дослідження вивчали тест Xpert MTB/RIF, за винятком одного, яке вивчало тест Xpert MTB/RIF Ultra (Xpert Ultra).</w:t>
      </w:r>
    </w:p>
    <w:p w:rsidR="00ED665B" w:rsidRPr="00983321" w:rsidRDefault="006C7D2F" w:rsidP="00DC2656">
      <w:pPr>
        <w:spacing w:before="168"/>
        <w:ind w:right="5"/>
        <w:jc w:val="both"/>
        <w:rPr>
          <w:rFonts w:ascii="Calibri" w:hAnsi="Calibri" w:cs="Calibri"/>
          <w:i/>
        </w:rPr>
      </w:pPr>
      <w:r>
        <w:rPr>
          <w:rFonts w:ascii="Calibri" w:hAnsi="Calibri"/>
          <w:color w:val="000000"/>
          <w:sz w:val="22"/>
        </w:rPr>
        <w:t xml:space="preserve">Короткий зміст основних характеристик досліджень, включених у цей огляд, представлено в таблицях характеристик дослідження у </w:t>
      </w:r>
      <w:r>
        <w:rPr>
          <w:rFonts w:ascii="Calibri" w:hAnsi="Calibri"/>
          <w:b/>
          <w:i/>
          <w:color w:val="000000"/>
          <w:sz w:val="22"/>
        </w:rPr>
        <w:t>Вебдодатку 4.10</w:t>
      </w:r>
      <w:r w:rsidRPr="00983321">
        <w:rPr>
          <w:rFonts w:ascii="Calibri" w:hAnsi="Calibri"/>
          <w:i/>
          <w:color w:val="000000"/>
          <w:sz w:val="22"/>
        </w:rPr>
        <w:t>:</w:t>
      </w:r>
      <w:r>
        <w:rPr>
          <w:rFonts w:ascii="Calibri" w:hAnsi="Calibri"/>
          <w:color w:val="000000"/>
          <w:sz w:val="22"/>
        </w:rPr>
        <w:t xml:space="preserve"> </w:t>
      </w:r>
      <w:r w:rsidRPr="00983321">
        <w:rPr>
          <w:rFonts w:ascii="Calibri" w:hAnsi="Calibri"/>
          <w:i/>
          <w:color w:val="000000"/>
          <w:sz w:val="22"/>
        </w:rPr>
        <w:t>ТАНК для виявлення туберкульозу та резистентності до протитуберкульозних препаратів з урахуванням інтересів користувачів: результати якісного синтезу даних: систематичний огляд.</w:t>
      </w:r>
    </w:p>
    <w:p w:rsidR="00ED665B" w:rsidRPr="00907702" w:rsidRDefault="00ED665B" w:rsidP="00DC2656">
      <w:pPr>
        <w:spacing w:before="168"/>
        <w:ind w:right="5"/>
        <w:jc w:val="both"/>
        <w:rPr>
          <w:rFonts w:ascii="Calibri" w:hAnsi="Calibri" w:cs="Calibri"/>
        </w:rPr>
        <w:sectPr w:rsidR="00ED665B" w:rsidRPr="00907702">
          <w:pgSz w:w="11904" w:h="16838"/>
          <w:pgMar w:top="1339" w:right="1411" w:bottom="1483" w:left="1416" w:header="720" w:footer="720" w:gutter="0"/>
          <w:cols w:space="60"/>
          <w:noEndnote/>
        </w:sectPr>
      </w:pPr>
    </w:p>
    <w:p w:rsidR="00ED665B" w:rsidRPr="00C1177C" w:rsidRDefault="006C7D2F" w:rsidP="00DC2656">
      <w:pPr>
        <w:ind w:left="24"/>
        <w:rPr>
          <w:rFonts w:ascii="Calibri" w:hAnsi="Calibri" w:cs="Calibri"/>
          <w:b/>
          <w:bCs/>
          <w:i/>
          <w:iCs/>
          <w:color w:val="009649"/>
        </w:rPr>
      </w:pPr>
      <w:r>
        <w:rPr>
          <w:rFonts w:ascii="Calibri" w:hAnsi="Calibri"/>
          <w:b/>
          <w:i/>
          <w:color w:val="009649"/>
          <w:sz w:val="24"/>
        </w:rPr>
        <w:lastRenderedPageBreak/>
        <w:t>Опитування</w:t>
      </w:r>
    </w:p>
    <w:p w:rsidR="00ED665B" w:rsidRPr="00907702" w:rsidRDefault="006C7D2F" w:rsidP="00DC2656">
      <w:pPr>
        <w:spacing w:before="178"/>
        <w:ind w:left="24" w:right="14"/>
        <w:jc w:val="both"/>
        <w:rPr>
          <w:rFonts w:ascii="Calibri" w:hAnsi="Calibri" w:cs="Calibri"/>
        </w:rPr>
      </w:pPr>
      <w:r>
        <w:rPr>
          <w:rFonts w:ascii="Calibri" w:hAnsi="Calibri"/>
          <w:color w:val="000000"/>
          <w:sz w:val="22"/>
        </w:rPr>
        <w:t xml:space="preserve">Метою опитування було зрозуміти досвід використання учасниками різних технологій (тобто ТАНК для виявлення туберкульозу та резистентності до протитуберкульозних препаратів) та їхній загальний досвід діагностики туберкульозу. Три країни – Індія, Молдова та ПАР – були відібрані на основі того, що вони є у списку 30 країн з високим тягарем МЛС-ТБ ВООЗ </w:t>
      </w:r>
      <w:r w:rsidRPr="009D59CA">
        <w:rPr>
          <w:rFonts w:ascii="Calibri" w:hAnsi="Calibri"/>
          <w:i/>
          <w:color w:val="000000"/>
          <w:sz w:val="22"/>
        </w:rPr>
        <w:t>(1)</w:t>
      </w:r>
      <w:r>
        <w:rPr>
          <w:rFonts w:ascii="Calibri" w:hAnsi="Calibri"/>
          <w:color w:val="000000"/>
          <w:sz w:val="22"/>
        </w:rPr>
        <w:t>, а також того, що індексні тести були певною мірою використані в контексті досліджень у цих країнах. Через короткий термін учасники обирались цілеспрямовано та з ними проводилася робота на основі зручності через особисті контакти та колег.</w:t>
      </w:r>
    </w:p>
    <w:p w:rsidR="00ED665B" w:rsidRPr="00907702" w:rsidRDefault="006C7D2F" w:rsidP="00DC2656">
      <w:pPr>
        <w:spacing w:before="168"/>
        <w:ind w:left="24" w:right="14"/>
        <w:jc w:val="both"/>
        <w:rPr>
          <w:rFonts w:ascii="Calibri" w:hAnsi="Calibri" w:cs="Calibri"/>
        </w:rPr>
      </w:pPr>
      <w:r>
        <w:rPr>
          <w:rFonts w:ascii="Calibri" w:hAnsi="Calibri"/>
          <w:color w:val="000000"/>
          <w:sz w:val="22"/>
        </w:rPr>
        <w:t xml:space="preserve">Огляд учасників наведено у </w:t>
      </w:r>
      <w:r>
        <w:rPr>
          <w:rFonts w:ascii="Calibri" w:hAnsi="Calibri"/>
          <w:color w:val="1B61AF"/>
          <w:sz w:val="22"/>
        </w:rPr>
        <w:t>Таблиці 2.1.24</w:t>
      </w:r>
      <w:r>
        <w:rPr>
          <w:rFonts w:ascii="Calibri" w:hAnsi="Calibri"/>
          <w:color w:val="000000"/>
          <w:sz w:val="22"/>
        </w:rPr>
        <w:t>. Щоб приховати особу учасників дослідження, вони були закодовані за країнами (Молдова [M], Індія [I] або Південно-Африканська Республіка [S]), професією (клініцист або лікар [M], особа, що захищає інтереси пацієнта/представник [R], персонал лабораторії [L] або керівники програми [P]) та номером.</w:t>
      </w:r>
    </w:p>
    <w:p w:rsidR="00ED665B" w:rsidRPr="00907702" w:rsidRDefault="00ED665B" w:rsidP="00DC2656">
      <w:pPr>
        <w:spacing w:after="254"/>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854"/>
        <w:gridCol w:w="1771"/>
        <w:gridCol w:w="1728"/>
        <w:gridCol w:w="1733"/>
      </w:tblGrid>
      <w:tr w:rsidR="00ED665B" w:rsidRPr="00C1177C" w:rsidTr="00C1177C">
        <w:trPr>
          <w:trHeight w:hRule="exact" w:val="509"/>
        </w:trPr>
        <w:tc>
          <w:tcPr>
            <w:tcW w:w="9086" w:type="dxa"/>
            <w:gridSpan w:val="4"/>
            <w:tcBorders>
              <w:top w:val="nil"/>
              <w:left w:val="nil"/>
              <w:bottom w:val="single" w:sz="8" w:space="0" w:color="009649"/>
              <w:right w:val="nil"/>
            </w:tcBorders>
            <w:shd w:val="clear" w:color="auto" w:fill="FFFFFF"/>
          </w:tcPr>
          <w:p w:rsidR="00ED665B" w:rsidRPr="00C1177C" w:rsidRDefault="006C7D2F" w:rsidP="00DC2656">
            <w:pPr>
              <w:rPr>
                <w:rFonts w:ascii="Calibri" w:hAnsi="Calibri" w:cs="Calibri"/>
                <w:b/>
                <w:bCs/>
              </w:rPr>
            </w:pPr>
            <w:r>
              <w:rPr>
                <w:rFonts w:ascii="Calibri" w:hAnsi="Calibri"/>
                <w:b/>
                <w:color w:val="636466"/>
                <w:sz w:val="24"/>
              </w:rPr>
              <w:t>Таблиця 2.1.24. Огляд учасників для кінцевого користувача опитування</w:t>
            </w:r>
          </w:p>
        </w:tc>
      </w:tr>
      <w:tr w:rsidR="00ED665B" w:rsidRPr="00907702" w:rsidTr="00BD40D2">
        <w:trPr>
          <w:trHeight w:val="340"/>
        </w:trPr>
        <w:tc>
          <w:tcPr>
            <w:tcW w:w="385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907702" w:rsidRDefault="00ED665B" w:rsidP="00C1177C">
            <w:pPr>
              <w:jc w:val="center"/>
              <w:rPr>
                <w:rFonts w:ascii="Calibri" w:hAnsi="Calibri" w:cs="Calibri"/>
              </w:rPr>
            </w:pPr>
          </w:p>
        </w:tc>
        <w:tc>
          <w:tcPr>
            <w:tcW w:w="1771"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907702" w:rsidRDefault="006C7D2F" w:rsidP="00C1177C">
            <w:pPr>
              <w:jc w:val="center"/>
              <w:rPr>
                <w:rFonts w:ascii="Calibri" w:hAnsi="Calibri" w:cs="Calibri"/>
              </w:rPr>
            </w:pPr>
            <w:r>
              <w:rPr>
                <w:rFonts w:ascii="Calibri" w:hAnsi="Calibri"/>
                <w:color w:val="000000"/>
                <w:sz w:val="22"/>
              </w:rPr>
              <w:t>Молдова</w:t>
            </w:r>
          </w:p>
        </w:tc>
        <w:tc>
          <w:tcPr>
            <w:tcW w:w="172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907702" w:rsidRDefault="006C7D2F" w:rsidP="00C1177C">
            <w:pPr>
              <w:jc w:val="center"/>
              <w:rPr>
                <w:rFonts w:ascii="Calibri" w:hAnsi="Calibri" w:cs="Calibri"/>
              </w:rPr>
            </w:pPr>
            <w:r>
              <w:rPr>
                <w:rFonts w:ascii="Calibri" w:hAnsi="Calibri"/>
                <w:color w:val="000000"/>
                <w:sz w:val="22"/>
              </w:rPr>
              <w:t>Індія</w:t>
            </w:r>
          </w:p>
        </w:tc>
        <w:tc>
          <w:tcPr>
            <w:tcW w:w="173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907702" w:rsidRDefault="006C7D2F" w:rsidP="00C1177C">
            <w:pPr>
              <w:jc w:val="center"/>
              <w:rPr>
                <w:rFonts w:ascii="Calibri" w:hAnsi="Calibri" w:cs="Calibri"/>
              </w:rPr>
            </w:pPr>
            <w:r>
              <w:rPr>
                <w:rFonts w:ascii="Calibri" w:hAnsi="Calibri"/>
                <w:color w:val="000000"/>
                <w:sz w:val="22"/>
              </w:rPr>
              <w:t>ПАР</w:t>
            </w:r>
          </w:p>
        </w:tc>
      </w:tr>
      <w:tr w:rsidR="00ED665B" w:rsidRPr="00907702" w:rsidTr="00BD40D2">
        <w:trPr>
          <w:trHeight w:val="340"/>
        </w:trPr>
        <w:tc>
          <w:tcPr>
            <w:tcW w:w="3854" w:type="dxa"/>
            <w:tcBorders>
              <w:top w:val="single" w:sz="8" w:space="0" w:color="009649"/>
              <w:left w:val="nil"/>
              <w:bottom w:val="single" w:sz="4" w:space="0" w:color="009649"/>
              <w:right w:val="nil"/>
            </w:tcBorders>
            <w:shd w:val="clear" w:color="auto" w:fill="FFFFFF"/>
            <w:vAlign w:val="center"/>
          </w:tcPr>
          <w:p w:rsidR="00ED665B" w:rsidRPr="00907702" w:rsidRDefault="006C7D2F" w:rsidP="00C1177C">
            <w:pPr>
              <w:ind w:left="43"/>
              <w:rPr>
                <w:rFonts w:ascii="Calibri" w:hAnsi="Calibri" w:cs="Calibri"/>
              </w:rPr>
            </w:pPr>
            <w:r>
              <w:rPr>
                <w:rFonts w:ascii="Calibri" w:hAnsi="Calibri"/>
                <w:color w:val="000000"/>
                <w:sz w:val="22"/>
              </w:rPr>
              <w:t>Клініцист або лікар</w:t>
            </w:r>
          </w:p>
        </w:tc>
        <w:tc>
          <w:tcPr>
            <w:tcW w:w="1771" w:type="dxa"/>
            <w:tcBorders>
              <w:top w:val="single" w:sz="8" w:space="0" w:color="009649"/>
              <w:left w:val="nil"/>
              <w:bottom w:val="single" w:sz="4" w:space="0" w:color="009649"/>
              <w:right w:val="nil"/>
            </w:tcBorders>
            <w:shd w:val="clear" w:color="auto" w:fill="FFFFFF"/>
            <w:vAlign w:val="center"/>
          </w:tcPr>
          <w:p w:rsidR="00ED665B" w:rsidRPr="00907702" w:rsidRDefault="006C7D2F" w:rsidP="00C1177C">
            <w:pPr>
              <w:jc w:val="center"/>
              <w:rPr>
                <w:rFonts w:ascii="Calibri" w:hAnsi="Calibri" w:cs="Calibri"/>
              </w:rPr>
            </w:pPr>
            <w:r>
              <w:rPr>
                <w:rFonts w:ascii="Calibri" w:hAnsi="Calibri"/>
                <w:color w:val="000000"/>
                <w:sz w:val="22"/>
              </w:rPr>
              <w:t>1</w:t>
            </w:r>
          </w:p>
        </w:tc>
        <w:tc>
          <w:tcPr>
            <w:tcW w:w="1728" w:type="dxa"/>
            <w:tcBorders>
              <w:top w:val="single" w:sz="8" w:space="0" w:color="009649"/>
              <w:left w:val="nil"/>
              <w:bottom w:val="single" w:sz="4" w:space="0" w:color="009649"/>
              <w:right w:val="nil"/>
            </w:tcBorders>
            <w:shd w:val="clear" w:color="auto" w:fill="FFFFFF"/>
            <w:vAlign w:val="center"/>
          </w:tcPr>
          <w:p w:rsidR="00ED665B" w:rsidRPr="00907702" w:rsidRDefault="006C7D2F" w:rsidP="00C1177C">
            <w:pPr>
              <w:jc w:val="center"/>
              <w:rPr>
                <w:rFonts w:ascii="Calibri" w:hAnsi="Calibri" w:cs="Calibri"/>
              </w:rPr>
            </w:pPr>
            <w:r>
              <w:rPr>
                <w:rFonts w:ascii="Calibri" w:hAnsi="Calibri"/>
                <w:color w:val="000000"/>
                <w:sz w:val="22"/>
              </w:rPr>
              <w:t>1</w:t>
            </w:r>
          </w:p>
        </w:tc>
        <w:tc>
          <w:tcPr>
            <w:tcW w:w="1733" w:type="dxa"/>
            <w:tcBorders>
              <w:top w:val="single" w:sz="8" w:space="0" w:color="009649"/>
              <w:left w:val="nil"/>
              <w:bottom w:val="single" w:sz="4" w:space="0" w:color="009649"/>
              <w:right w:val="nil"/>
            </w:tcBorders>
            <w:shd w:val="clear" w:color="auto" w:fill="FFFFFF"/>
            <w:vAlign w:val="center"/>
          </w:tcPr>
          <w:p w:rsidR="00ED665B" w:rsidRPr="00907702" w:rsidRDefault="006C7D2F" w:rsidP="00C1177C">
            <w:pPr>
              <w:jc w:val="center"/>
              <w:rPr>
                <w:rFonts w:ascii="Calibri" w:hAnsi="Calibri" w:cs="Calibri"/>
              </w:rPr>
            </w:pPr>
            <w:r>
              <w:rPr>
                <w:rFonts w:ascii="Calibri" w:hAnsi="Calibri"/>
                <w:color w:val="000000"/>
                <w:sz w:val="22"/>
              </w:rPr>
              <w:t>1</w:t>
            </w:r>
          </w:p>
        </w:tc>
      </w:tr>
      <w:tr w:rsidR="00ED665B" w:rsidRPr="00907702" w:rsidTr="00BD40D2">
        <w:trPr>
          <w:trHeight w:val="340"/>
        </w:trPr>
        <w:tc>
          <w:tcPr>
            <w:tcW w:w="3854" w:type="dxa"/>
            <w:tcBorders>
              <w:top w:val="single" w:sz="4" w:space="0" w:color="009649"/>
              <w:left w:val="nil"/>
              <w:bottom w:val="single" w:sz="4" w:space="0" w:color="009649"/>
              <w:right w:val="nil"/>
            </w:tcBorders>
            <w:shd w:val="clear" w:color="auto" w:fill="FFFFFF"/>
            <w:vAlign w:val="center"/>
          </w:tcPr>
          <w:p w:rsidR="00ED665B" w:rsidRPr="00907702" w:rsidRDefault="006C7D2F" w:rsidP="00C1177C">
            <w:pPr>
              <w:ind w:left="43"/>
              <w:rPr>
                <w:rFonts w:ascii="Calibri" w:hAnsi="Calibri" w:cs="Calibri"/>
              </w:rPr>
            </w:pPr>
            <w:r>
              <w:rPr>
                <w:rFonts w:ascii="Calibri" w:hAnsi="Calibri"/>
                <w:color w:val="000000"/>
                <w:sz w:val="22"/>
              </w:rPr>
              <w:t>Особа, що захищає інтереси пацієнта/представник</w:t>
            </w:r>
          </w:p>
        </w:tc>
        <w:tc>
          <w:tcPr>
            <w:tcW w:w="1771" w:type="dxa"/>
            <w:tcBorders>
              <w:top w:val="single" w:sz="4" w:space="0" w:color="009649"/>
              <w:left w:val="nil"/>
              <w:bottom w:val="single" w:sz="4" w:space="0" w:color="009649"/>
              <w:right w:val="nil"/>
            </w:tcBorders>
            <w:shd w:val="clear" w:color="auto" w:fill="FFFFFF"/>
            <w:vAlign w:val="center"/>
          </w:tcPr>
          <w:p w:rsidR="00ED665B" w:rsidRPr="00907702" w:rsidRDefault="006C7D2F" w:rsidP="00C1177C">
            <w:pPr>
              <w:jc w:val="center"/>
              <w:rPr>
                <w:rFonts w:ascii="Calibri" w:hAnsi="Calibri" w:cs="Calibri"/>
              </w:rPr>
            </w:pPr>
            <w:r>
              <w:rPr>
                <w:rFonts w:ascii="Calibri" w:hAnsi="Calibri"/>
                <w:color w:val="000000"/>
                <w:sz w:val="22"/>
              </w:rPr>
              <w:t>1</w:t>
            </w:r>
          </w:p>
        </w:tc>
        <w:tc>
          <w:tcPr>
            <w:tcW w:w="1728" w:type="dxa"/>
            <w:tcBorders>
              <w:top w:val="single" w:sz="4" w:space="0" w:color="009649"/>
              <w:left w:val="nil"/>
              <w:bottom w:val="single" w:sz="4" w:space="0" w:color="009649"/>
              <w:right w:val="nil"/>
            </w:tcBorders>
            <w:shd w:val="clear" w:color="auto" w:fill="FFFFFF"/>
            <w:vAlign w:val="center"/>
          </w:tcPr>
          <w:p w:rsidR="00ED665B" w:rsidRPr="00907702" w:rsidRDefault="006C7D2F" w:rsidP="00C1177C">
            <w:pPr>
              <w:jc w:val="center"/>
              <w:rPr>
                <w:rFonts w:ascii="Calibri" w:hAnsi="Calibri" w:cs="Calibri"/>
              </w:rPr>
            </w:pPr>
            <w:r>
              <w:rPr>
                <w:rFonts w:ascii="Calibri" w:hAnsi="Calibri"/>
                <w:color w:val="000000"/>
                <w:sz w:val="22"/>
              </w:rPr>
              <w:t>1</w:t>
            </w:r>
          </w:p>
        </w:tc>
        <w:tc>
          <w:tcPr>
            <w:tcW w:w="1733" w:type="dxa"/>
            <w:tcBorders>
              <w:top w:val="single" w:sz="4" w:space="0" w:color="009649"/>
              <w:left w:val="nil"/>
              <w:bottom w:val="single" w:sz="4" w:space="0" w:color="009649"/>
              <w:right w:val="nil"/>
            </w:tcBorders>
            <w:shd w:val="clear" w:color="auto" w:fill="FFFFFF"/>
            <w:vAlign w:val="center"/>
          </w:tcPr>
          <w:p w:rsidR="00ED665B" w:rsidRPr="00907702" w:rsidRDefault="006C7D2F" w:rsidP="00C1177C">
            <w:pPr>
              <w:jc w:val="center"/>
              <w:rPr>
                <w:rFonts w:ascii="Calibri" w:hAnsi="Calibri" w:cs="Calibri"/>
              </w:rPr>
            </w:pPr>
            <w:r>
              <w:rPr>
                <w:rFonts w:ascii="Calibri" w:hAnsi="Calibri"/>
                <w:color w:val="000000"/>
                <w:sz w:val="22"/>
              </w:rPr>
              <w:t>1</w:t>
            </w:r>
          </w:p>
        </w:tc>
      </w:tr>
      <w:tr w:rsidR="00ED665B" w:rsidRPr="00907702" w:rsidTr="00BD40D2">
        <w:trPr>
          <w:trHeight w:val="340"/>
        </w:trPr>
        <w:tc>
          <w:tcPr>
            <w:tcW w:w="3854" w:type="dxa"/>
            <w:tcBorders>
              <w:top w:val="single" w:sz="4" w:space="0" w:color="009649"/>
              <w:left w:val="nil"/>
              <w:bottom w:val="single" w:sz="4" w:space="0" w:color="009649"/>
              <w:right w:val="nil"/>
            </w:tcBorders>
            <w:shd w:val="clear" w:color="auto" w:fill="FFFFFF"/>
            <w:vAlign w:val="center"/>
          </w:tcPr>
          <w:p w:rsidR="00ED665B" w:rsidRPr="00907702" w:rsidRDefault="006C7D2F" w:rsidP="00C1177C">
            <w:pPr>
              <w:ind w:left="43"/>
              <w:rPr>
                <w:rFonts w:ascii="Calibri" w:hAnsi="Calibri" w:cs="Calibri"/>
              </w:rPr>
            </w:pPr>
            <w:r>
              <w:rPr>
                <w:rFonts w:ascii="Calibri" w:hAnsi="Calibri"/>
                <w:color w:val="000000"/>
                <w:sz w:val="22"/>
              </w:rPr>
              <w:t>Персонал лабораторії</w:t>
            </w:r>
          </w:p>
        </w:tc>
        <w:tc>
          <w:tcPr>
            <w:tcW w:w="1771" w:type="dxa"/>
            <w:tcBorders>
              <w:top w:val="single" w:sz="4" w:space="0" w:color="009649"/>
              <w:left w:val="nil"/>
              <w:bottom w:val="single" w:sz="4" w:space="0" w:color="009649"/>
              <w:right w:val="nil"/>
            </w:tcBorders>
            <w:shd w:val="clear" w:color="auto" w:fill="FFFFFF"/>
            <w:vAlign w:val="center"/>
          </w:tcPr>
          <w:p w:rsidR="00ED665B" w:rsidRPr="00907702" w:rsidRDefault="006C7D2F" w:rsidP="00C1177C">
            <w:pPr>
              <w:jc w:val="center"/>
              <w:rPr>
                <w:rFonts w:ascii="Calibri" w:hAnsi="Calibri" w:cs="Calibri"/>
              </w:rPr>
            </w:pPr>
            <w:r>
              <w:rPr>
                <w:rFonts w:ascii="Calibri" w:hAnsi="Calibri"/>
                <w:color w:val="000000"/>
                <w:sz w:val="22"/>
              </w:rPr>
              <w:t>2</w:t>
            </w:r>
            <w:r>
              <w:rPr>
                <w:rFonts w:ascii="Calibri" w:hAnsi="Calibri"/>
                <w:color w:val="000000"/>
                <w:sz w:val="22"/>
                <w:vertAlign w:val="superscript"/>
              </w:rPr>
              <w:t>a</w:t>
            </w:r>
          </w:p>
        </w:tc>
        <w:tc>
          <w:tcPr>
            <w:tcW w:w="1728" w:type="dxa"/>
            <w:tcBorders>
              <w:top w:val="single" w:sz="4" w:space="0" w:color="009649"/>
              <w:left w:val="nil"/>
              <w:bottom w:val="single" w:sz="4" w:space="0" w:color="009649"/>
              <w:right w:val="nil"/>
            </w:tcBorders>
            <w:shd w:val="clear" w:color="auto" w:fill="FFFFFF"/>
            <w:vAlign w:val="center"/>
          </w:tcPr>
          <w:p w:rsidR="00ED665B" w:rsidRPr="00907702" w:rsidRDefault="006C7D2F" w:rsidP="00C1177C">
            <w:pPr>
              <w:jc w:val="center"/>
              <w:rPr>
                <w:rFonts w:ascii="Calibri" w:hAnsi="Calibri" w:cs="Calibri"/>
              </w:rPr>
            </w:pPr>
            <w:r>
              <w:rPr>
                <w:rFonts w:ascii="Calibri" w:hAnsi="Calibri"/>
                <w:color w:val="000000"/>
                <w:sz w:val="22"/>
              </w:rPr>
              <w:t>5</w:t>
            </w:r>
            <w:r>
              <w:rPr>
                <w:rFonts w:ascii="Calibri" w:hAnsi="Calibri"/>
                <w:color w:val="000000"/>
                <w:sz w:val="22"/>
                <w:vertAlign w:val="superscript"/>
              </w:rPr>
              <w:t>a</w:t>
            </w:r>
          </w:p>
        </w:tc>
        <w:tc>
          <w:tcPr>
            <w:tcW w:w="1733" w:type="dxa"/>
            <w:tcBorders>
              <w:top w:val="single" w:sz="4" w:space="0" w:color="009649"/>
              <w:left w:val="nil"/>
              <w:bottom w:val="single" w:sz="4" w:space="0" w:color="009649"/>
              <w:right w:val="nil"/>
            </w:tcBorders>
            <w:shd w:val="clear" w:color="auto" w:fill="FFFFFF"/>
            <w:vAlign w:val="center"/>
          </w:tcPr>
          <w:p w:rsidR="00ED665B" w:rsidRPr="00907702" w:rsidRDefault="006C7D2F" w:rsidP="00C1177C">
            <w:pPr>
              <w:jc w:val="center"/>
              <w:rPr>
                <w:rFonts w:ascii="Calibri" w:hAnsi="Calibri" w:cs="Calibri"/>
              </w:rPr>
            </w:pPr>
            <w:r>
              <w:rPr>
                <w:rFonts w:ascii="Calibri" w:hAnsi="Calibri"/>
                <w:color w:val="000000"/>
                <w:sz w:val="22"/>
              </w:rPr>
              <w:t>2</w:t>
            </w:r>
          </w:p>
        </w:tc>
      </w:tr>
      <w:tr w:rsidR="00ED665B" w:rsidRPr="00907702" w:rsidTr="00BD40D2">
        <w:trPr>
          <w:trHeight w:val="340"/>
        </w:trPr>
        <w:tc>
          <w:tcPr>
            <w:tcW w:w="3854" w:type="dxa"/>
            <w:tcBorders>
              <w:top w:val="single" w:sz="4" w:space="0" w:color="009649"/>
              <w:left w:val="nil"/>
              <w:bottom w:val="single" w:sz="4" w:space="0" w:color="009649"/>
              <w:right w:val="nil"/>
            </w:tcBorders>
            <w:shd w:val="clear" w:color="auto" w:fill="FFFFFF"/>
            <w:vAlign w:val="center"/>
          </w:tcPr>
          <w:p w:rsidR="00ED665B" w:rsidRPr="00907702" w:rsidRDefault="006C7D2F" w:rsidP="00C1177C">
            <w:pPr>
              <w:ind w:left="43"/>
              <w:rPr>
                <w:rFonts w:ascii="Calibri" w:hAnsi="Calibri" w:cs="Calibri"/>
              </w:rPr>
            </w:pPr>
            <w:r>
              <w:rPr>
                <w:rFonts w:ascii="Calibri" w:hAnsi="Calibri"/>
                <w:color w:val="000000"/>
                <w:sz w:val="22"/>
              </w:rPr>
              <w:t>Керівники програми</w:t>
            </w:r>
          </w:p>
        </w:tc>
        <w:tc>
          <w:tcPr>
            <w:tcW w:w="1771" w:type="dxa"/>
            <w:tcBorders>
              <w:top w:val="single" w:sz="4" w:space="0" w:color="009649"/>
              <w:left w:val="nil"/>
              <w:bottom w:val="single" w:sz="4" w:space="0" w:color="009649"/>
              <w:right w:val="nil"/>
            </w:tcBorders>
            <w:shd w:val="clear" w:color="auto" w:fill="FFFFFF"/>
            <w:vAlign w:val="center"/>
          </w:tcPr>
          <w:p w:rsidR="00ED665B" w:rsidRPr="00907702" w:rsidRDefault="006C7D2F" w:rsidP="00C1177C">
            <w:pPr>
              <w:jc w:val="center"/>
              <w:rPr>
                <w:rFonts w:ascii="Calibri" w:hAnsi="Calibri" w:cs="Calibri"/>
              </w:rPr>
            </w:pPr>
            <w:r>
              <w:rPr>
                <w:rFonts w:ascii="Calibri" w:hAnsi="Calibri"/>
                <w:color w:val="000000"/>
                <w:sz w:val="22"/>
              </w:rPr>
              <w:t>2</w:t>
            </w:r>
            <w:r>
              <w:rPr>
                <w:rFonts w:ascii="Calibri" w:hAnsi="Calibri"/>
                <w:color w:val="000000"/>
                <w:sz w:val="22"/>
                <w:vertAlign w:val="superscript"/>
              </w:rPr>
              <w:t>a</w:t>
            </w:r>
          </w:p>
        </w:tc>
        <w:tc>
          <w:tcPr>
            <w:tcW w:w="1728" w:type="dxa"/>
            <w:tcBorders>
              <w:top w:val="single" w:sz="4" w:space="0" w:color="009649"/>
              <w:left w:val="nil"/>
              <w:bottom w:val="single" w:sz="4" w:space="0" w:color="009649"/>
              <w:right w:val="nil"/>
            </w:tcBorders>
            <w:shd w:val="clear" w:color="auto" w:fill="FFFFFF"/>
            <w:vAlign w:val="center"/>
          </w:tcPr>
          <w:p w:rsidR="00ED665B" w:rsidRPr="00907702" w:rsidRDefault="006C7D2F" w:rsidP="00C1177C">
            <w:pPr>
              <w:jc w:val="center"/>
              <w:rPr>
                <w:rFonts w:ascii="Calibri" w:hAnsi="Calibri" w:cs="Calibri"/>
              </w:rPr>
            </w:pPr>
            <w:r>
              <w:rPr>
                <w:rFonts w:ascii="Calibri" w:hAnsi="Calibri"/>
                <w:color w:val="000000"/>
                <w:sz w:val="22"/>
              </w:rPr>
              <w:t>2</w:t>
            </w:r>
          </w:p>
        </w:tc>
        <w:tc>
          <w:tcPr>
            <w:tcW w:w="1733" w:type="dxa"/>
            <w:tcBorders>
              <w:top w:val="single" w:sz="4" w:space="0" w:color="009649"/>
              <w:left w:val="nil"/>
              <w:bottom w:val="single" w:sz="4" w:space="0" w:color="009649"/>
              <w:right w:val="nil"/>
            </w:tcBorders>
            <w:shd w:val="clear" w:color="auto" w:fill="FFFFFF"/>
            <w:vAlign w:val="center"/>
          </w:tcPr>
          <w:p w:rsidR="00ED665B" w:rsidRPr="00907702" w:rsidRDefault="006C7D2F" w:rsidP="00C1177C">
            <w:pPr>
              <w:jc w:val="center"/>
              <w:rPr>
                <w:rFonts w:ascii="Calibri" w:hAnsi="Calibri" w:cs="Calibri"/>
              </w:rPr>
            </w:pPr>
            <w:r>
              <w:rPr>
                <w:rFonts w:ascii="Calibri" w:hAnsi="Calibri"/>
                <w:color w:val="000000"/>
                <w:sz w:val="22"/>
              </w:rPr>
              <w:t>1</w:t>
            </w:r>
          </w:p>
        </w:tc>
      </w:tr>
      <w:tr w:rsidR="00ED665B" w:rsidRPr="00907702" w:rsidTr="00BD40D2">
        <w:trPr>
          <w:trHeight w:val="340"/>
        </w:trPr>
        <w:tc>
          <w:tcPr>
            <w:tcW w:w="9086" w:type="dxa"/>
            <w:gridSpan w:val="4"/>
            <w:tcBorders>
              <w:top w:val="single" w:sz="4" w:space="0" w:color="009649"/>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6"/>
                <w:vertAlign w:val="superscript"/>
              </w:rPr>
              <w:t>a</w:t>
            </w:r>
            <w:r>
              <w:rPr>
                <w:rFonts w:ascii="Calibri" w:hAnsi="Calibri"/>
                <w:color w:val="000000"/>
                <w:sz w:val="16"/>
              </w:rPr>
              <w:t xml:space="preserve"> Учасники були опитані у групі.</w:t>
            </w:r>
          </w:p>
        </w:tc>
      </w:tr>
    </w:tbl>
    <w:p w:rsidR="00ED665B" w:rsidRPr="00907702" w:rsidRDefault="00ED665B" w:rsidP="00DC2656">
      <w:pPr>
        <w:spacing w:after="336"/>
        <w:rPr>
          <w:rFonts w:ascii="Calibri" w:hAnsi="Calibri" w:cs="Calibri"/>
          <w:sz w:val="2"/>
          <w:szCs w:val="2"/>
        </w:rPr>
      </w:pPr>
    </w:p>
    <w:p w:rsidR="00C1177C" w:rsidRPr="00C1177C" w:rsidRDefault="00C1177C" w:rsidP="00C1177C">
      <w:pPr>
        <w:spacing w:before="168"/>
        <w:ind w:left="24" w:right="14"/>
        <w:jc w:val="both"/>
        <w:rPr>
          <w:rFonts w:ascii="Calibri" w:hAnsi="Calibri" w:cs="Calibri"/>
          <w:color w:val="000000"/>
          <w:sz w:val="22"/>
          <w:szCs w:val="22"/>
        </w:rPr>
      </w:pPr>
      <w:r>
        <w:rPr>
          <w:rFonts w:ascii="Calibri" w:hAnsi="Calibri"/>
          <w:color w:val="000000"/>
          <w:sz w:val="22"/>
        </w:rPr>
        <w:t xml:space="preserve">Опитування проводили у Zoom, Skype або телефоном. Серед обговорюваних тем були наступні: </w:t>
      </w:r>
    </w:p>
    <w:p w:rsidR="00C1177C" w:rsidRPr="00C1177C" w:rsidRDefault="00C1177C" w:rsidP="00C1177C">
      <w:pPr>
        <w:pStyle w:val="a3"/>
        <w:numPr>
          <w:ilvl w:val="0"/>
          <w:numId w:val="32"/>
        </w:numPr>
        <w:spacing w:before="168"/>
        <w:ind w:left="284" w:right="14" w:hanging="284"/>
        <w:jc w:val="both"/>
        <w:rPr>
          <w:rFonts w:ascii="Calibri" w:hAnsi="Calibri" w:cs="Calibri"/>
          <w:color w:val="000000"/>
          <w:sz w:val="22"/>
          <w:szCs w:val="22"/>
        </w:rPr>
      </w:pPr>
      <w:r>
        <w:rPr>
          <w:rFonts w:ascii="Calibri" w:hAnsi="Calibri"/>
          <w:color w:val="000000"/>
          <w:sz w:val="22"/>
        </w:rPr>
        <w:t xml:space="preserve">сучасний підхід до діагностики туберкульозу, МЛС-ТБ та туберкульоз із широкою лікарською стійкістю (ШЛС-ТБ), зокрема конкретні проблеми; </w:t>
      </w:r>
    </w:p>
    <w:p w:rsidR="00C1177C" w:rsidRPr="00C1177C" w:rsidRDefault="00C1177C" w:rsidP="00C1177C">
      <w:pPr>
        <w:pStyle w:val="a3"/>
        <w:numPr>
          <w:ilvl w:val="0"/>
          <w:numId w:val="32"/>
        </w:numPr>
        <w:ind w:left="284" w:right="14" w:hanging="284"/>
        <w:jc w:val="both"/>
        <w:rPr>
          <w:rFonts w:ascii="Calibri" w:hAnsi="Calibri" w:cs="Calibri"/>
          <w:color w:val="000000"/>
          <w:sz w:val="22"/>
          <w:szCs w:val="22"/>
        </w:rPr>
      </w:pPr>
      <w:r>
        <w:rPr>
          <w:rFonts w:ascii="Calibri" w:hAnsi="Calibri"/>
          <w:color w:val="000000"/>
          <w:sz w:val="22"/>
        </w:rPr>
        <w:t xml:space="preserve">досвід використання молекулярної діагностики туберкульозу та конкретних індексних тестів, зокрема подробиці про кроки, вжиті в процесі діагностики; </w:t>
      </w:r>
    </w:p>
    <w:p w:rsidR="00C1177C" w:rsidRPr="00C1177C" w:rsidRDefault="00C1177C" w:rsidP="00C1177C">
      <w:pPr>
        <w:pStyle w:val="a3"/>
        <w:numPr>
          <w:ilvl w:val="0"/>
          <w:numId w:val="32"/>
        </w:numPr>
        <w:ind w:left="284" w:right="14" w:hanging="284"/>
        <w:jc w:val="both"/>
        <w:rPr>
          <w:rFonts w:ascii="Calibri" w:hAnsi="Calibri" w:cs="Calibri"/>
          <w:color w:val="000000"/>
          <w:sz w:val="22"/>
          <w:szCs w:val="22"/>
        </w:rPr>
      </w:pPr>
      <w:r>
        <w:rPr>
          <w:rFonts w:ascii="Calibri" w:hAnsi="Calibri"/>
          <w:color w:val="000000"/>
          <w:sz w:val="22"/>
        </w:rPr>
        <w:t xml:space="preserve">досвід визначення відповідності та ініціювання лікування, виклики та переваги використання індексних тестів; </w:t>
      </w:r>
    </w:p>
    <w:p w:rsidR="00C1177C" w:rsidRPr="00C1177C" w:rsidRDefault="00C1177C" w:rsidP="00C1177C">
      <w:pPr>
        <w:pStyle w:val="a3"/>
        <w:numPr>
          <w:ilvl w:val="0"/>
          <w:numId w:val="32"/>
        </w:numPr>
        <w:ind w:left="284" w:right="14" w:hanging="284"/>
        <w:jc w:val="both"/>
        <w:rPr>
          <w:rFonts w:ascii="Calibri" w:hAnsi="Calibri" w:cs="Calibri"/>
          <w:color w:val="000000"/>
          <w:sz w:val="22"/>
          <w:szCs w:val="22"/>
        </w:rPr>
      </w:pPr>
      <w:r>
        <w:rPr>
          <w:rFonts w:ascii="Calibri" w:hAnsi="Calibri"/>
          <w:color w:val="000000"/>
          <w:sz w:val="22"/>
        </w:rPr>
        <w:t xml:space="preserve">загальна корисність індексних тестів; </w:t>
      </w:r>
    </w:p>
    <w:p w:rsidR="00C1177C" w:rsidRPr="00C1177C" w:rsidRDefault="00C1177C" w:rsidP="00C1177C">
      <w:pPr>
        <w:pStyle w:val="a3"/>
        <w:numPr>
          <w:ilvl w:val="0"/>
          <w:numId w:val="32"/>
        </w:numPr>
        <w:ind w:left="284" w:right="14" w:hanging="284"/>
        <w:jc w:val="both"/>
        <w:rPr>
          <w:rFonts w:ascii="Calibri" w:hAnsi="Calibri" w:cs="Calibri"/>
          <w:color w:val="000000"/>
          <w:sz w:val="22"/>
          <w:szCs w:val="22"/>
        </w:rPr>
      </w:pPr>
      <w:r>
        <w:rPr>
          <w:rFonts w:ascii="Calibri" w:hAnsi="Calibri"/>
          <w:color w:val="000000"/>
          <w:sz w:val="22"/>
        </w:rPr>
        <w:t xml:space="preserve">доцільність впровадження індексних тестів; </w:t>
      </w:r>
    </w:p>
    <w:p w:rsidR="00C1177C" w:rsidRPr="00C1177C" w:rsidRDefault="00C1177C" w:rsidP="00C1177C">
      <w:pPr>
        <w:pStyle w:val="a3"/>
        <w:numPr>
          <w:ilvl w:val="0"/>
          <w:numId w:val="32"/>
        </w:numPr>
        <w:ind w:left="284" w:right="14" w:hanging="284"/>
        <w:jc w:val="both"/>
        <w:rPr>
          <w:rFonts w:ascii="Calibri" w:hAnsi="Calibri" w:cs="Calibri"/>
          <w:color w:val="000000"/>
          <w:sz w:val="22"/>
          <w:szCs w:val="22"/>
        </w:rPr>
      </w:pPr>
      <w:r>
        <w:rPr>
          <w:rFonts w:ascii="Calibri" w:hAnsi="Calibri"/>
          <w:color w:val="000000"/>
          <w:sz w:val="22"/>
        </w:rPr>
        <w:t xml:space="preserve">потенційний вплив індексних тестів на рівність при отриманні послуг у сфері охорони здоров’я; і </w:t>
      </w:r>
    </w:p>
    <w:p w:rsidR="00C1177C" w:rsidRPr="00C1177C" w:rsidRDefault="00C1177C" w:rsidP="00C1177C">
      <w:pPr>
        <w:pStyle w:val="a3"/>
        <w:numPr>
          <w:ilvl w:val="0"/>
          <w:numId w:val="32"/>
        </w:numPr>
        <w:ind w:left="284" w:right="14" w:hanging="284"/>
        <w:jc w:val="both"/>
        <w:rPr>
          <w:rFonts w:ascii="Calibri" w:hAnsi="Calibri" w:cs="Calibri"/>
          <w:color w:val="000000"/>
          <w:sz w:val="22"/>
          <w:szCs w:val="22"/>
        </w:rPr>
      </w:pPr>
      <w:r>
        <w:rPr>
          <w:rFonts w:ascii="Calibri" w:hAnsi="Calibri"/>
          <w:color w:val="000000"/>
          <w:sz w:val="22"/>
        </w:rPr>
        <w:t xml:space="preserve">як потенційний вплив індексних тестів пов’язаний із поточним контекстом політик. </w:t>
      </w:r>
    </w:p>
    <w:p w:rsidR="00ED665B" w:rsidRPr="00C1177C" w:rsidRDefault="00C1177C" w:rsidP="00C1177C">
      <w:pPr>
        <w:spacing w:before="168"/>
        <w:ind w:left="24" w:right="14"/>
        <w:jc w:val="both"/>
        <w:rPr>
          <w:rFonts w:ascii="Calibri" w:hAnsi="Calibri" w:cs="Calibri"/>
          <w:color w:val="000000"/>
          <w:sz w:val="22"/>
          <w:szCs w:val="22"/>
        </w:rPr>
      </w:pPr>
      <w:r>
        <w:rPr>
          <w:rFonts w:ascii="Calibri" w:hAnsi="Calibri"/>
          <w:color w:val="000000"/>
          <w:sz w:val="22"/>
        </w:rPr>
        <w:t>Було відзначено кілька важливих обмежень цього підходу. Було опитано лише кілька учасників з кожної країни. Через використання Zoom, Skype або телефону для опитувань не вдалося триангулювати дані опитувань з іншими даними, зазвичай зібраними за допомогою етнографічних підходів (наприклад, багаторазове опитування та неофіційні бесіди на одному об’єкті, спостереження чи відвідування центрів). Крім того, лише деякі учасники мали особистий досвід роботи з одним або всіма індексними тестами, а ті учасники, які мали досвід роботи з тестами, використовували їх у дослідницьких умовах, а не для звичайної практики.</w:t>
      </w:r>
    </w:p>
    <w:p w:rsidR="00C1177C" w:rsidRPr="00C1177C" w:rsidRDefault="00C1177C" w:rsidP="00C1177C">
      <w:pPr>
        <w:spacing w:before="168"/>
        <w:ind w:left="24" w:right="14"/>
        <w:jc w:val="both"/>
        <w:rPr>
          <w:rFonts w:ascii="Calibri" w:hAnsi="Calibri" w:cs="Calibri"/>
          <w:color w:val="000000"/>
          <w:sz w:val="22"/>
          <w:szCs w:val="22"/>
        </w:rPr>
        <w:sectPr w:rsidR="00C1177C" w:rsidRPr="00C1177C">
          <w:pgSz w:w="11904" w:h="16838"/>
          <w:pgMar w:top="1382" w:right="1402" w:bottom="1776" w:left="1392" w:header="720" w:footer="720" w:gutter="0"/>
          <w:cols w:space="60"/>
          <w:noEndnote/>
        </w:sectPr>
      </w:pPr>
    </w:p>
    <w:p w:rsidR="00ED665B" w:rsidRPr="00907702" w:rsidRDefault="006C7D2F" w:rsidP="00A23E6E">
      <w:pPr>
        <w:ind w:right="5"/>
        <w:jc w:val="both"/>
        <w:rPr>
          <w:rFonts w:ascii="Calibri" w:hAnsi="Calibri" w:cs="Calibri"/>
        </w:rPr>
      </w:pPr>
      <w:r>
        <w:rPr>
          <w:rFonts w:ascii="Calibri" w:hAnsi="Calibri"/>
          <w:color w:val="000000"/>
          <w:sz w:val="22"/>
        </w:rPr>
        <w:lastRenderedPageBreak/>
        <w:t>Більш детальна інформація про опитування наведена у</w:t>
      </w:r>
      <w:r>
        <w:rPr>
          <w:rFonts w:ascii="Calibri" w:hAnsi="Calibri"/>
          <w:b/>
          <w:color w:val="000000"/>
          <w:sz w:val="22"/>
        </w:rPr>
        <w:t xml:space="preserve"> </w:t>
      </w:r>
      <w:r w:rsidRPr="00A23E6E">
        <w:rPr>
          <w:rFonts w:ascii="Calibri" w:hAnsi="Calibri"/>
          <w:b/>
          <w:i/>
          <w:color w:val="000000"/>
          <w:sz w:val="22"/>
        </w:rPr>
        <w:t>Вебдодатку 4.10</w:t>
      </w:r>
      <w:r w:rsidRPr="00A23E6E">
        <w:rPr>
          <w:rFonts w:ascii="Calibri" w:hAnsi="Calibri"/>
          <w:i/>
          <w:color w:val="000000"/>
          <w:sz w:val="22"/>
        </w:rPr>
        <w:t>: Тести на ампліфікацію нуклеїнової кислоти на туберкульоз і медикаментозну резистентність до туберкульозу з урахуванням інтересів користувачів: дослідження в ході опитувань.</w:t>
      </w:r>
    </w:p>
    <w:p w:rsidR="00ED665B" w:rsidRPr="00C1177C" w:rsidRDefault="006C7D2F" w:rsidP="00A23E6E">
      <w:pPr>
        <w:spacing w:before="278"/>
        <w:jc w:val="both"/>
        <w:rPr>
          <w:rFonts w:ascii="Calibri" w:hAnsi="Calibri" w:cs="Calibri"/>
          <w:b/>
          <w:bCs/>
          <w:i/>
          <w:iCs/>
          <w:color w:val="009649"/>
        </w:rPr>
      </w:pPr>
      <w:r>
        <w:rPr>
          <w:rFonts w:ascii="Calibri" w:hAnsi="Calibri"/>
          <w:b/>
          <w:i/>
          <w:color w:val="009649"/>
          <w:sz w:val="22"/>
        </w:rPr>
        <w:t>Висновки огляду та опитування</w:t>
      </w:r>
    </w:p>
    <w:p w:rsidR="00ED665B" w:rsidRPr="00907702" w:rsidRDefault="006C7D2F" w:rsidP="00A23E6E">
      <w:pPr>
        <w:spacing w:before="182"/>
        <w:ind w:right="5"/>
        <w:jc w:val="both"/>
        <w:rPr>
          <w:rFonts w:ascii="Calibri" w:hAnsi="Calibri" w:cs="Calibri"/>
        </w:rPr>
      </w:pPr>
      <w:r>
        <w:rPr>
          <w:rFonts w:ascii="Calibri" w:hAnsi="Calibri"/>
          <w:color w:val="000000"/>
          <w:sz w:val="22"/>
        </w:rPr>
        <w:t>Нижче наведені основні висновки систематичного огляду та опитування. Якщо є інформація щодо огляду, надається рівень достовірності у синтезі якісних доказів (СЯК); якщо інформацію отримано з опитувань, вказується «опитування».</w:t>
      </w:r>
    </w:p>
    <w:p w:rsidR="00ED665B" w:rsidRPr="00A23E6E" w:rsidRDefault="006C7D2F" w:rsidP="00A23E6E">
      <w:pPr>
        <w:spacing w:before="163"/>
        <w:ind w:right="14"/>
        <w:jc w:val="both"/>
        <w:rPr>
          <w:rFonts w:ascii="Calibri" w:hAnsi="Calibri" w:cs="Calibri"/>
          <w:b/>
        </w:rPr>
      </w:pPr>
      <w:r w:rsidRPr="00A23E6E">
        <w:rPr>
          <w:rFonts w:ascii="Calibri" w:hAnsi="Calibri"/>
          <w:b/>
          <w:color w:val="000000"/>
          <w:sz w:val="22"/>
        </w:rPr>
        <w:t>Чи є важлива невизначеність або різниця в тому, наскільки кінцеві користувачі оцінюють основні результати?</w:t>
      </w:r>
    </w:p>
    <w:p w:rsidR="00ED665B" w:rsidRPr="00907702" w:rsidRDefault="006C7D2F" w:rsidP="00A23E6E">
      <w:pPr>
        <w:tabs>
          <w:tab w:val="left" w:pos="240"/>
        </w:tabs>
        <w:spacing w:before="168"/>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Пацієнти в умовах з високим тягарем ТБ:</w:t>
      </w:r>
    </w:p>
    <w:p w:rsidR="00C1177C" w:rsidRDefault="006C7D2F" w:rsidP="00A23E6E">
      <w:pPr>
        <w:ind w:left="567" w:hanging="284"/>
        <w:jc w:val="both"/>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встановлення точного діагнозу та завершення діагностики (нарешті поінформованість щодо питання: «що зі мною не так»); </w:t>
      </w:r>
    </w:p>
    <w:p w:rsidR="00C1177C" w:rsidRDefault="006C7D2F" w:rsidP="00A23E6E">
      <w:pPr>
        <w:ind w:left="567" w:hanging="284"/>
        <w:jc w:val="both"/>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уникнення діагностичних затримок, оскільки вони посилюють наявні фінансові труднощі та емоційні та фізичні страждання, а також викликають у пацієнтів почуття провини за зараження інших (особливо дітей); </w:t>
      </w:r>
    </w:p>
    <w:p w:rsidR="00C1177C" w:rsidRDefault="006C7D2F" w:rsidP="00A23E6E">
      <w:pPr>
        <w:ind w:left="567" w:hanging="284"/>
        <w:jc w:val="both"/>
        <w:rPr>
          <w:rFonts w:ascii="Calibri" w:hAnsi="Calibri" w:cs="Calibri"/>
          <w:color w:val="000000"/>
          <w:sz w:val="22"/>
          <w:szCs w:val="22"/>
        </w:rPr>
      </w:pPr>
      <w:r>
        <w:rPr>
          <w:rFonts w:ascii="Calibri" w:hAnsi="Calibri"/>
          <w:color w:val="009649"/>
          <w:sz w:val="22"/>
        </w:rPr>
        <w:t>–</w:t>
      </w:r>
      <w:r>
        <w:rPr>
          <w:rFonts w:ascii="Calibri" w:hAnsi="Calibri"/>
          <w:color w:val="009649"/>
          <w:sz w:val="22"/>
        </w:rPr>
        <w:tab/>
      </w:r>
      <w:r>
        <w:rPr>
          <w:rFonts w:ascii="Calibri" w:hAnsi="Calibri"/>
          <w:color w:val="000000"/>
          <w:sz w:val="22"/>
        </w:rPr>
        <w:t xml:space="preserve">наявність доступних приміщень; та </w:t>
      </w:r>
    </w:p>
    <w:p w:rsidR="00ED665B" w:rsidRPr="00907702" w:rsidRDefault="006C7D2F" w:rsidP="00A23E6E">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зменшення витрат, пов’язаних з діагностикою (наприклад, подорожі, відсутність роботи), як важливих результатів діагностики.</w:t>
      </w:r>
    </w:p>
    <w:p w:rsidR="00ED665B" w:rsidRPr="00A23E6E" w:rsidRDefault="006C7D2F" w:rsidP="00A23E6E">
      <w:pPr>
        <w:ind w:left="567"/>
        <w:jc w:val="both"/>
        <w:rPr>
          <w:rFonts w:ascii="Calibri" w:hAnsi="Calibri" w:cs="Calibri"/>
          <w:i/>
        </w:rPr>
      </w:pPr>
      <w:r w:rsidRPr="00A23E6E">
        <w:rPr>
          <w:rFonts w:ascii="Calibri" w:hAnsi="Calibri"/>
          <w:i/>
          <w:color w:val="000000"/>
          <w:sz w:val="22"/>
        </w:rPr>
        <w:t>СЯК: помірна достовірність</w:t>
      </w:r>
    </w:p>
    <w:p w:rsidR="00ED665B" w:rsidRPr="00907702" w:rsidRDefault="006C7D2F" w:rsidP="00A23E6E">
      <w:pPr>
        <w:tabs>
          <w:tab w:val="left" w:pos="240"/>
        </w:tabs>
        <w:ind w:left="240" w:right="5"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Автоматизовані ТАНК помірної складності відповідають кільком виборам і цінностям клініцистів та лабораторного персоналу, оскільки вони:</w:t>
      </w:r>
    </w:p>
    <w:p w:rsidR="00ED665B" w:rsidRPr="00907702" w:rsidRDefault="006C7D2F" w:rsidP="00A23E6E">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швидші, ніж фенотипічний ТМЧ на основі посіву (подібно до тестів LPA або тесті на основі картриджів);</w:t>
      </w:r>
    </w:p>
    <w:p w:rsidR="00ED665B" w:rsidRPr="00907702" w:rsidRDefault="006C7D2F" w:rsidP="00A23E6E">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мають перевагу через свою автоматизацію (на відміну від LPA);</w:t>
      </w:r>
    </w:p>
    <w:p w:rsidR="00ED665B" w:rsidRPr="00907702" w:rsidRDefault="006C7D2F" w:rsidP="00A23E6E">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надають додаткову клінічно значущу інформацію про медикаментозну резистентність, таку як висока або низька резистентність (на відміну від поточного картриджа Xpert MTB/RIF).</w:t>
      </w:r>
    </w:p>
    <w:p w:rsidR="00ED665B" w:rsidRPr="00A23E6E" w:rsidRDefault="006C7D2F" w:rsidP="00A23E6E">
      <w:pPr>
        <w:ind w:left="567"/>
        <w:jc w:val="both"/>
        <w:rPr>
          <w:rFonts w:ascii="Calibri" w:hAnsi="Calibri" w:cs="Calibri"/>
          <w:i/>
        </w:rPr>
      </w:pPr>
      <w:r w:rsidRPr="00A23E6E">
        <w:rPr>
          <w:rFonts w:ascii="Calibri" w:hAnsi="Calibri"/>
          <w:i/>
          <w:color w:val="000000"/>
          <w:sz w:val="22"/>
        </w:rPr>
        <w:t>Опитування</w:t>
      </w:r>
    </w:p>
    <w:p w:rsidR="00ED665B" w:rsidRPr="00A23E6E" w:rsidRDefault="006C7D2F" w:rsidP="00A23E6E">
      <w:pPr>
        <w:spacing w:before="216"/>
        <w:jc w:val="both"/>
        <w:rPr>
          <w:rFonts w:ascii="Calibri" w:hAnsi="Calibri" w:cs="Calibri"/>
          <w:b/>
        </w:rPr>
      </w:pPr>
      <w:r w:rsidRPr="00A23E6E">
        <w:rPr>
          <w:rFonts w:ascii="Calibri" w:hAnsi="Calibri"/>
          <w:b/>
          <w:color w:val="000000"/>
          <w:sz w:val="22"/>
        </w:rPr>
        <w:t>Яким би був вплив на рівність у питанні надання послуг у сфері охорони здоров’я?</w:t>
      </w:r>
    </w:p>
    <w:p w:rsidR="0031040C" w:rsidRPr="0031040C" w:rsidRDefault="006C7D2F" w:rsidP="00A23E6E">
      <w:pPr>
        <w:numPr>
          <w:ilvl w:val="0"/>
          <w:numId w:val="2"/>
        </w:numPr>
        <w:tabs>
          <w:tab w:val="left" w:pos="240"/>
        </w:tabs>
        <w:spacing w:before="182"/>
        <w:ind w:left="240" w:hanging="240"/>
        <w:jc w:val="both"/>
        <w:rPr>
          <w:rFonts w:ascii="Calibri" w:hAnsi="Calibri" w:cs="Calibri"/>
          <w:color w:val="009649"/>
          <w:sz w:val="22"/>
          <w:szCs w:val="22"/>
        </w:rPr>
      </w:pPr>
      <w:r>
        <w:rPr>
          <w:rFonts w:ascii="Calibri" w:hAnsi="Calibri"/>
          <w:color w:val="000000"/>
          <w:sz w:val="22"/>
        </w:rPr>
        <w:t xml:space="preserve">Різні фактори, наприклад, тривалі затримки з діагностикою, недостатнє використання можливостей діагностики, відсутність засобів діагностики туберкульозу на нижчих рівнях та занадто багато обмежень щодо відповідності вимогам перешкоджають доступу до оперативного та точного обстеження та лікування, особливо для вразливих груп. </w:t>
      </w:r>
    </w:p>
    <w:p w:rsidR="00ED665B" w:rsidRPr="0031040C" w:rsidRDefault="006C7D2F" w:rsidP="0031040C">
      <w:pPr>
        <w:tabs>
          <w:tab w:val="left" w:pos="240"/>
        </w:tabs>
        <w:ind w:left="240"/>
        <w:jc w:val="both"/>
        <w:rPr>
          <w:rFonts w:ascii="Calibri" w:hAnsi="Calibri" w:cs="Calibri"/>
          <w:i/>
          <w:color w:val="009649"/>
          <w:sz w:val="22"/>
          <w:szCs w:val="22"/>
        </w:rPr>
      </w:pPr>
      <w:r w:rsidRPr="0031040C">
        <w:rPr>
          <w:rFonts w:ascii="Calibri" w:hAnsi="Calibri"/>
          <w:i/>
          <w:color w:val="000000"/>
          <w:sz w:val="22"/>
        </w:rPr>
        <w:t>СЯК: висока достовірність</w:t>
      </w:r>
    </w:p>
    <w:p w:rsidR="00ED665B" w:rsidRPr="00907702" w:rsidRDefault="00640824" w:rsidP="00A23E6E">
      <w:pPr>
        <w:numPr>
          <w:ilvl w:val="0"/>
          <w:numId w:val="2"/>
        </w:numPr>
        <w:tabs>
          <w:tab w:val="left" w:pos="240"/>
        </w:tabs>
        <w:jc w:val="both"/>
        <w:rPr>
          <w:rFonts w:ascii="Calibri" w:hAnsi="Calibri" w:cs="Calibri"/>
          <w:color w:val="009649"/>
          <w:sz w:val="22"/>
          <w:szCs w:val="22"/>
        </w:rPr>
      </w:pPr>
      <w:r>
        <w:rPr>
          <w:rFonts w:ascii="Calibri" w:hAnsi="Calibri"/>
          <w:color w:val="000000"/>
          <w:sz w:val="22"/>
        </w:rPr>
        <w:t>Персонал та керівники висловили стурбованість з приводу:</w:t>
      </w:r>
    </w:p>
    <w:p w:rsidR="00ED665B" w:rsidRPr="00907702" w:rsidRDefault="006C7D2F" w:rsidP="00A23E6E">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сталості фінансування та обслуговування;</w:t>
      </w:r>
    </w:p>
    <w:p w:rsidR="00ED665B" w:rsidRPr="00907702" w:rsidRDefault="006C7D2F" w:rsidP="00A23E6E">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складного конфлікту інтересів між донорами та виконавцями; та</w:t>
      </w:r>
    </w:p>
    <w:p w:rsidR="00ED665B" w:rsidRPr="00907702" w:rsidRDefault="006C7D2F" w:rsidP="00A23E6E">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стратегічного та справедливого використання ресурсів, що негативно впливає на створення рівного доступу до діагностики на основі картриджів.</w:t>
      </w:r>
    </w:p>
    <w:p w:rsidR="00ED665B" w:rsidRPr="00A23E6E" w:rsidRDefault="006C7D2F" w:rsidP="00A23E6E">
      <w:pPr>
        <w:ind w:left="542"/>
        <w:jc w:val="both"/>
        <w:rPr>
          <w:rFonts w:ascii="Calibri" w:hAnsi="Calibri" w:cs="Calibri"/>
          <w:i/>
        </w:rPr>
      </w:pPr>
      <w:r w:rsidRPr="00A23E6E">
        <w:rPr>
          <w:rFonts w:ascii="Calibri" w:hAnsi="Calibri"/>
          <w:i/>
          <w:color w:val="000000"/>
          <w:sz w:val="22"/>
        </w:rPr>
        <w:t>СЯК: висока достовірність</w:t>
      </w:r>
    </w:p>
    <w:p w:rsidR="0031040C" w:rsidRDefault="006C7D2F" w:rsidP="00A23E6E">
      <w:pPr>
        <w:tabs>
          <w:tab w:val="left" w:pos="240"/>
        </w:tabs>
        <w:ind w:left="240" w:right="5" w:hanging="240"/>
        <w:jc w:val="both"/>
        <w:rPr>
          <w:rFonts w:ascii="Calibri" w:hAnsi="Calibri"/>
          <w:color w:val="000000"/>
          <w:sz w:val="22"/>
        </w:rPr>
      </w:pPr>
      <w:r>
        <w:rPr>
          <w:rFonts w:ascii="Calibri" w:hAnsi="Calibri"/>
          <w:color w:val="009649"/>
          <w:sz w:val="22"/>
        </w:rPr>
        <w:t>•</w:t>
      </w:r>
      <w:r>
        <w:rPr>
          <w:rFonts w:ascii="Calibri" w:hAnsi="Calibri"/>
          <w:color w:val="009649"/>
          <w:sz w:val="22"/>
        </w:rPr>
        <w:tab/>
      </w:r>
      <w:r>
        <w:rPr>
          <w:rFonts w:ascii="Calibri" w:hAnsi="Calibri"/>
          <w:color w:val="000000"/>
          <w:sz w:val="22"/>
        </w:rPr>
        <w:t xml:space="preserve">доступ до чіткої та зрозумілої інформації для хворих на туберкульоз щодо того, які засоби діагностики туберкульозу доступні для них та того, як інтерпретувати результати, є життєво важливою складовою рівності, а відсутність такого доступу є серйозним бар’єром для пацієнтів. </w:t>
      </w:r>
    </w:p>
    <w:p w:rsidR="00ED665B" w:rsidRPr="00907702" w:rsidRDefault="006C7D2F" w:rsidP="0031040C">
      <w:pPr>
        <w:tabs>
          <w:tab w:val="left" w:pos="240"/>
        </w:tabs>
        <w:ind w:left="240" w:right="5" w:hanging="16"/>
        <w:jc w:val="both"/>
        <w:rPr>
          <w:rFonts w:ascii="Calibri" w:hAnsi="Calibri" w:cs="Calibri"/>
        </w:rPr>
      </w:pPr>
      <w:r w:rsidRPr="0031040C">
        <w:rPr>
          <w:rFonts w:ascii="Calibri" w:hAnsi="Calibri"/>
          <w:i/>
          <w:color w:val="000000"/>
          <w:sz w:val="22"/>
        </w:rPr>
        <w:t>Опитування</w:t>
      </w:r>
    </w:p>
    <w:p w:rsidR="00ED665B" w:rsidRPr="00907702" w:rsidRDefault="00ED665B" w:rsidP="00DC2656">
      <w:pPr>
        <w:tabs>
          <w:tab w:val="left" w:pos="240"/>
        </w:tabs>
        <w:ind w:left="240" w:right="5" w:hanging="240"/>
        <w:jc w:val="both"/>
        <w:rPr>
          <w:rFonts w:ascii="Calibri" w:hAnsi="Calibri" w:cs="Calibri"/>
        </w:rPr>
        <w:sectPr w:rsidR="00ED665B" w:rsidRPr="00907702">
          <w:pgSz w:w="11904" w:h="16838"/>
          <w:pgMar w:top="1334" w:right="1411" w:bottom="1598" w:left="1416" w:header="720" w:footer="720" w:gutter="0"/>
          <w:cols w:space="60"/>
          <w:noEndnote/>
        </w:sectPr>
      </w:pPr>
    </w:p>
    <w:p w:rsidR="00ED665B" w:rsidRPr="00907702" w:rsidRDefault="006C7D2F" w:rsidP="00DC2656">
      <w:pPr>
        <w:tabs>
          <w:tab w:val="left" w:pos="240"/>
        </w:tabs>
        <w:ind w:left="240" w:right="10" w:hanging="240"/>
        <w:jc w:val="both"/>
        <w:rPr>
          <w:rFonts w:ascii="Calibri" w:hAnsi="Calibri" w:cs="Calibri"/>
        </w:rPr>
      </w:pPr>
      <w:r>
        <w:rPr>
          <w:rFonts w:ascii="Calibri" w:hAnsi="Calibri"/>
          <w:color w:val="009649"/>
          <w:sz w:val="22"/>
        </w:rPr>
        <w:lastRenderedPageBreak/>
        <w:t>•</w:t>
      </w:r>
      <w:r>
        <w:rPr>
          <w:rFonts w:ascii="Calibri" w:hAnsi="Calibri"/>
          <w:color w:val="009649"/>
          <w:sz w:val="22"/>
        </w:rPr>
        <w:tab/>
      </w:r>
      <w:r>
        <w:rPr>
          <w:rFonts w:ascii="Calibri" w:hAnsi="Calibri"/>
          <w:color w:val="000000"/>
          <w:sz w:val="22"/>
        </w:rPr>
        <w:t>Нові варіанти лікування повинні узгоджуватися з новою діагностикою. Важливо покращити доступ до лікування на основі нової діагностики та покращити доступ до діагностики для нових варіантів лікування.</w:t>
      </w:r>
    </w:p>
    <w:p w:rsidR="00ED665B" w:rsidRPr="00A23E6E" w:rsidRDefault="006C7D2F" w:rsidP="00DC2656">
      <w:pPr>
        <w:ind w:left="240"/>
        <w:rPr>
          <w:rFonts w:ascii="Calibri" w:hAnsi="Calibri" w:cs="Calibri"/>
          <w:i/>
        </w:rPr>
      </w:pPr>
      <w:r w:rsidRPr="00A23E6E">
        <w:rPr>
          <w:rFonts w:ascii="Calibri" w:hAnsi="Calibri"/>
          <w:i/>
          <w:color w:val="000000"/>
          <w:sz w:val="22"/>
        </w:rPr>
        <w:t>Опитування</w:t>
      </w:r>
    </w:p>
    <w:p w:rsidR="00ED665B" w:rsidRPr="00907702" w:rsidRDefault="006C7D2F" w:rsidP="00DC2656">
      <w:pPr>
        <w:tabs>
          <w:tab w:val="left" w:pos="240"/>
        </w:tabs>
        <w:ind w:left="240" w:right="5"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Швидкість, з якою змінюються настанови ВООЗ, не відповідають швидкості, з якою багато національних програм можуть реалізувати такі настанови. Це означає різний доступ до нової діагностики та лікування туберкульозу:</w:t>
      </w:r>
    </w:p>
    <w:p w:rsidR="00C1177C" w:rsidRDefault="006C7D2F" w:rsidP="00C1177C">
      <w:pPr>
        <w:ind w:left="567" w:hanging="284"/>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між країнами (тобто між тими, які можуть і тими, які не можуть швидко відреагувати на швидко мінливі умови діагностики туберкульозу); та </w:t>
      </w:r>
    </w:p>
    <w:p w:rsidR="00ED665B" w:rsidRPr="00907702" w:rsidRDefault="006C7D2F" w:rsidP="00C1177C">
      <w:pPr>
        <w:ind w:left="567" w:hanging="284"/>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у межах країн (тобто між пацієнтами, які можуть і не можуть отримати доступ до приватної системи охорони здоров’я, яка краще обладнана для швидкого впровадження нової діагностики та політик).</w:t>
      </w:r>
    </w:p>
    <w:p w:rsidR="00ED665B" w:rsidRPr="00C1177C" w:rsidRDefault="006C7D2F" w:rsidP="00C1177C">
      <w:pPr>
        <w:ind w:left="567"/>
        <w:rPr>
          <w:rFonts w:ascii="Calibri" w:hAnsi="Calibri" w:cs="Calibri"/>
          <w:i/>
          <w:iCs/>
        </w:rPr>
      </w:pPr>
      <w:r>
        <w:rPr>
          <w:rFonts w:ascii="Calibri" w:hAnsi="Calibri"/>
          <w:i/>
          <w:color w:val="000000"/>
          <w:sz w:val="22"/>
        </w:rPr>
        <w:t>Опитування</w:t>
      </w:r>
    </w:p>
    <w:p w:rsidR="00ED665B" w:rsidRPr="00907702" w:rsidRDefault="006C7D2F" w:rsidP="00DC2656">
      <w:pPr>
        <w:tabs>
          <w:tab w:val="left" w:pos="240"/>
        </w:tabs>
        <w:ind w:left="240"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Існує ризик, що визначені проблеми з використанням ТАНК для виявлення туберкульозу та ЛС-TБ та накопичені затримки погіршать додану вартість, визначену користувачами, що в кінцевому підсумку призведе до недостатнього використання. Проблеми також перешкоджають доступу до запитів та точного обстеження та лікування, особливо для вразливих груп.</w:t>
      </w:r>
    </w:p>
    <w:p w:rsidR="00ED665B" w:rsidRPr="00136014" w:rsidRDefault="006C7D2F" w:rsidP="00DC2656">
      <w:pPr>
        <w:ind w:left="240"/>
        <w:rPr>
          <w:rFonts w:ascii="Calibri" w:hAnsi="Calibri" w:cs="Calibri"/>
          <w:i/>
        </w:rPr>
      </w:pPr>
      <w:r w:rsidRPr="00136014">
        <w:rPr>
          <w:rFonts w:ascii="Calibri" w:hAnsi="Calibri"/>
          <w:i/>
          <w:color w:val="000000"/>
          <w:sz w:val="22"/>
        </w:rPr>
        <w:t>СЯК: висока достовірність</w:t>
      </w:r>
    </w:p>
    <w:p w:rsidR="00ED665B" w:rsidRPr="00C1177C" w:rsidRDefault="006C7D2F" w:rsidP="00DC2656">
      <w:pPr>
        <w:spacing w:before="216"/>
        <w:rPr>
          <w:rFonts w:ascii="Calibri" w:hAnsi="Calibri" w:cs="Calibri"/>
          <w:b/>
          <w:bCs/>
        </w:rPr>
      </w:pPr>
      <w:r>
        <w:rPr>
          <w:rFonts w:ascii="Calibri" w:hAnsi="Calibri"/>
          <w:b/>
          <w:color w:val="000000"/>
          <w:sz w:val="22"/>
        </w:rPr>
        <w:t>Чи є втручання прийнятним для ключових зацікавлених сторін?</w:t>
      </w:r>
    </w:p>
    <w:p w:rsidR="00ED665B" w:rsidRPr="00907702" w:rsidRDefault="006C7D2F" w:rsidP="001F19DE">
      <w:pPr>
        <w:tabs>
          <w:tab w:val="left" w:pos="240"/>
        </w:tabs>
        <w:spacing w:before="182"/>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Пацієнти можуть неохоче проходити тести на туберкульоз або МЛС-ТБ з наступних причин:</w:t>
      </w:r>
    </w:p>
    <w:p w:rsidR="00C1177C" w:rsidRDefault="006C7D2F" w:rsidP="001F19DE">
      <w:pPr>
        <w:ind w:left="283"/>
        <w:jc w:val="both"/>
        <w:rPr>
          <w:rFonts w:ascii="Calibri" w:hAnsi="Calibri" w:cs="Calibri"/>
          <w:color w:val="000000"/>
          <w:sz w:val="22"/>
          <w:szCs w:val="22"/>
        </w:rPr>
      </w:pPr>
      <w:r>
        <w:rPr>
          <w:rFonts w:ascii="Calibri" w:hAnsi="Calibri"/>
          <w:color w:val="009649"/>
          <w:sz w:val="22"/>
        </w:rPr>
        <w:t xml:space="preserve">– </w:t>
      </w:r>
      <w:r>
        <w:rPr>
          <w:rFonts w:ascii="Calibri" w:hAnsi="Calibri"/>
          <w:color w:val="000000"/>
          <w:sz w:val="22"/>
        </w:rPr>
        <w:t xml:space="preserve">стигма, пов’язана з МЛС-ТБ або перервою у лікуванні в минулому; </w:t>
      </w:r>
    </w:p>
    <w:p w:rsidR="00C1177C" w:rsidRDefault="006C7D2F" w:rsidP="001F19DE">
      <w:pPr>
        <w:ind w:left="283"/>
        <w:jc w:val="both"/>
        <w:rPr>
          <w:rFonts w:ascii="Calibri" w:hAnsi="Calibri" w:cs="Calibri"/>
          <w:color w:val="000000"/>
          <w:sz w:val="22"/>
          <w:szCs w:val="22"/>
        </w:rPr>
      </w:pPr>
      <w:r>
        <w:rPr>
          <w:rFonts w:ascii="Calibri" w:hAnsi="Calibri"/>
          <w:color w:val="009649"/>
          <w:sz w:val="22"/>
        </w:rPr>
        <w:t xml:space="preserve">– </w:t>
      </w:r>
      <w:r>
        <w:rPr>
          <w:rFonts w:ascii="Calibri" w:hAnsi="Calibri"/>
          <w:color w:val="000000"/>
          <w:sz w:val="22"/>
        </w:rPr>
        <w:t xml:space="preserve">страх побічних ефектів; </w:t>
      </w:r>
    </w:p>
    <w:p w:rsidR="00C1177C" w:rsidRDefault="006C7D2F" w:rsidP="001F19DE">
      <w:pPr>
        <w:ind w:left="283"/>
        <w:jc w:val="both"/>
        <w:rPr>
          <w:rFonts w:ascii="Calibri" w:hAnsi="Calibri" w:cs="Calibri"/>
          <w:color w:val="000000"/>
          <w:sz w:val="22"/>
          <w:szCs w:val="22"/>
        </w:rPr>
      </w:pPr>
      <w:r>
        <w:rPr>
          <w:rFonts w:ascii="Calibri" w:hAnsi="Calibri"/>
          <w:color w:val="009649"/>
          <w:sz w:val="22"/>
        </w:rPr>
        <w:t xml:space="preserve">– </w:t>
      </w:r>
      <w:r>
        <w:rPr>
          <w:rFonts w:ascii="Calibri" w:hAnsi="Calibri"/>
          <w:color w:val="000000"/>
          <w:sz w:val="22"/>
        </w:rPr>
        <w:t xml:space="preserve">нездатність до розпізнання симптомів; </w:t>
      </w:r>
    </w:p>
    <w:p w:rsidR="00C1177C" w:rsidRPr="00C1177C" w:rsidRDefault="006C7D2F" w:rsidP="001F19DE">
      <w:pPr>
        <w:ind w:left="283"/>
        <w:jc w:val="both"/>
        <w:rPr>
          <w:rFonts w:ascii="Calibri" w:hAnsi="Calibri" w:cs="Calibri"/>
          <w:color w:val="000000"/>
          <w:sz w:val="22"/>
          <w:szCs w:val="22"/>
        </w:rPr>
      </w:pPr>
      <w:r>
        <w:rPr>
          <w:rFonts w:ascii="Calibri" w:hAnsi="Calibri"/>
          <w:color w:val="009649"/>
          <w:sz w:val="22"/>
        </w:rPr>
        <w:t xml:space="preserve">– </w:t>
      </w:r>
      <w:r>
        <w:rPr>
          <w:rFonts w:ascii="Calibri" w:hAnsi="Calibri"/>
          <w:color w:val="000000"/>
          <w:sz w:val="22"/>
        </w:rPr>
        <w:t xml:space="preserve">неможливість виділення мокротиння; та </w:t>
      </w:r>
    </w:p>
    <w:p w:rsidR="00A23E6E" w:rsidRDefault="006C7D2F" w:rsidP="001F19DE">
      <w:pPr>
        <w:ind w:left="283"/>
        <w:jc w:val="both"/>
        <w:rPr>
          <w:rFonts w:ascii="Calibri" w:hAnsi="Calibri"/>
          <w:color w:val="000000"/>
          <w:sz w:val="22"/>
        </w:rPr>
      </w:pPr>
      <w:r>
        <w:rPr>
          <w:rFonts w:ascii="Calibri" w:hAnsi="Calibri"/>
          <w:color w:val="009649"/>
          <w:sz w:val="22"/>
        </w:rPr>
        <w:t xml:space="preserve">– </w:t>
      </w:r>
      <w:r>
        <w:rPr>
          <w:rFonts w:ascii="Calibri" w:hAnsi="Calibri"/>
          <w:color w:val="000000"/>
          <w:sz w:val="22"/>
        </w:rPr>
        <w:t xml:space="preserve">питання вартості, відстані та поїздок, пов’язані з (повторними) відвідуваннями клініки. </w:t>
      </w:r>
    </w:p>
    <w:p w:rsidR="00ED665B" w:rsidRPr="00A23E6E" w:rsidRDefault="006C7D2F" w:rsidP="001F19DE">
      <w:pPr>
        <w:ind w:left="426"/>
        <w:jc w:val="both"/>
        <w:rPr>
          <w:rFonts w:ascii="Calibri" w:hAnsi="Calibri" w:cs="Calibri"/>
          <w:i/>
        </w:rPr>
      </w:pPr>
      <w:r w:rsidRPr="00A23E6E">
        <w:rPr>
          <w:rFonts w:ascii="Calibri" w:hAnsi="Calibri"/>
          <w:i/>
          <w:color w:val="000000"/>
          <w:sz w:val="22"/>
        </w:rPr>
        <w:t>СЯК: висока достовірність</w:t>
      </w:r>
    </w:p>
    <w:p w:rsidR="00ED665B" w:rsidRPr="00907702" w:rsidRDefault="006C7D2F" w:rsidP="001F19DE">
      <w:pPr>
        <w:tabs>
          <w:tab w:val="left" w:pos="240"/>
        </w:tabs>
        <w:ind w:left="240"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 xml:space="preserve">Медичні працівники можуть неохоче проходити тести на туберкульоз або МЛС-ТБ з наступних причин: </w:t>
      </w:r>
      <w:r>
        <w:rPr>
          <w:rFonts w:ascii="Calibri" w:hAnsi="Calibri"/>
          <w:color w:val="009649"/>
          <w:sz w:val="22"/>
        </w:rPr>
        <w:t xml:space="preserve">– </w:t>
      </w:r>
      <w:r>
        <w:rPr>
          <w:rFonts w:ascii="Calibri" w:hAnsi="Calibri"/>
          <w:color w:val="000000"/>
          <w:sz w:val="22"/>
        </w:rPr>
        <w:t>стигма, пов’язана з туберкульозом, та наслідки для пацієнтів;</w:t>
      </w:r>
    </w:p>
    <w:p w:rsidR="00ED665B" w:rsidRPr="00907702" w:rsidRDefault="006C7D2F" w:rsidP="001F19DE">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страх захворіти на туберкульоз;</w:t>
      </w:r>
    </w:p>
    <w:p w:rsidR="00C1177C" w:rsidRDefault="006C7D2F" w:rsidP="001F19DE">
      <w:pPr>
        <w:ind w:left="567" w:hanging="284"/>
        <w:jc w:val="both"/>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страх перед керівниками при перекласифікації пацієнтів, які вже проходять лікування туберкульозу, щодо неправильної класифікації; </w:t>
      </w:r>
    </w:p>
    <w:p w:rsidR="00C1177C" w:rsidRDefault="006C7D2F" w:rsidP="001F19DE">
      <w:pPr>
        <w:ind w:left="567" w:hanging="284"/>
        <w:jc w:val="both"/>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страх виникнення побічних ефектів через прийом лікарських засобів у дітей; та </w:t>
      </w:r>
    </w:p>
    <w:p w:rsidR="00ED665B" w:rsidRPr="00907702" w:rsidRDefault="006C7D2F" w:rsidP="001F19DE">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усвідомлення громадськістю проявів захворювань у дітей.</w:t>
      </w:r>
    </w:p>
    <w:p w:rsidR="00ED665B" w:rsidRPr="00A23E6E" w:rsidRDefault="006C7D2F" w:rsidP="001F19DE">
      <w:pPr>
        <w:ind w:left="542"/>
        <w:jc w:val="both"/>
        <w:rPr>
          <w:rFonts w:ascii="Calibri" w:hAnsi="Calibri" w:cs="Calibri"/>
          <w:i/>
        </w:rPr>
      </w:pPr>
      <w:r w:rsidRPr="00A23E6E">
        <w:rPr>
          <w:rFonts w:ascii="Calibri" w:hAnsi="Calibri"/>
          <w:i/>
          <w:color w:val="000000"/>
          <w:sz w:val="22"/>
        </w:rPr>
        <w:t>СЯК: висока достовірність</w:t>
      </w:r>
    </w:p>
    <w:p w:rsidR="00ED665B" w:rsidRPr="00907702" w:rsidRDefault="006C7D2F" w:rsidP="001F19DE">
      <w:pPr>
        <w:tabs>
          <w:tab w:val="left" w:pos="240"/>
        </w:tabs>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Щодо прийнятності автоматизованих ТАНК помірної складності:</w:t>
      </w:r>
    </w:p>
    <w:p w:rsidR="00C1177C" w:rsidRDefault="006C7D2F" w:rsidP="001F19DE">
      <w:pPr>
        <w:ind w:left="567" w:hanging="284"/>
        <w:jc w:val="both"/>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автоматизація цього класу технологій, що визнає велике навантаження на персонал лабораторії, покращує їхню прийнятність; </w:t>
      </w:r>
    </w:p>
    <w:p w:rsidR="00C1177C" w:rsidRDefault="006C7D2F" w:rsidP="001F19DE">
      <w:pPr>
        <w:ind w:left="567" w:hanging="284"/>
        <w:jc w:val="both"/>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з точки зору фізичного розміру платформи та того, як вона вписується в лабораторний простір та робочий процес, менший розмір може бути більшим прийнятним; і </w:t>
      </w:r>
    </w:p>
    <w:p w:rsidR="00C1177C" w:rsidRDefault="006C7D2F" w:rsidP="001F19DE">
      <w:pPr>
        <w:ind w:left="567" w:hanging="284"/>
        <w:jc w:val="both"/>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кількість зразків, запущених у системі, є прийнятною за умови, що платформа розміщена у лабораторії, яка отримує достатнє навантаження зразків для запуску системи. </w:t>
      </w:r>
    </w:p>
    <w:p w:rsidR="00ED665B" w:rsidRPr="00A23E6E" w:rsidRDefault="006C7D2F" w:rsidP="001F19DE">
      <w:pPr>
        <w:ind w:left="284"/>
        <w:jc w:val="both"/>
        <w:rPr>
          <w:rFonts w:ascii="Calibri" w:hAnsi="Calibri" w:cs="Calibri"/>
          <w:i/>
        </w:rPr>
      </w:pPr>
      <w:r w:rsidRPr="00A23E6E">
        <w:rPr>
          <w:rFonts w:ascii="Calibri" w:hAnsi="Calibri"/>
          <w:i/>
          <w:color w:val="000000"/>
          <w:sz w:val="22"/>
        </w:rPr>
        <w:t>Опитування</w:t>
      </w:r>
    </w:p>
    <w:p w:rsidR="00ED665B" w:rsidRPr="00907702" w:rsidRDefault="00ED665B" w:rsidP="00DC2656">
      <w:pPr>
        <w:ind w:left="240" w:right="442" w:firstLine="302"/>
        <w:rPr>
          <w:rFonts w:ascii="Calibri" w:hAnsi="Calibri" w:cs="Calibri"/>
        </w:rPr>
        <w:sectPr w:rsidR="00ED665B" w:rsidRPr="00907702">
          <w:pgSz w:w="11904" w:h="16838"/>
          <w:pgMar w:top="1339" w:right="1411" w:bottom="2040" w:left="1416" w:header="720" w:footer="720" w:gutter="0"/>
          <w:cols w:space="60"/>
          <w:noEndnote/>
        </w:sectPr>
      </w:pPr>
    </w:p>
    <w:p w:rsidR="00ED665B" w:rsidRPr="00C1177C" w:rsidRDefault="006C7D2F" w:rsidP="00DC2656">
      <w:pPr>
        <w:rPr>
          <w:rFonts w:ascii="Calibri" w:hAnsi="Calibri" w:cs="Calibri"/>
          <w:b/>
          <w:bCs/>
        </w:rPr>
      </w:pPr>
      <w:r>
        <w:rPr>
          <w:rFonts w:ascii="Calibri" w:hAnsi="Calibri"/>
          <w:b/>
          <w:color w:val="000000"/>
          <w:sz w:val="22"/>
        </w:rPr>
        <w:lastRenderedPageBreak/>
        <w:t>Чи можливо реалізувати втручання?</w:t>
      </w:r>
    </w:p>
    <w:p w:rsidR="00ED665B" w:rsidRPr="00907702" w:rsidRDefault="006C7D2F" w:rsidP="00136014">
      <w:pPr>
        <w:tabs>
          <w:tab w:val="left" w:pos="240"/>
        </w:tabs>
        <w:spacing w:before="182"/>
        <w:ind w:left="240"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Доцільність усіх діагностичних технологій ставиться під сумнів у разі накопичення діагностичних затримок або їхнього недостатнього використання (або обох випадків) на кожному етапі процесу, головним чином через такі фактори системи охорони здоров’я, як:</w:t>
      </w:r>
    </w:p>
    <w:p w:rsidR="00ED665B" w:rsidRPr="00907702" w:rsidRDefault="006C7D2F" w:rsidP="00136014">
      <w:pPr>
        <w:ind w:left="542" w:hanging="259"/>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недотримання тестувальних алгоритмів, тестування на туберкульоз або МЛС-ТБ у кінці процесу, емпіричне лікування, хибнонегативні результати через збій технологій, великий обсяг вибірки та нестача персоналу, поганий рівень або затримки при транспортуванні зразків та погана якість зразків, погане або із затримками повідомлення результатів, затримки у плануванні контрольних відвідувань та виклику пацієнтів, а також непослідовний запис результатів;</w:t>
      </w:r>
    </w:p>
    <w:p w:rsidR="00ED665B" w:rsidRPr="00907702" w:rsidRDefault="006C7D2F" w:rsidP="00136014">
      <w:pPr>
        <w:ind w:left="542" w:hanging="259"/>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відсутність достатніх ресурсів та обслуговування (тобто відсутність запасів; ненадійна логістика; відсутність фінансування, електроенергії, місця, кондиціонерів та контейнерів для мокротиння; запилення навколишнього середовища; і затримка або відсутність можливості місцевого ремонту);</w:t>
      </w:r>
    </w:p>
    <w:p w:rsidR="00ED665B" w:rsidRPr="00907702" w:rsidRDefault="006C7D2F" w:rsidP="00136014">
      <w:pPr>
        <w:ind w:left="542" w:hanging="259"/>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неефективні або нечіткі робочі процеси та потоки пацієнтів (наприклад, неефективні організаційні процеси, погані зв’язки між провайдерами та незрозумілі механізми подальших дій щодо того, куди пацієнтам потрібно звертатися); та</w:t>
      </w:r>
    </w:p>
    <w:p w:rsidR="00136014" w:rsidRDefault="006C7D2F" w:rsidP="00136014">
      <w:pPr>
        <w:ind w:left="542" w:hanging="259"/>
        <w:jc w:val="both"/>
        <w:rPr>
          <w:rFonts w:ascii="Calibri" w:hAnsi="Calibri"/>
          <w:color w:val="000000"/>
          <w:sz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відсутність національних процесів впровадження на основі даних та інклюзивних національних процесів. </w:t>
      </w:r>
    </w:p>
    <w:p w:rsidR="00ED665B" w:rsidRPr="00136014" w:rsidRDefault="006C7D2F" w:rsidP="00136014">
      <w:pPr>
        <w:ind w:left="542" w:hanging="10"/>
        <w:jc w:val="both"/>
        <w:rPr>
          <w:rFonts w:ascii="Calibri" w:hAnsi="Calibri" w:cs="Calibri"/>
          <w:i/>
        </w:rPr>
      </w:pPr>
      <w:r w:rsidRPr="00136014">
        <w:rPr>
          <w:rFonts w:ascii="Calibri" w:hAnsi="Calibri"/>
          <w:i/>
          <w:color w:val="000000"/>
          <w:sz w:val="22"/>
        </w:rPr>
        <w:t>СЯК: висока достовірність</w:t>
      </w:r>
    </w:p>
    <w:p w:rsidR="00ED665B" w:rsidRPr="00907702" w:rsidRDefault="006C7D2F" w:rsidP="00136014">
      <w:pPr>
        <w:tabs>
          <w:tab w:val="left" w:pos="240"/>
        </w:tabs>
        <w:ind w:left="284" w:hanging="284"/>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Доцільність автоматизованих NFYR помірної складності також ускладнюються наступними факторами:</w:t>
      </w:r>
    </w:p>
    <w:p w:rsidR="00C1177C" w:rsidRDefault="006C7D2F" w:rsidP="00136014">
      <w:pPr>
        <w:ind w:left="567" w:hanging="284"/>
        <w:jc w:val="both"/>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 яким чином та чи платформа взагалі вписується у фізичний простір лабораторії (з урахуванням розміру лави та вагу платформи) та робочий процес вибірки; </w:t>
      </w:r>
    </w:p>
    <w:p w:rsidR="00C1177C" w:rsidRDefault="006C7D2F" w:rsidP="00136014">
      <w:pPr>
        <w:ind w:left="567" w:hanging="284"/>
        <w:jc w:val="both"/>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погано функціонуюча система транспортування зразків, що погіршує якість зразків; та </w:t>
      </w:r>
    </w:p>
    <w:p w:rsidR="00ED665B" w:rsidRPr="00907702" w:rsidRDefault="006C7D2F" w:rsidP="00136014">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необхідність гарантувати, що лікарі та персонал лабораторії мають час для ефективної комунікації щодо результатів діагностики, якщо платформа є централізованою, а також гарантувати, що місце розташування лабораторії – в центральному районі для прийому належної кількості зразків, щоб було доцільно запускати апарат.</w:t>
      </w:r>
    </w:p>
    <w:p w:rsidR="00ED665B" w:rsidRPr="00136014" w:rsidRDefault="006C7D2F" w:rsidP="00136014">
      <w:pPr>
        <w:ind w:left="542"/>
        <w:jc w:val="both"/>
        <w:rPr>
          <w:rFonts w:ascii="Calibri" w:hAnsi="Calibri" w:cs="Calibri"/>
          <w:i/>
        </w:rPr>
      </w:pPr>
      <w:r w:rsidRPr="00136014">
        <w:rPr>
          <w:rFonts w:ascii="Calibri" w:hAnsi="Calibri"/>
          <w:i/>
          <w:color w:val="000000"/>
          <w:sz w:val="22"/>
        </w:rPr>
        <w:t>Опитування</w:t>
      </w:r>
    </w:p>
    <w:p w:rsidR="00ED665B" w:rsidRPr="00907702" w:rsidRDefault="006C7D2F" w:rsidP="00136014">
      <w:pPr>
        <w:tabs>
          <w:tab w:val="left" w:pos="240"/>
        </w:tabs>
        <w:ind w:left="240"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Впровадження нової діагностики повинно супроводжуватися навчанням лікарів, що допоможе їм інтерпретувати результати нових молекулярних тестів та зрозуміти, як цю інформацію можна використовувати для швидкого та належного ведення пацієнтів. У минулому, з впровадженням тестів Xpert MTB/RIF, це було важко.</w:t>
      </w:r>
    </w:p>
    <w:p w:rsidR="00ED665B" w:rsidRPr="00136014" w:rsidRDefault="006C7D2F" w:rsidP="00136014">
      <w:pPr>
        <w:ind w:left="240"/>
        <w:jc w:val="both"/>
        <w:rPr>
          <w:rFonts w:ascii="Calibri" w:hAnsi="Calibri" w:cs="Calibri"/>
          <w:i/>
        </w:rPr>
      </w:pPr>
      <w:r w:rsidRPr="00136014">
        <w:rPr>
          <w:rFonts w:ascii="Calibri" w:hAnsi="Calibri"/>
          <w:i/>
          <w:color w:val="000000"/>
          <w:sz w:val="22"/>
        </w:rPr>
        <w:t>СЯК: висока достовірність та опитування</w:t>
      </w:r>
    </w:p>
    <w:p w:rsidR="00ED665B" w:rsidRPr="00907702" w:rsidRDefault="006C7D2F" w:rsidP="00136014">
      <w:pPr>
        <w:tabs>
          <w:tab w:val="left" w:pos="240"/>
        </w:tabs>
        <w:ind w:left="240"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Впровадження нової діагностики має супроводжуватися дотриманням настанов та алгоритмів, які допомагають у комунікації лікарів та лабораторій між собою, щоб вони могли обговорювати суперечливі результати та інтерпретувати лабораторні результати в контексті наявності лікарських засобів, історії пацієнта та прогресу пацієнта щодо поточного режиму лікування.</w:t>
      </w:r>
    </w:p>
    <w:p w:rsidR="00ED665B" w:rsidRPr="00136014" w:rsidRDefault="006C7D2F" w:rsidP="00136014">
      <w:pPr>
        <w:ind w:left="240"/>
        <w:jc w:val="both"/>
        <w:rPr>
          <w:rFonts w:ascii="Calibri" w:hAnsi="Calibri" w:cs="Calibri"/>
          <w:i/>
        </w:rPr>
      </w:pPr>
      <w:r w:rsidRPr="00136014">
        <w:rPr>
          <w:rFonts w:ascii="Calibri" w:hAnsi="Calibri"/>
          <w:i/>
          <w:color w:val="000000"/>
          <w:sz w:val="22"/>
        </w:rPr>
        <w:t>Опитування</w:t>
      </w:r>
    </w:p>
    <w:p w:rsidR="00ED665B" w:rsidRPr="00C1177C" w:rsidRDefault="006C7D2F" w:rsidP="00DC2656">
      <w:pPr>
        <w:spacing w:before="230"/>
        <w:rPr>
          <w:rFonts w:ascii="Calibri" w:hAnsi="Calibri" w:cs="Calibri"/>
          <w:b/>
          <w:bCs/>
          <w:color w:val="009649"/>
        </w:rPr>
      </w:pPr>
      <w:r>
        <w:rPr>
          <w:rFonts w:ascii="Calibri" w:hAnsi="Calibri"/>
          <w:b/>
          <w:color w:val="009649"/>
          <w:sz w:val="28"/>
        </w:rPr>
        <w:t>Рекомендації щодо впровадження</w:t>
      </w:r>
    </w:p>
    <w:p w:rsidR="00ED665B" w:rsidRPr="00907702" w:rsidRDefault="006C7D2F" w:rsidP="00136014">
      <w:pPr>
        <w:spacing w:before="163"/>
        <w:jc w:val="both"/>
        <w:rPr>
          <w:rFonts w:ascii="Calibri" w:hAnsi="Calibri" w:cs="Calibri"/>
        </w:rPr>
      </w:pPr>
      <w:r>
        <w:rPr>
          <w:rFonts w:ascii="Calibri" w:hAnsi="Calibri"/>
          <w:color w:val="000000"/>
          <w:sz w:val="22"/>
        </w:rPr>
        <w:t>Фактори, які слід враховувати при впровадженні автоматизованих ТАНК помірної складності для виявлення туберкульозу та резистентності до рифампіцину та ізоніазиду:</w:t>
      </w:r>
    </w:p>
    <w:p w:rsidR="00ED665B" w:rsidRPr="00907702" w:rsidRDefault="006C7D2F" w:rsidP="00136014">
      <w:pPr>
        <w:tabs>
          <w:tab w:val="left" w:pos="240"/>
        </w:tabs>
        <w:spacing w:before="77"/>
        <w:ind w:left="240"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місцеві епідеміологічні дані щодо поширеності резистентності повинні засновуватись на алгоритмах місцевого тестування, в той час як ймовірність попереднього тестування важлива для клінічної інтерпретації результатів випробувань;</w:t>
      </w:r>
    </w:p>
    <w:p w:rsidR="00ED665B" w:rsidRPr="00907702" w:rsidRDefault="00ED665B" w:rsidP="00DC2656">
      <w:pPr>
        <w:tabs>
          <w:tab w:val="left" w:pos="240"/>
        </w:tabs>
        <w:spacing w:before="77"/>
        <w:ind w:left="240" w:hanging="240"/>
        <w:jc w:val="both"/>
        <w:rPr>
          <w:rFonts w:ascii="Calibri" w:hAnsi="Calibri" w:cs="Calibri"/>
        </w:rPr>
        <w:sectPr w:rsidR="00ED665B" w:rsidRPr="00907702">
          <w:pgSz w:w="11904" w:h="16838"/>
          <w:pgMar w:top="1387" w:right="1416" w:bottom="1709" w:left="1416" w:header="720" w:footer="720" w:gutter="0"/>
          <w:cols w:space="60"/>
          <w:noEndnote/>
        </w:sectPr>
      </w:pP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lastRenderedPageBreak/>
        <w:t>вартість тестування змінюється залежно від таких параметрів, як кількість зразків у партії та необхідний час для персоналу; тому слід дотримуватись місцевих витрат;</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тести низької, помірної та високої складності демонструють послідовне збільшення потреб щодо технічної компетентності (кваліфікації та навичок) та часу персоналу, що впливає на планування та складання бюджету;</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при виборі медичного закладу слід враховувати наявність, а також своєчасність послуг місцевих служб підтримки та технічного обслуговування;</w:t>
      </w:r>
    </w:p>
    <w:p w:rsidR="00ED665B" w:rsidRPr="00907702" w:rsidRDefault="006C7D2F" w:rsidP="00DC2656">
      <w:pPr>
        <w:numPr>
          <w:ilvl w:val="0"/>
          <w:numId w:val="2"/>
        </w:numPr>
        <w:tabs>
          <w:tab w:val="left" w:pos="240"/>
        </w:tabs>
        <w:ind w:left="240" w:right="10" w:hanging="240"/>
        <w:jc w:val="both"/>
        <w:rPr>
          <w:rFonts w:ascii="Calibri" w:hAnsi="Calibri" w:cs="Calibri"/>
          <w:color w:val="009649"/>
          <w:sz w:val="22"/>
          <w:szCs w:val="22"/>
        </w:rPr>
      </w:pPr>
      <w:r>
        <w:rPr>
          <w:rFonts w:ascii="Calibri" w:hAnsi="Calibri"/>
          <w:color w:val="000000"/>
          <w:sz w:val="22"/>
        </w:rPr>
        <w:t>акредитація лабораторії та відповідність надійній системі управління якістю (зокрема відповідний контроль якості) мають важливе значення для постійної досконалості та довіри до послуг;</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необхідне навчання як лабораторного, так і клінічного персоналу для забезпечення ефективного надання послуг та клінічного впливу;</w:t>
      </w:r>
    </w:p>
    <w:p w:rsidR="00ED665B" w:rsidRPr="00907702" w:rsidRDefault="006C7D2F" w:rsidP="00DC2656">
      <w:pPr>
        <w:numPr>
          <w:ilvl w:val="0"/>
          <w:numId w:val="2"/>
        </w:numPr>
        <w:tabs>
          <w:tab w:val="left" w:pos="240"/>
        </w:tabs>
        <w:ind w:left="240" w:right="14" w:hanging="240"/>
        <w:jc w:val="both"/>
        <w:rPr>
          <w:rFonts w:ascii="Calibri" w:hAnsi="Calibri" w:cs="Calibri"/>
          <w:color w:val="009649"/>
          <w:sz w:val="22"/>
          <w:szCs w:val="22"/>
        </w:rPr>
      </w:pPr>
      <w:r>
        <w:rPr>
          <w:rFonts w:ascii="Calibri" w:hAnsi="Calibri"/>
          <w:color w:val="000000"/>
          <w:sz w:val="22"/>
        </w:rPr>
        <w:t>заохочується використання рішень для зв’язку для передачі результатів, для підвищення ефективності надання послуг та скорочення часу до початку лікування;</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автоматизовані ТАНК помірної складності вже можуть програмно використовуватися для інших захворювань, наприклад, коронавірусу важкого гострого респіраторного синдрому-2 (SARS-CoV2), ВІЛ та резистентності до антимікробних препаратів (AMП), що потенційно може полегшити впровадження тестування на туберкульоз на спільних платформах;</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для впровадження автоматизованих ТАНК помірної складності потрібні лабораторії з необхідною інфраструктурою, простором та ефективними системами транспортування зразків;</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хоча це автоматизовані тести, потрібен добре навчений кваліфікований персонал для проведення тестувань та виконання повних вимог до технічного обслуговування; і</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впровадження цих тестів повинне залежати від контексту; таким чином, слід враховувати проблеми доступу, особливо у віддалених районах, де менш централізовані технології, рекомендовані ВООЗ, можуть бути більш доцільними.</w:t>
      </w:r>
    </w:p>
    <w:p w:rsidR="00ED665B" w:rsidRPr="00C1177C" w:rsidRDefault="006C7D2F" w:rsidP="00DC2656">
      <w:pPr>
        <w:spacing w:before="230"/>
        <w:rPr>
          <w:rFonts w:ascii="Calibri" w:hAnsi="Calibri" w:cs="Calibri"/>
          <w:b/>
          <w:bCs/>
          <w:color w:val="009649"/>
        </w:rPr>
      </w:pPr>
      <w:r>
        <w:rPr>
          <w:rFonts w:ascii="Calibri" w:hAnsi="Calibri"/>
          <w:b/>
          <w:color w:val="009649"/>
          <w:sz w:val="28"/>
        </w:rPr>
        <w:t>Пріоритети наукових досліджень</w:t>
      </w:r>
    </w:p>
    <w:p w:rsidR="00ED665B" w:rsidRPr="00907702" w:rsidRDefault="006C7D2F" w:rsidP="00136014">
      <w:pPr>
        <w:spacing w:before="163"/>
        <w:jc w:val="both"/>
        <w:rPr>
          <w:rFonts w:ascii="Calibri" w:hAnsi="Calibri" w:cs="Calibri"/>
        </w:rPr>
      </w:pPr>
      <w:r>
        <w:rPr>
          <w:rFonts w:ascii="Calibri" w:hAnsi="Calibri"/>
          <w:color w:val="000000"/>
          <w:sz w:val="22"/>
        </w:rPr>
        <w:t>Пріоритети дослідження автоматизованих ТАНК помірної складності для виявлення туберкульозу та резистентності до рифампіцину та ізоніазиду:</w:t>
      </w:r>
    </w:p>
    <w:p w:rsidR="00ED665B" w:rsidRPr="00907702" w:rsidRDefault="006C7D2F" w:rsidP="00DC2656">
      <w:pPr>
        <w:numPr>
          <w:ilvl w:val="0"/>
          <w:numId w:val="2"/>
        </w:numPr>
        <w:tabs>
          <w:tab w:val="left" w:pos="240"/>
        </w:tabs>
        <w:spacing w:before="77"/>
        <w:ind w:left="240" w:right="5" w:hanging="240"/>
        <w:jc w:val="both"/>
        <w:rPr>
          <w:rFonts w:ascii="Calibri" w:hAnsi="Calibri" w:cs="Calibri"/>
          <w:color w:val="009649"/>
          <w:sz w:val="22"/>
          <w:szCs w:val="22"/>
        </w:rPr>
      </w:pPr>
      <w:r>
        <w:rPr>
          <w:rFonts w:ascii="Calibri" w:hAnsi="Calibri"/>
          <w:color w:val="000000"/>
          <w:sz w:val="22"/>
        </w:rPr>
        <w:t>діагностична точність у конкретних популяціях пацієнтів (наприклад, у дітей, людей, які живуть з ВІЛ, та у пацієнтів із ознаками та симптомами позалегеневого туберкульозу) та у зразках, відмінних від мокротиння;</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вплив діагностичних технологій на прийняття клінічних рішень та результати, важливі для пацієнтів (наприклад, лікування, смертність, час до встановлення діагнозу та час початку лікування) у всіх популяціях пацієнтів;</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вплив специфічних мутацій на результати лікування серед людей з ЛС-ТБ;</w:t>
      </w:r>
    </w:p>
    <w:p w:rsidR="00ED665B" w:rsidRPr="00907702" w:rsidRDefault="006C7D2F" w:rsidP="00DC2656">
      <w:pPr>
        <w:numPr>
          <w:ilvl w:val="0"/>
          <w:numId w:val="2"/>
        </w:numPr>
        <w:tabs>
          <w:tab w:val="left" w:pos="240"/>
        </w:tabs>
        <w:ind w:left="240" w:right="10" w:hanging="240"/>
        <w:jc w:val="both"/>
        <w:rPr>
          <w:rFonts w:ascii="Calibri" w:hAnsi="Calibri" w:cs="Calibri"/>
          <w:color w:val="009649"/>
          <w:sz w:val="22"/>
          <w:szCs w:val="22"/>
        </w:rPr>
      </w:pPr>
      <w:r>
        <w:rPr>
          <w:rFonts w:ascii="Calibri" w:hAnsi="Calibri"/>
          <w:color w:val="000000"/>
          <w:sz w:val="22"/>
        </w:rPr>
        <w:t>використання, інтеграція та оптимізація діагностичних технологій у загальному ландшафті тестування та догляду, а також діагностичних шляхів та алгоритмів;</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економічні дослідження, що оцінюють витрати, співвідношення витрати / ефективність та економічну доцільність різних діагностичних технологій;</w:t>
      </w:r>
    </w:p>
    <w:p w:rsidR="00ED665B" w:rsidRPr="00907702" w:rsidRDefault="006C7D2F" w:rsidP="00DC2656">
      <w:pPr>
        <w:numPr>
          <w:ilvl w:val="0"/>
          <w:numId w:val="2"/>
        </w:numPr>
        <w:tabs>
          <w:tab w:val="left" w:pos="240"/>
        </w:tabs>
        <w:ind w:left="240" w:right="10" w:hanging="240"/>
        <w:jc w:val="both"/>
        <w:rPr>
          <w:rFonts w:ascii="Calibri" w:hAnsi="Calibri" w:cs="Calibri"/>
          <w:color w:val="009649"/>
          <w:sz w:val="22"/>
          <w:szCs w:val="22"/>
        </w:rPr>
      </w:pPr>
      <w:r>
        <w:rPr>
          <w:rFonts w:ascii="Calibri" w:hAnsi="Calibri"/>
          <w:color w:val="000000"/>
          <w:sz w:val="22"/>
        </w:rPr>
        <w:t>якісні дослідження, що оцінюють рівність, прийнятність, доцільність та значення кінцевого споживача різних діагностичних технологій;</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вплив недійсних результатів (невизначених, незрозумілих або недійсних) на точність діагностики та результати, важливі для пацієнтів;</w:t>
      </w:r>
    </w:p>
    <w:p w:rsidR="00ED665B" w:rsidRPr="00907702" w:rsidRDefault="006C7D2F" w:rsidP="00DC2656">
      <w:pPr>
        <w:numPr>
          <w:ilvl w:val="0"/>
          <w:numId w:val="2"/>
        </w:numPr>
        <w:tabs>
          <w:tab w:val="left" w:pos="240"/>
        </w:tabs>
        <w:ind w:left="240" w:right="14" w:hanging="240"/>
        <w:jc w:val="both"/>
        <w:rPr>
          <w:rFonts w:ascii="Calibri" w:hAnsi="Calibri" w:cs="Calibri"/>
          <w:color w:val="009649"/>
          <w:sz w:val="22"/>
          <w:szCs w:val="22"/>
        </w:rPr>
      </w:pPr>
      <w:r>
        <w:rPr>
          <w:rFonts w:ascii="Calibri" w:hAnsi="Calibri"/>
          <w:color w:val="000000"/>
          <w:sz w:val="22"/>
        </w:rPr>
        <w:t>оперативні дослідження переваг та недоліків окремих технологій у межах класу автоматизованих ТАНК помірної складності;</w:t>
      </w:r>
    </w:p>
    <w:p w:rsidR="00ED665B" w:rsidRPr="00907702" w:rsidRDefault="00ED665B" w:rsidP="00DC2656">
      <w:pPr>
        <w:numPr>
          <w:ilvl w:val="0"/>
          <w:numId w:val="2"/>
        </w:numPr>
        <w:tabs>
          <w:tab w:val="left" w:pos="240"/>
        </w:tabs>
        <w:ind w:left="240" w:right="14" w:hanging="240"/>
        <w:jc w:val="both"/>
        <w:rPr>
          <w:rFonts w:ascii="Calibri" w:hAnsi="Calibri" w:cs="Calibri"/>
          <w:color w:val="009649"/>
          <w:sz w:val="22"/>
          <w:szCs w:val="22"/>
        </w:rPr>
        <w:sectPr w:rsidR="00ED665B" w:rsidRPr="00907702">
          <w:pgSz w:w="11904" w:h="16838"/>
          <w:pgMar w:top="1339" w:right="1411" w:bottom="1560" w:left="1416" w:header="720" w:footer="720" w:gutter="0"/>
          <w:cols w:space="60"/>
          <w:noEndnote/>
        </w:sectPr>
      </w:pPr>
    </w:p>
    <w:p w:rsidR="00ED665B" w:rsidRPr="00907702" w:rsidRDefault="006C7D2F" w:rsidP="00DC2656">
      <w:pPr>
        <w:numPr>
          <w:ilvl w:val="0"/>
          <w:numId w:val="2"/>
        </w:numPr>
        <w:tabs>
          <w:tab w:val="left" w:pos="346"/>
        </w:tabs>
        <w:ind w:left="346" w:right="29" w:hanging="240"/>
        <w:jc w:val="both"/>
        <w:rPr>
          <w:rFonts w:ascii="Calibri" w:hAnsi="Calibri" w:cs="Calibri"/>
          <w:color w:val="009649"/>
          <w:sz w:val="22"/>
          <w:szCs w:val="22"/>
        </w:rPr>
      </w:pPr>
      <w:r>
        <w:rPr>
          <w:rFonts w:ascii="Calibri" w:hAnsi="Calibri"/>
          <w:color w:val="000000"/>
          <w:sz w:val="22"/>
        </w:rPr>
        <w:lastRenderedPageBreak/>
        <w:t>вплив автоматизованих ТАНК помірної складності у сприянні співпраці та інтеграції між програмами боротьби з хворобами; та</w:t>
      </w:r>
    </w:p>
    <w:p w:rsidR="00ED665B" w:rsidRPr="00907702" w:rsidRDefault="006C7D2F" w:rsidP="00DC2656">
      <w:pPr>
        <w:numPr>
          <w:ilvl w:val="0"/>
          <w:numId w:val="2"/>
        </w:numPr>
        <w:tabs>
          <w:tab w:val="left" w:pos="346"/>
        </w:tabs>
        <w:ind w:left="346" w:right="19" w:hanging="240"/>
        <w:jc w:val="both"/>
        <w:rPr>
          <w:rFonts w:ascii="Calibri" w:hAnsi="Calibri" w:cs="Calibri"/>
          <w:color w:val="009649"/>
          <w:sz w:val="22"/>
          <w:szCs w:val="22"/>
        </w:rPr>
      </w:pPr>
      <w:r>
        <w:rPr>
          <w:rFonts w:ascii="Calibri" w:hAnsi="Calibri"/>
          <w:color w:val="000000"/>
          <w:sz w:val="22"/>
        </w:rPr>
        <w:t xml:space="preserve">потенційна корисність виявлення резистентності до </w:t>
      </w:r>
      <w:r w:rsidRPr="009D59CA">
        <w:rPr>
          <w:rFonts w:ascii="Calibri" w:hAnsi="Calibri"/>
          <w:i/>
          <w:color w:val="000000"/>
          <w:sz w:val="22"/>
        </w:rPr>
        <w:t>katG</w:t>
      </w:r>
      <w:r>
        <w:rPr>
          <w:rFonts w:ascii="Calibri" w:hAnsi="Calibri"/>
          <w:color w:val="000000"/>
          <w:sz w:val="22"/>
        </w:rPr>
        <w:t xml:space="preserve"> для ідентифікації клонів МЛС-ТБ, які можуть бути пропущені, оскільки не містять мутації RRDR (наприклад, клон МЛС-ТБ Есватіні, який має як </w:t>
      </w:r>
      <w:r w:rsidRPr="009D59CA">
        <w:rPr>
          <w:rFonts w:ascii="Calibri" w:hAnsi="Calibri"/>
          <w:i/>
          <w:color w:val="000000"/>
          <w:sz w:val="22"/>
        </w:rPr>
        <w:t>katG</w:t>
      </w:r>
      <w:r>
        <w:rPr>
          <w:rFonts w:ascii="Calibri" w:hAnsi="Calibri"/>
          <w:color w:val="000000"/>
          <w:sz w:val="22"/>
        </w:rPr>
        <w:t xml:space="preserve"> S315T, так і RRDR </w:t>
      </w:r>
      <w:r w:rsidRPr="009D59CA">
        <w:rPr>
          <w:rFonts w:ascii="Calibri" w:hAnsi="Calibri"/>
          <w:i/>
          <w:color w:val="000000"/>
          <w:sz w:val="22"/>
        </w:rPr>
        <w:t>rpoB</w:t>
      </w:r>
      <w:r>
        <w:rPr>
          <w:rFonts w:ascii="Calibri" w:hAnsi="Calibri"/>
          <w:color w:val="000000"/>
          <w:sz w:val="22"/>
        </w:rPr>
        <w:t xml:space="preserve"> </w:t>
      </w:r>
      <w:r w:rsidRPr="0031040C">
        <w:rPr>
          <w:rFonts w:ascii="Calibri" w:hAnsi="Calibri"/>
          <w:i/>
          <w:color w:val="000000"/>
          <w:sz w:val="22"/>
        </w:rPr>
        <w:t>I491F</w:t>
      </w:r>
      <w:r>
        <w:rPr>
          <w:rFonts w:ascii="Calibri" w:hAnsi="Calibri"/>
          <w:color w:val="000000"/>
          <w:sz w:val="22"/>
        </w:rPr>
        <w:t xml:space="preserve"> без мутації).</w:t>
      </w:r>
    </w:p>
    <w:p w:rsidR="00ED665B" w:rsidRPr="00C1177C" w:rsidRDefault="006C7D2F" w:rsidP="00C1177C">
      <w:pPr>
        <w:spacing w:before="307"/>
        <w:ind w:left="106" w:right="-12"/>
        <w:rPr>
          <w:rFonts w:ascii="Calibri" w:hAnsi="Calibri" w:cs="Calibri"/>
          <w:b/>
          <w:bCs/>
          <w:color w:val="009649"/>
        </w:rPr>
      </w:pPr>
      <w:r>
        <w:rPr>
          <w:rFonts w:ascii="Calibri" w:hAnsi="Calibri"/>
          <w:b/>
          <w:color w:val="009649"/>
          <w:sz w:val="38"/>
        </w:rPr>
        <w:t>2.2. Початкові діагностичні тести для діагностики туберкульозу без виявлення резистентності до препаратів</w:t>
      </w:r>
    </w:p>
    <w:p w:rsidR="00ED665B" w:rsidRPr="00C1177C" w:rsidRDefault="006C7D2F" w:rsidP="00C1177C">
      <w:pPr>
        <w:spacing w:before="206"/>
        <w:ind w:left="106" w:right="-12"/>
        <w:rPr>
          <w:rFonts w:ascii="Calibri" w:hAnsi="Calibri" w:cs="Calibri"/>
          <w:b/>
          <w:bCs/>
          <w:color w:val="009649"/>
        </w:rPr>
      </w:pPr>
      <w:r>
        <w:rPr>
          <w:rFonts w:ascii="Calibri" w:hAnsi="Calibri"/>
          <w:b/>
          <w:color w:val="009649"/>
          <w:sz w:val="28"/>
        </w:rPr>
        <w:t>Петльова ізотермічна ампліфікація</w:t>
      </w:r>
    </w:p>
    <w:p w:rsidR="00ED665B" w:rsidRPr="00907702" w:rsidRDefault="006C7D2F" w:rsidP="00DC2656">
      <w:pPr>
        <w:spacing w:before="168"/>
        <w:ind w:left="106" w:right="24"/>
        <w:jc w:val="both"/>
        <w:rPr>
          <w:rFonts w:ascii="Calibri" w:hAnsi="Calibri" w:cs="Calibri"/>
        </w:rPr>
      </w:pPr>
      <w:r>
        <w:rPr>
          <w:rFonts w:ascii="Calibri" w:hAnsi="Calibri"/>
          <w:color w:val="000000"/>
          <w:sz w:val="22"/>
        </w:rPr>
        <w:t xml:space="preserve">Принцип дії комерційного молекулярного аналізу для виявлення комплексу </w:t>
      </w:r>
      <w:r w:rsidRPr="00983321">
        <w:rPr>
          <w:rFonts w:ascii="Calibri" w:hAnsi="Calibri"/>
          <w:i/>
          <w:color w:val="000000"/>
          <w:sz w:val="22"/>
        </w:rPr>
        <w:t>Mycobacterium tuberculosis</w:t>
      </w:r>
      <w:r>
        <w:rPr>
          <w:rFonts w:ascii="Calibri" w:hAnsi="Calibri"/>
          <w:color w:val="000000"/>
          <w:sz w:val="22"/>
        </w:rPr>
        <w:t xml:space="preserve"> (MTБК), для якого використовується набір LoopampTM (Eiken Chemical Company, Токіо, Японія), ґрунтується на реакції петльової ізотермічної ампліфікації (LAMP). Його називають TВ-LAMP, і це мануальний аналіз, для проведення якого потрібно менше 1 години, а читати його результати можна неозброєним оком під УФ-світлом. Оскільки він потребує незначної кількості оснащення і є порівняно простим у використанні, TB-LAMP розглядається як швидкий діагностичний тест, який стане альтернативою мікроскопії мазка в умовах обмежених ресурсів. Методи LAMP використовувались для виявлення малярії та декількох забутих тропічних захворювань.</w:t>
      </w:r>
    </w:p>
    <w:p w:rsidR="00ED665B" w:rsidRPr="00907702" w:rsidRDefault="006C7D2F" w:rsidP="00DC2656">
      <w:pPr>
        <w:spacing w:before="168"/>
        <w:ind w:left="106" w:right="24"/>
        <w:jc w:val="both"/>
        <w:rPr>
          <w:rFonts w:ascii="Calibri" w:hAnsi="Calibri" w:cs="Calibri"/>
        </w:rPr>
      </w:pPr>
      <w:r>
        <w:rPr>
          <w:rFonts w:ascii="Calibri" w:hAnsi="Calibri"/>
          <w:color w:val="000000"/>
          <w:sz w:val="22"/>
        </w:rPr>
        <w:t>У 2012 році ВООЗ скликала групу ГРН, яка визнала TB-LAMP як мануальний молекулярний тест для виявлення ТБ, який, можливо, буде застосовуватися у лабораторіях мікроскопії периферійного рівня після того, як лаборанти пройдуть належну підготовку. Переваги TB-LAMP полягають у тому, що він має відносно високу пропускну здатність, не потребує використання складних інструментів, а також має вимоги до біобезпеки, аналогічні вимогам мікроскопії мазка мокротиння. З 2012 року було проведено близько 20 додаткових досліджень у 17 країнах. У січні 2016 року ВООЗ скликала засідання ГРН для розгляду даних систематичного огляду та метааналізу даних окремих учасників цих досліджень.</w:t>
      </w:r>
    </w:p>
    <w:p w:rsidR="00ED665B" w:rsidRPr="00907702" w:rsidRDefault="00ED665B" w:rsidP="00DC2656">
      <w:pPr>
        <w:spacing w:after="173"/>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202"/>
      </w:tblGrid>
      <w:tr w:rsidR="00ED665B" w:rsidRPr="00C1177C" w:rsidTr="00C1177C">
        <w:trPr>
          <w:trHeight w:hRule="exact" w:val="518"/>
        </w:trPr>
        <w:tc>
          <w:tcPr>
            <w:tcW w:w="9202" w:type="dxa"/>
            <w:tcBorders>
              <w:top w:val="nil"/>
              <w:left w:val="nil"/>
              <w:bottom w:val="single" w:sz="8" w:space="0" w:color="009649"/>
              <w:right w:val="nil"/>
            </w:tcBorders>
            <w:shd w:val="clear" w:color="auto" w:fill="FFFFFF"/>
          </w:tcPr>
          <w:p w:rsidR="00ED665B" w:rsidRPr="00C1177C" w:rsidRDefault="006C7D2F" w:rsidP="00DC2656">
            <w:pPr>
              <w:rPr>
                <w:rFonts w:ascii="Calibri" w:hAnsi="Calibri" w:cs="Calibri"/>
                <w:b/>
                <w:bCs/>
              </w:rPr>
            </w:pPr>
            <w:r>
              <w:rPr>
                <w:rFonts w:ascii="Calibri" w:hAnsi="Calibri"/>
                <w:b/>
                <w:color w:val="009649"/>
                <w:sz w:val="28"/>
              </w:rPr>
              <w:t>Рекомендації</w:t>
            </w:r>
          </w:p>
        </w:tc>
      </w:tr>
      <w:tr w:rsidR="00ED665B" w:rsidRPr="00907702" w:rsidTr="00C1177C">
        <w:trPr>
          <w:trHeight w:hRule="exact" w:val="2842"/>
        </w:trPr>
        <w:tc>
          <w:tcPr>
            <w:tcW w:w="9202" w:type="dxa"/>
            <w:tcBorders>
              <w:top w:val="single" w:sz="8" w:space="0" w:color="009649"/>
              <w:left w:val="single" w:sz="8" w:space="0" w:color="009649"/>
              <w:bottom w:val="single" w:sz="8" w:space="0" w:color="009649"/>
              <w:right w:val="single" w:sz="8" w:space="0" w:color="009649"/>
            </w:tcBorders>
            <w:shd w:val="clear" w:color="auto" w:fill="FFFFFF"/>
          </w:tcPr>
          <w:p w:rsidR="00ED665B" w:rsidRPr="00136014" w:rsidRDefault="006C7D2F" w:rsidP="00136014">
            <w:pPr>
              <w:tabs>
                <w:tab w:val="left" w:pos="859"/>
              </w:tabs>
              <w:spacing w:before="120"/>
              <w:ind w:left="744" w:right="197" w:hanging="461"/>
              <w:jc w:val="both"/>
              <w:rPr>
                <w:rFonts w:ascii="Calibri" w:hAnsi="Calibri" w:cs="Calibri"/>
                <w:i/>
              </w:rPr>
            </w:pPr>
            <w:r>
              <w:rPr>
                <w:rFonts w:ascii="Calibri" w:hAnsi="Calibri"/>
                <w:color w:val="000000"/>
                <w:sz w:val="22"/>
              </w:rPr>
              <w:t>1.</w:t>
            </w:r>
            <w:r>
              <w:rPr>
                <w:rFonts w:ascii="Calibri" w:hAnsi="Calibri"/>
                <w:color w:val="000000"/>
                <w:sz w:val="22"/>
              </w:rPr>
              <w:tab/>
              <w:t xml:space="preserve">TB-LAMP може використовуватися як замісний тест для мікроскопії мазка мокротиння для діагностики легеневого ТБ у дорослих людей з ознаками та симптомами, що свідчать про наявність туберкульозу. </w:t>
            </w:r>
            <w:r w:rsidRPr="00136014">
              <w:rPr>
                <w:rFonts w:ascii="Calibri" w:hAnsi="Calibri"/>
                <w:i/>
                <w:color w:val="000000"/>
                <w:sz w:val="22"/>
              </w:rPr>
              <w:t>(Умовна рекомендація, дуже низька якість доказових даних)</w:t>
            </w:r>
          </w:p>
          <w:p w:rsidR="00ED665B" w:rsidRPr="00907702" w:rsidRDefault="006C7D2F" w:rsidP="00136014">
            <w:pPr>
              <w:tabs>
                <w:tab w:val="left" w:pos="859"/>
              </w:tabs>
              <w:spacing w:before="120"/>
              <w:ind w:left="744" w:right="197" w:hanging="461"/>
              <w:jc w:val="both"/>
              <w:rPr>
                <w:rFonts w:ascii="Calibri" w:hAnsi="Calibri" w:cs="Calibri"/>
              </w:rPr>
            </w:pPr>
            <w:r>
              <w:rPr>
                <w:rFonts w:ascii="Calibri" w:hAnsi="Calibri"/>
                <w:color w:val="000000"/>
                <w:sz w:val="22"/>
              </w:rPr>
              <w:t>2.</w:t>
            </w:r>
            <w:r>
              <w:rPr>
                <w:rFonts w:ascii="Calibri" w:hAnsi="Calibri"/>
                <w:color w:val="000000"/>
                <w:sz w:val="22"/>
              </w:rPr>
              <w:tab/>
              <w:t>TB-LAMP може використовуватися в якості подальшого тесту після мікроскопії мазка у дорослих людей із ознаками та симптомами, що свідчать про наявність легеневого ТБ, особливо коли необхідно додаткове тестування зразків негативного мазка мокротиння:</w:t>
            </w:r>
          </w:p>
          <w:p w:rsidR="00ED665B" w:rsidRPr="00136014" w:rsidRDefault="006C7D2F" w:rsidP="00136014">
            <w:pPr>
              <w:ind w:left="776"/>
              <w:jc w:val="both"/>
              <w:rPr>
                <w:rFonts w:ascii="Calibri" w:hAnsi="Calibri" w:cs="Calibri"/>
                <w:i/>
              </w:rPr>
            </w:pPr>
            <w:r w:rsidRPr="00136014">
              <w:rPr>
                <w:rFonts w:ascii="Calibri" w:hAnsi="Calibri"/>
                <w:i/>
                <w:color w:val="000000"/>
                <w:sz w:val="22"/>
              </w:rPr>
              <w:t>(Умовна рекомендація, дуже низька якість доказових даних)</w:t>
            </w:r>
          </w:p>
        </w:tc>
      </w:tr>
      <w:tr w:rsidR="00ED665B" w:rsidRPr="00907702" w:rsidTr="00C1177C">
        <w:trPr>
          <w:trHeight w:hRule="exact" w:val="573"/>
        </w:trPr>
        <w:tc>
          <w:tcPr>
            <w:tcW w:w="9202" w:type="dxa"/>
            <w:tcBorders>
              <w:top w:val="single" w:sz="8" w:space="0" w:color="009649"/>
              <w:left w:val="nil"/>
              <w:bottom w:val="nil"/>
              <w:right w:val="nil"/>
            </w:tcBorders>
            <w:shd w:val="clear" w:color="auto" w:fill="FFFFFF"/>
          </w:tcPr>
          <w:p w:rsidR="00ED665B" w:rsidRPr="00907702" w:rsidRDefault="00ED665B" w:rsidP="00DC2656">
            <w:pPr>
              <w:rPr>
                <w:rFonts w:ascii="Calibri" w:hAnsi="Calibri" w:cs="Calibri"/>
              </w:rPr>
            </w:pPr>
          </w:p>
        </w:tc>
      </w:tr>
      <w:tr w:rsidR="00ED665B" w:rsidRPr="00907702" w:rsidTr="00C1177C">
        <w:trPr>
          <w:trHeight w:hRule="exact" w:val="1097"/>
        </w:trPr>
        <w:tc>
          <w:tcPr>
            <w:tcW w:w="9202" w:type="dxa"/>
            <w:tcBorders>
              <w:top w:val="nil"/>
              <w:left w:val="nil"/>
              <w:bottom w:val="nil"/>
              <w:right w:val="nil"/>
            </w:tcBorders>
            <w:shd w:val="clear" w:color="auto" w:fill="FFFFFF"/>
          </w:tcPr>
          <w:p w:rsidR="00ED665B" w:rsidRPr="00C1177C" w:rsidRDefault="006C7D2F" w:rsidP="00DC2656">
            <w:pPr>
              <w:rPr>
                <w:rFonts w:ascii="Calibri" w:hAnsi="Calibri" w:cs="Calibri"/>
                <w:b/>
                <w:bCs/>
              </w:rPr>
            </w:pPr>
            <w:r>
              <w:rPr>
                <w:rFonts w:ascii="Calibri" w:hAnsi="Calibri"/>
                <w:b/>
                <w:color w:val="000000"/>
                <w:sz w:val="22"/>
              </w:rPr>
              <w:t>Примітки</w:t>
            </w:r>
          </w:p>
          <w:p w:rsidR="00ED665B" w:rsidRPr="00907702" w:rsidRDefault="006C7D2F" w:rsidP="00136014">
            <w:pPr>
              <w:spacing w:before="120"/>
              <w:ind w:left="316" w:hanging="316"/>
              <w:jc w:val="both"/>
              <w:rPr>
                <w:rFonts w:ascii="Calibri" w:hAnsi="Calibri" w:cs="Calibri"/>
              </w:rPr>
            </w:pPr>
            <w:r>
              <w:rPr>
                <w:rFonts w:ascii="Calibri" w:hAnsi="Calibri"/>
                <w:color w:val="000000"/>
                <w:sz w:val="22"/>
              </w:rPr>
              <w:t xml:space="preserve">1. </w:t>
            </w:r>
            <w:r>
              <w:rPr>
                <w:rFonts w:ascii="Calibri" w:hAnsi="Calibri"/>
                <w:color w:val="000000"/>
                <w:sz w:val="22"/>
              </w:rPr>
              <w:tab/>
              <w:t>Ці рекомендації стосуються умов, за яких можна проводити звичайну мікроскопію мазка мокротиння.</w:t>
            </w:r>
          </w:p>
        </w:tc>
      </w:tr>
    </w:tbl>
    <w:p w:rsidR="00ED665B" w:rsidRPr="00907702" w:rsidRDefault="00ED665B" w:rsidP="00DC2656">
      <w:pPr>
        <w:rPr>
          <w:rFonts w:ascii="Calibri" w:hAnsi="Calibri" w:cs="Calibri"/>
        </w:rPr>
        <w:sectPr w:rsidR="00ED665B" w:rsidRPr="00907702">
          <w:pgSz w:w="11904" w:h="16838"/>
          <w:pgMar w:top="1339" w:right="1392" w:bottom="1459" w:left="1310" w:header="720" w:footer="720" w:gutter="0"/>
          <w:cols w:space="60"/>
          <w:noEndnote/>
        </w:sectPr>
      </w:pPr>
    </w:p>
    <w:p w:rsidR="00ED665B" w:rsidRPr="00907702" w:rsidRDefault="006C7D2F" w:rsidP="00DC2656">
      <w:pPr>
        <w:numPr>
          <w:ilvl w:val="0"/>
          <w:numId w:val="14"/>
        </w:numPr>
        <w:tabs>
          <w:tab w:val="left" w:pos="283"/>
        </w:tabs>
        <w:ind w:left="283" w:right="5" w:hanging="283"/>
        <w:jc w:val="both"/>
        <w:rPr>
          <w:rFonts w:ascii="Calibri" w:hAnsi="Calibri" w:cs="Calibri"/>
          <w:color w:val="000000"/>
          <w:sz w:val="22"/>
          <w:szCs w:val="22"/>
        </w:rPr>
      </w:pPr>
      <w:r>
        <w:rPr>
          <w:rFonts w:ascii="Calibri" w:hAnsi="Calibri"/>
          <w:color w:val="000000"/>
          <w:sz w:val="22"/>
        </w:rPr>
        <w:lastRenderedPageBreak/>
        <w:t>TB-LAMP не повинен використовуватися замість молекулярних швидких тестів, за допомогою яких виявляють ТБ та резистентність до рифампіцину, особливо серед популяцій, що схильні до МЛС-ТБ.</w:t>
      </w:r>
    </w:p>
    <w:p w:rsidR="00ED665B" w:rsidRPr="00907702" w:rsidRDefault="006C7D2F" w:rsidP="00DC2656">
      <w:pPr>
        <w:numPr>
          <w:ilvl w:val="0"/>
          <w:numId w:val="14"/>
        </w:numPr>
        <w:tabs>
          <w:tab w:val="left" w:pos="283"/>
        </w:tabs>
        <w:spacing w:before="168"/>
        <w:ind w:left="283" w:right="5" w:hanging="283"/>
        <w:jc w:val="both"/>
        <w:rPr>
          <w:rFonts w:ascii="Calibri" w:hAnsi="Calibri" w:cs="Calibri"/>
          <w:color w:val="000000"/>
          <w:sz w:val="22"/>
          <w:szCs w:val="22"/>
        </w:rPr>
      </w:pPr>
      <w:r>
        <w:rPr>
          <w:rFonts w:ascii="Calibri" w:hAnsi="Calibri"/>
          <w:color w:val="000000"/>
          <w:sz w:val="22"/>
        </w:rPr>
        <w:t>Тест має обмежене додаткове діагностичне значення для мікроскопії мазка мокротиння для тестування ЛЖВ, які мають ознаки та симптоми, що свідчать про наявність ТБ.</w:t>
      </w:r>
    </w:p>
    <w:p w:rsidR="00ED665B" w:rsidRPr="00907702" w:rsidRDefault="006C7D2F" w:rsidP="00DC2656">
      <w:pPr>
        <w:numPr>
          <w:ilvl w:val="0"/>
          <w:numId w:val="14"/>
        </w:numPr>
        <w:tabs>
          <w:tab w:val="left" w:pos="283"/>
        </w:tabs>
        <w:spacing w:before="163"/>
        <w:ind w:left="283" w:right="10" w:hanging="283"/>
        <w:jc w:val="both"/>
        <w:rPr>
          <w:rFonts w:ascii="Calibri" w:hAnsi="Calibri" w:cs="Calibri"/>
          <w:color w:val="000000"/>
          <w:sz w:val="22"/>
          <w:szCs w:val="22"/>
        </w:rPr>
      </w:pPr>
      <w:r>
        <w:rPr>
          <w:rFonts w:ascii="Calibri" w:hAnsi="Calibri"/>
          <w:color w:val="000000"/>
          <w:sz w:val="22"/>
        </w:rPr>
        <w:t>Ці рекомендації стосуються лише застосування TB-LAMP для тестування зразків мокротиння у пацієнтів з ознаками та симптомами, що свідчать про наявність легеневого ТБ.</w:t>
      </w:r>
    </w:p>
    <w:p w:rsidR="00ED665B" w:rsidRPr="00907702" w:rsidRDefault="006C7D2F" w:rsidP="00DC2656">
      <w:pPr>
        <w:numPr>
          <w:ilvl w:val="0"/>
          <w:numId w:val="14"/>
        </w:numPr>
        <w:tabs>
          <w:tab w:val="left" w:pos="283"/>
        </w:tabs>
        <w:spacing w:before="163"/>
        <w:ind w:left="283" w:right="5" w:hanging="283"/>
        <w:jc w:val="both"/>
        <w:rPr>
          <w:rFonts w:ascii="Calibri" w:hAnsi="Calibri" w:cs="Calibri"/>
          <w:color w:val="000000"/>
          <w:sz w:val="22"/>
          <w:szCs w:val="22"/>
        </w:rPr>
      </w:pPr>
      <w:r>
        <w:rPr>
          <w:rFonts w:ascii="Calibri" w:hAnsi="Calibri"/>
          <w:color w:val="000000"/>
          <w:sz w:val="22"/>
        </w:rPr>
        <w:t>З огляду на узагальнені дані дорослих, ці рекомендації екстраполюються на використання TB-LAMP у дітей, але з урахуванням труднощів зі збиранням зразків мокротиння у дітей.</w:t>
      </w:r>
    </w:p>
    <w:p w:rsidR="00ED665B" w:rsidRPr="00C1177C" w:rsidRDefault="006C7D2F" w:rsidP="00DC2656">
      <w:pPr>
        <w:spacing w:before="230"/>
        <w:rPr>
          <w:rFonts w:ascii="Calibri" w:hAnsi="Calibri" w:cs="Calibri"/>
          <w:b/>
          <w:bCs/>
        </w:rPr>
      </w:pPr>
      <w:r>
        <w:rPr>
          <w:rFonts w:ascii="Calibri" w:hAnsi="Calibri"/>
          <w:b/>
          <w:color w:val="009649"/>
          <w:sz w:val="28"/>
        </w:rPr>
        <w:t>Опис тесту</w:t>
      </w:r>
    </w:p>
    <w:p w:rsidR="00ED665B" w:rsidRPr="00907702" w:rsidRDefault="006C7D2F" w:rsidP="00DC2656">
      <w:pPr>
        <w:spacing w:before="168"/>
        <w:ind w:right="5"/>
        <w:jc w:val="both"/>
        <w:rPr>
          <w:rFonts w:ascii="Calibri" w:hAnsi="Calibri" w:cs="Calibri"/>
        </w:rPr>
      </w:pPr>
      <w:r>
        <w:rPr>
          <w:rFonts w:ascii="Calibri" w:hAnsi="Calibri"/>
          <w:color w:val="000000"/>
          <w:sz w:val="22"/>
        </w:rPr>
        <w:t>Реакція ампліфікації вимагає чотирьох типів праймерів, які є комплементарними до шести областей цільового гена. За температури приблизно 65°С дволанцюгова ДНК знаходиться в стані динамічної рівноваги. Один з праймерів LAMP може ренатурувати комплементарну послідовність дволанцюгової цільової ДНК, ініціюючи синтез ДНК з полімеразою; активність витіснення ланцюга потім витісняє і вивільняє одноланцюгову ДНК. Завдяки комплементарності 5’-кінцевого переднього внутрішнього праймера (відомого як FIP) і зворотного внутрішнього праймера (BIP) у сусідніх областях цільового амплікону утворюються петлеподібні структури. Це дозволяє формувати різні розміри структур, що складаються з поперемінно перевернутих повторів цільової послідовності на одному ланцюгу, що формуються у швидкій послідовності.</w:t>
      </w:r>
    </w:p>
    <w:p w:rsidR="00ED665B" w:rsidRPr="00907702" w:rsidRDefault="006C7D2F" w:rsidP="00DC2656">
      <w:pPr>
        <w:spacing w:before="168"/>
        <w:jc w:val="both"/>
        <w:rPr>
          <w:rFonts w:ascii="Calibri" w:hAnsi="Calibri" w:cs="Calibri"/>
        </w:rPr>
      </w:pPr>
      <w:r>
        <w:rPr>
          <w:rFonts w:ascii="Calibri" w:hAnsi="Calibri"/>
          <w:color w:val="000000"/>
          <w:sz w:val="22"/>
        </w:rPr>
        <w:t>Додавання петельних праймерів, які містять комплементарні одноланцюговій петлевій області на 5’-кінцевій структурі шпилькоподібні послідовності, прискорюють реакцію, забезпечуючи більшу кількість вихідних точок синтезу ДНК. За допомогою циклічних праймерів можна досягти ампліфікації у 109–1010 разів протягом 15–30 хвилин. Оцінювана версія TB-LAMP включає циклічні праймери загалом на шість праймерів, що зв’язуються з вісьмома місцями. Ця вимога до однорідних послідовностей на кількох ділянках зв’язування зберігає специфічність аналізу навіть за відсутності зонда.</w:t>
      </w:r>
    </w:p>
    <w:p w:rsidR="00ED665B" w:rsidRPr="00907702" w:rsidRDefault="006C7D2F" w:rsidP="00DC2656">
      <w:pPr>
        <w:spacing w:before="168"/>
        <w:ind w:right="5"/>
        <w:jc w:val="both"/>
        <w:rPr>
          <w:rFonts w:ascii="Calibri" w:hAnsi="Calibri" w:cs="Calibri"/>
        </w:rPr>
      </w:pPr>
      <w:r>
        <w:rPr>
          <w:rFonts w:ascii="Calibri" w:hAnsi="Calibri"/>
          <w:color w:val="000000"/>
          <w:sz w:val="22"/>
        </w:rPr>
        <w:t xml:space="preserve">Метод LAMP є відносно нечутливим до накопичення ДНК та побічних продуктів ДНК (пірофосфатні солі), тому реакція триває до утворення великої кількості амплікону. Ця особливість дозволяє візуально виявити успішну ампліфікацію за допомогою дволанцюгових ДНК-зв’язувальних барвників, таких як SYBR зелений, шляхом виявлення помутніння, спричиненого осадженням пірофосфату магнію, або за допомогою неінгібіторного флуоресцентного реагенту, який гаситься у присутності двовалентних катіонів. </w:t>
      </w:r>
      <w:r>
        <w:rPr>
          <w:rFonts w:ascii="Calibri" w:hAnsi="Calibri"/>
          <w:sz w:val="22"/>
        </w:rPr>
        <w:t xml:space="preserve">На </w:t>
      </w:r>
      <w:r w:rsidRPr="007B12F0">
        <w:rPr>
          <w:rFonts w:ascii="Calibri" w:hAnsi="Calibri"/>
          <w:color w:val="2E74B5" w:themeColor="accent1" w:themeShade="BF"/>
          <w:sz w:val="22"/>
        </w:rPr>
        <w:t>Рис. 2.2.1</w:t>
      </w:r>
      <w:r>
        <w:rPr>
          <w:rFonts w:ascii="Calibri" w:hAnsi="Calibri"/>
          <w:sz w:val="22"/>
        </w:rPr>
        <w:t xml:space="preserve"> показано кальцеїн, не погашений через засвоєння пірофосфатом двовалентних катіонів, що флуоресцують в УФ-світлі.</w:t>
      </w:r>
      <w:r>
        <w:rPr>
          <w:rFonts w:ascii="Calibri" w:hAnsi="Calibri"/>
          <w:color w:val="000000"/>
          <w:sz w:val="22"/>
        </w:rPr>
        <w:t xml:space="preserve"> Мутний, флуоресцентний продукт легко побачити неозброєним оком.</w:t>
      </w:r>
    </w:p>
    <w:p w:rsidR="00ED665B" w:rsidRPr="00907702" w:rsidRDefault="00ED665B" w:rsidP="00DC2656">
      <w:pPr>
        <w:spacing w:before="168"/>
        <w:ind w:right="5"/>
        <w:jc w:val="both"/>
        <w:rPr>
          <w:rFonts w:ascii="Calibri" w:hAnsi="Calibri" w:cs="Calibri"/>
        </w:rPr>
        <w:sectPr w:rsidR="00ED665B" w:rsidRPr="00907702">
          <w:pgSz w:w="11904" w:h="16838"/>
          <w:pgMar w:top="1334" w:right="1411" w:bottom="3355"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958"/>
        <w:gridCol w:w="4075"/>
      </w:tblGrid>
      <w:tr w:rsidR="00ED665B" w:rsidRPr="00C1177C">
        <w:trPr>
          <w:trHeight w:hRule="exact" w:val="845"/>
        </w:trPr>
        <w:tc>
          <w:tcPr>
            <w:tcW w:w="4958" w:type="dxa"/>
            <w:vMerge w:val="restart"/>
            <w:tcBorders>
              <w:top w:val="nil"/>
              <w:left w:val="nil"/>
              <w:bottom w:val="nil"/>
              <w:right w:val="nil"/>
            </w:tcBorders>
            <w:shd w:val="clear" w:color="auto" w:fill="FFFFFF"/>
          </w:tcPr>
          <w:p w:rsidR="00ED665B" w:rsidRPr="00907702" w:rsidRDefault="006C7D2F" w:rsidP="004C1698">
            <w:pPr>
              <w:ind w:right="422"/>
              <w:jc w:val="both"/>
              <w:rPr>
                <w:rFonts w:ascii="Calibri" w:hAnsi="Calibri" w:cs="Calibri"/>
              </w:rPr>
            </w:pPr>
            <w:r>
              <w:rPr>
                <w:rFonts w:ascii="Calibri" w:hAnsi="Calibri"/>
                <w:color w:val="000000"/>
                <w:sz w:val="22"/>
              </w:rPr>
              <w:lastRenderedPageBreak/>
              <w:t>Процедура проведення тесту має три основні етапи (</w:t>
            </w:r>
            <w:r>
              <w:rPr>
                <w:rFonts w:ascii="Calibri" w:hAnsi="Calibri"/>
                <w:color w:val="1B61AF"/>
                <w:sz w:val="22"/>
              </w:rPr>
              <w:t xml:space="preserve">Рис. </w:t>
            </w:r>
            <w:r w:rsidRPr="007B12F0">
              <w:rPr>
                <w:rFonts w:ascii="Calibri" w:hAnsi="Calibri"/>
                <w:color w:val="1B61AF"/>
                <w:sz w:val="22"/>
              </w:rPr>
              <w:t>2</w:t>
            </w:r>
            <w:r>
              <w:rPr>
                <w:rFonts w:ascii="Calibri" w:hAnsi="Calibri"/>
                <w:color w:val="1B61AF"/>
                <w:sz w:val="22"/>
              </w:rPr>
              <w:t>.2.2</w:t>
            </w:r>
            <w:r>
              <w:rPr>
                <w:rFonts w:ascii="Calibri" w:hAnsi="Calibri"/>
                <w:color w:val="000000"/>
                <w:sz w:val="22"/>
              </w:rPr>
              <w:t>):</w:t>
            </w:r>
          </w:p>
          <w:p w:rsidR="00ED665B" w:rsidRPr="00907702" w:rsidRDefault="006C7D2F" w:rsidP="004C1698">
            <w:pPr>
              <w:spacing w:before="120"/>
              <w:ind w:left="351" w:right="422" w:hanging="283"/>
              <w:jc w:val="both"/>
              <w:rPr>
                <w:rFonts w:ascii="Calibri" w:hAnsi="Calibri" w:cs="Calibri"/>
              </w:rPr>
            </w:pPr>
            <w:r>
              <w:rPr>
                <w:rFonts w:ascii="Calibri" w:hAnsi="Calibri"/>
                <w:color w:val="000000"/>
                <w:sz w:val="22"/>
              </w:rPr>
              <w:t>1.</w:t>
            </w:r>
            <w:r>
              <w:rPr>
                <w:rFonts w:ascii="Calibri" w:hAnsi="Calibri"/>
                <w:color w:val="000000"/>
                <w:sz w:val="22"/>
              </w:rPr>
              <w:tab/>
              <w:t>Підготовка зразків – бактерії піддають термічній обробці для інактивації та лізису. Цей етап також включає екстракцію ДНК.</w:t>
            </w:r>
          </w:p>
          <w:p w:rsidR="00ED665B" w:rsidRPr="00907702" w:rsidRDefault="006C7D2F" w:rsidP="004C1698">
            <w:pPr>
              <w:spacing w:before="120"/>
              <w:ind w:left="351" w:right="422" w:hanging="283"/>
              <w:jc w:val="both"/>
              <w:rPr>
                <w:rFonts w:ascii="Calibri" w:hAnsi="Calibri" w:cs="Calibri"/>
              </w:rPr>
            </w:pPr>
            <w:r>
              <w:rPr>
                <w:rFonts w:ascii="Calibri" w:hAnsi="Calibri"/>
                <w:color w:val="000000"/>
                <w:sz w:val="22"/>
              </w:rPr>
              <w:t>2.</w:t>
            </w:r>
            <w:r>
              <w:rPr>
                <w:rFonts w:ascii="Calibri" w:hAnsi="Calibri"/>
                <w:color w:val="000000"/>
                <w:sz w:val="22"/>
              </w:rPr>
              <w:tab/>
              <w:t>Ампліфікація – зразок поміщають в нагрівальний блок при температурі 67°C. За цієї температури фермент полімерази підсилює цільову ДНК.</w:t>
            </w:r>
          </w:p>
          <w:p w:rsidR="00ED665B" w:rsidRPr="00907702" w:rsidRDefault="006C7D2F" w:rsidP="004C1698">
            <w:pPr>
              <w:spacing w:before="120"/>
              <w:ind w:left="351" w:right="422" w:hanging="283"/>
              <w:jc w:val="both"/>
              <w:rPr>
                <w:rFonts w:ascii="Calibri" w:hAnsi="Calibri" w:cs="Calibri"/>
              </w:rPr>
            </w:pPr>
            <w:r>
              <w:rPr>
                <w:rFonts w:ascii="Calibri" w:hAnsi="Calibri"/>
                <w:color w:val="000000"/>
                <w:sz w:val="22"/>
              </w:rPr>
              <w:t>3.</w:t>
            </w:r>
            <w:r>
              <w:rPr>
                <w:rFonts w:ascii="Calibri" w:hAnsi="Calibri"/>
                <w:color w:val="000000"/>
                <w:sz w:val="22"/>
              </w:rPr>
              <w:tab/>
              <w:t>Візуалізація – у пробірці міститься дволанцюгова молекула, що зв’язує ДНК, яка буде світитися під впливом ультрафіолетового світла, що означає, що виявлення може бути легко здійснено неозброєним оком.</w:t>
            </w:r>
          </w:p>
        </w:tc>
        <w:tc>
          <w:tcPr>
            <w:tcW w:w="4075" w:type="dxa"/>
            <w:tcBorders>
              <w:top w:val="nil"/>
              <w:left w:val="nil"/>
              <w:bottom w:val="nil"/>
              <w:right w:val="nil"/>
            </w:tcBorders>
            <w:shd w:val="clear" w:color="auto" w:fill="FFFFFF"/>
          </w:tcPr>
          <w:p w:rsidR="00ED665B" w:rsidRPr="00C1177C" w:rsidRDefault="006C7D2F" w:rsidP="00DC2656">
            <w:pPr>
              <w:ind w:left="5" w:right="259"/>
              <w:rPr>
                <w:rFonts w:ascii="Calibri" w:hAnsi="Calibri" w:cs="Calibri"/>
                <w:b/>
                <w:bCs/>
              </w:rPr>
            </w:pPr>
            <w:bookmarkStart w:id="14" w:name="bookmark16"/>
            <w:r>
              <w:rPr>
                <w:rFonts w:ascii="Calibri" w:hAnsi="Calibri"/>
                <w:b/>
                <w:color w:val="636466"/>
                <w:sz w:val="24"/>
              </w:rPr>
              <w:t>Р</w:t>
            </w:r>
            <w:bookmarkEnd w:id="14"/>
            <w:r>
              <w:rPr>
                <w:rFonts w:ascii="Calibri" w:hAnsi="Calibri"/>
                <w:b/>
                <w:color w:val="636466"/>
                <w:sz w:val="24"/>
              </w:rPr>
              <w:t>ис. 2.2.1. Візуальне відображення результатів TB-LAMP в УФ-світлі</w:t>
            </w:r>
          </w:p>
        </w:tc>
      </w:tr>
      <w:tr w:rsidR="00ED665B" w:rsidRPr="00907702">
        <w:trPr>
          <w:trHeight w:hRule="exact" w:val="2971"/>
        </w:trPr>
        <w:tc>
          <w:tcPr>
            <w:tcW w:w="4958"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4075"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2584450" cy="1892300"/>
                  <wp:effectExtent l="0" t="0" r="0" b="0"/>
                  <wp:docPr id="13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584450" cy="1892300"/>
                          </a:xfrm>
                          <a:prstGeom prst="rect">
                            <a:avLst/>
                          </a:prstGeom>
                          <a:noFill/>
                          <a:ln>
                            <a:noFill/>
                          </a:ln>
                        </pic:spPr>
                      </pic:pic>
                    </a:graphicData>
                  </a:graphic>
                </wp:inline>
              </w:drawing>
            </w:r>
          </w:p>
        </w:tc>
      </w:tr>
      <w:tr w:rsidR="00ED665B" w:rsidRPr="00907702">
        <w:trPr>
          <w:trHeight w:hRule="exact" w:val="1363"/>
        </w:trPr>
        <w:tc>
          <w:tcPr>
            <w:tcW w:w="4958"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4075" w:type="dxa"/>
            <w:tcBorders>
              <w:top w:val="nil"/>
              <w:left w:val="nil"/>
              <w:bottom w:val="nil"/>
              <w:right w:val="nil"/>
            </w:tcBorders>
            <w:shd w:val="clear" w:color="auto" w:fill="FFFFFF"/>
          </w:tcPr>
          <w:p w:rsidR="00ED665B" w:rsidRPr="00907702" w:rsidRDefault="006C7D2F" w:rsidP="00DC2656">
            <w:pPr>
              <w:ind w:left="5" w:right="77"/>
              <w:rPr>
                <w:rFonts w:ascii="Calibri" w:hAnsi="Calibri" w:cs="Calibri"/>
              </w:rPr>
            </w:pPr>
            <w:r>
              <w:rPr>
                <w:rFonts w:ascii="Calibri" w:hAnsi="Calibri"/>
                <w:color w:val="000000"/>
                <w:sz w:val="16"/>
              </w:rPr>
              <w:t>LAMP: петльова ізотермічна ампліфікація; ТБ: туберкульоз; УФ: ультрафіолетове світло.</w:t>
            </w:r>
          </w:p>
          <w:p w:rsidR="00ED665B" w:rsidRPr="00907702" w:rsidRDefault="006C7D2F" w:rsidP="007B12F0">
            <w:pPr>
              <w:spacing w:before="60"/>
              <w:ind w:left="5" w:right="77"/>
              <w:rPr>
                <w:rFonts w:ascii="Calibri" w:hAnsi="Calibri" w:cs="Calibri"/>
              </w:rPr>
            </w:pPr>
            <w:r>
              <w:rPr>
                <w:rFonts w:ascii="Calibri" w:hAnsi="Calibri"/>
                <w:color w:val="000000"/>
                <w:sz w:val="16"/>
              </w:rPr>
              <w:t>Джерело: Відтворено з дозволу компанії «Human Gesellschaft für Biochemica und Diagnostica mbH», © 2021. Усі права захищені.</w:t>
            </w:r>
          </w:p>
        </w:tc>
      </w:tr>
    </w:tbl>
    <w:p w:rsidR="00ED665B" w:rsidRPr="00907702" w:rsidRDefault="00ED665B" w:rsidP="00DC2656">
      <w:pPr>
        <w:spacing w:after="16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22"/>
        <w:gridCol w:w="1080"/>
        <w:gridCol w:w="389"/>
        <w:gridCol w:w="1070"/>
        <w:gridCol w:w="389"/>
        <w:gridCol w:w="1090"/>
        <w:gridCol w:w="350"/>
        <w:gridCol w:w="1080"/>
        <w:gridCol w:w="322"/>
        <w:gridCol w:w="1109"/>
        <w:gridCol w:w="413"/>
        <w:gridCol w:w="1046"/>
        <w:gridCol w:w="374"/>
      </w:tblGrid>
      <w:tr w:rsidR="00ED665B" w:rsidRPr="00C1177C" w:rsidTr="004C1698">
        <w:trPr>
          <w:trHeight w:hRule="exact" w:val="433"/>
        </w:trPr>
        <w:tc>
          <w:tcPr>
            <w:tcW w:w="9134" w:type="dxa"/>
            <w:gridSpan w:val="13"/>
            <w:tcBorders>
              <w:top w:val="nil"/>
              <w:left w:val="nil"/>
              <w:right w:val="nil"/>
            </w:tcBorders>
            <w:shd w:val="clear" w:color="auto" w:fill="FFFFFF"/>
          </w:tcPr>
          <w:p w:rsidR="00ED665B" w:rsidRPr="00C1177C" w:rsidRDefault="006C7D2F" w:rsidP="00DC2656">
            <w:pPr>
              <w:rPr>
                <w:rFonts w:ascii="Calibri" w:hAnsi="Calibri" w:cs="Calibri"/>
                <w:b/>
                <w:bCs/>
              </w:rPr>
            </w:pPr>
            <w:r>
              <w:rPr>
                <w:rFonts w:ascii="Calibri" w:hAnsi="Calibri"/>
                <w:b/>
                <w:color w:val="636466"/>
                <w:sz w:val="24"/>
              </w:rPr>
              <w:t>Рис. 2.2.2. Опис послідовності дій при виконанні тесту TB-LAMP</w:t>
            </w:r>
          </w:p>
        </w:tc>
      </w:tr>
      <w:tr w:rsidR="00ED665B" w:rsidRPr="00907702" w:rsidTr="00C1177C">
        <w:trPr>
          <w:trHeight w:hRule="exact" w:val="610"/>
        </w:trPr>
        <w:tc>
          <w:tcPr>
            <w:tcW w:w="422" w:type="dxa"/>
            <w:vMerge w:val="restart"/>
            <w:tcBorders>
              <w:top w:val="nil"/>
              <w:left w:val="nil"/>
              <w:bottom w:val="nil"/>
              <w:right w:val="nil"/>
            </w:tcBorders>
            <w:shd w:val="clear" w:color="auto" w:fill="E4E5E3"/>
          </w:tcPr>
          <w:p w:rsidR="00ED665B" w:rsidRPr="00907702" w:rsidRDefault="00ED665B" w:rsidP="00DC2656">
            <w:pPr>
              <w:rPr>
                <w:rFonts w:ascii="Calibri" w:hAnsi="Calibri" w:cs="Calibri"/>
              </w:rPr>
            </w:pPr>
          </w:p>
        </w:tc>
        <w:tc>
          <w:tcPr>
            <w:tcW w:w="8338" w:type="dxa"/>
            <w:gridSpan w:val="11"/>
            <w:tcBorders>
              <w:top w:val="nil"/>
              <w:left w:val="nil"/>
              <w:bottom w:val="nil"/>
              <w:right w:val="nil"/>
            </w:tcBorders>
            <w:shd w:val="clear" w:color="auto" w:fill="E4E5E3"/>
          </w:tcPr>
          <w:p w:rsidR="00ED665B" w:rsidRPr="00907702" w:rsidRDefault="006C7D2F" w:rsidP="004C1698">
            <w:pPr>
              <w:spacing w:before="60"/>
              <w:rPr>
                <w:rFonts w:ascii="Calibri" w:hAnsi="Calibri" w:cs="Calibri"/>
              </w:rPr>
            </w:pPr>
            <w:r>
              <w:rPr>
                <w:rFonts w:ascii="Calibri" w:hAnsi="Calibri"/>
                <w:b/>
                <w:color w:val="414042"/>
                <w:sz w:val="38"/>
              </w:rPr>
              <w:t>Послідовність дій при виконанні тесту TB-LAMP</w:t>
            </w:r>
          </w:p>
        </w:tc>
        <w:tc>
          <w:tcPr>
            <w:tcW w:w="374" w:type="dxa"/>
            <w:vMerge w:val="restart"/>
            <w:tcBorders>
              <w:top w:val="nil"/>
              <w:left w:val="nil"/>
              <w:bottom w:val="nil"/>
              <w:right w:val="nil"/>
            </w:tcBorders>
            <w:shd w:val="clear" w:color="auto" w:fill="E4E5E3"/>
          </w:tcPr>
          <w:p w:rsidR="00ED665B" w:rsidRPr="00907702" w:rsidRDefault="00ED665B" w:rsidP="00DC2656">
            <w:pPr>
              <w:rPr>
                <w:rFonts w:ascii="Calibri" w:hAnsi="Calibri" w:cs="Calibri"/>
              </w:rPr>
            </w:pPr>
          </w:p>
        </w:tc>
      </w:tr>
      <w:tr w:rsidR="00ED665B" w:rsidRPr="00907702" w:rsidTr="00C1177C">
        <w:trPr>
          <w:trHeight w:hRule="exact" w:val="230"/>
        </w:trPr>
        <w:tc>
          <w:tcPr>
            <w:tcW w:w="422" w:type="dxa"/>
            <w:vMerge/>
            <w:tcBorders>
              <w:top w:val="nil"/>
              <w:left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8338" w:type="dxa"/>
            <w:gridSpan w:val="11"/>
            <w:tcBorders>
              <w:top w:val="nil"/>
              <w:left w:val="nil"/>
              <w:right w:val="nil"/>
            </w:tcBorders>
            <w:shd w:val="clear" w:color="auto" w:fill="E4E5E3"/>
          </w:tcPr>
          <w:p w:rsidR="00ED665B" w:rsidRPr="00907702" w:rsidRDefault="006C7D2F" w:rsidP="00DC2656">
            <w:pPr>
              <w:rPr>
                <w:rFonts w:ascii="Calibri" w:hAnsi="Calibri" w:cs="Calibri"/>
              </w:rPr>
            </w:pPr>
            <w:r>
              <w:rPr>
                <w:rFonts w:ascii="Calibri" w:hAnsi="Calibri"/>
                <w:b/>
                <w:color w:val="414042"/>
                <w:sz w:val="14"/>
              </w:rPr>
              <w:t>1. Передача зразків та лізис</w:t>
            </w:r>
          </w:p>
        </w:tc>
        <w:tc>
          <w:tcPr>
            <w:tcW w:w="374" w:type="dxa"/>
            <w:vMerge/>
            <w:tcBorders>
              <w:top w:val="nil"/>
              <w:left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r>
      <w:tr w:rsidR="00ED665B" w:rsidRPr="00907702" w:rsidTr="00C1177C">
        <w:trPr>
          <w:trHeight w:hRule="exact" w:val="994"/>
        </w:trPr>
        <w:tc>
          <w:tcPr>
            <w:tcW w:w="422" w:type="dxa"/>
            <w:vMerge/>
            <w:tcBorders>
              <w:lef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080" w:type="dxa"/>
            <w:shd w:val="clear" w:color="auto" w:fill="E4E5E3"/>
          </w:tcPr>
          <w:p w:rsidR="00ED665B" w:rsidRPr="00907702" w:rsidRDefault="00CD1F71" w:rsidP="007B12F0">
            <w:pPr>
              <w:ind w:left="-57"/>
              <w:rPr>
                <w:rFonts w:ascii="Calibri" w:hAnsi="Calibri" w:cs="Calibri"/>
              </w:rPr>
            </w:pPr>
            <w:r>
              <w:rPr>
                <w:rFonts w:ascii="Calibri" w:hAnsi="Calibri"/>
                <w:noProof/>
                <w:lang w:val="en-US" w:bidi="ar-SA"/>
              </w:rPr>
              <w:drawing>
                <wp:inline distT="0" distB="0" distL="0" distR="0">
                  <wp:extent cx="691515" cy="628015"/>
                  <wp:effectExtent l="0" t="0" r="0" b="0"/>
                  <wp:docPr id="140"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89" w:type="dxa"/>
            <w:shd w:val="clear" w:color="auto" w:fill="E4E5E3"/>
          </w:tcPr>
          <w:p w:rsidR="00ED665B" w:rsidRPr="00907702" w:rsidRDefault="00ED665B" w:rsidP="00DC2656">
            <w:pPr>
              <w:rPr>
                <w:rFonts w:ascii="Calibri" w:hAnsi="Calibri" w:cs="Calibri"/>
              </w:rPr>
            </w:pPr>
          </w:p>
        </w:tc>
        <w:tc>
          <w:tcPr>
            <w:tcW w:w="1070" w:type="dxa"/>
            <w:shd w:val="clear" w:color="auto" w:fill="E4E5E3"/>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675640" cy="628015"/>
                  <wp:effectExtent l="0" t="0" r="0" b="0"/>
                  <wp:docPr id="14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75640" cy="628015"/>
                          </a:xfrm>
                          <a:prstGeom prst="rect">
                            <a:avLst/>
                          </a:prstGeom>
                          <a:noFill/>
                          <a:ln>
                            <a:noFill/>
                          </a:ln>
                        </pic:spPr>
                      </pic:pic>
                    </a:graphicData>
                  </a:graphic>
                </wp:inline>
              </w:drawing>
            </w:r>
          </w:p>
        </w:tc>
        <w:tc>
          <w:tcPr>
            <w:tcW w:w="389" w:type="dxa"/>
            <w:shd w:val="clear" w:color="auto" w:fill="E4E5E3"/>
          </w:tcPr>
          <w:p w:rsidR="00ED665B" w:rsidRPr="00907702" w:rsidRDefault="00ED665B" w:rsidP="00DC2656">
            <w:pPr>
              <w:rPr>
                <w:rFonts w:ascii="Calibri" w:hAnsi="Calibri" w:cs="Calibri"/>
              </w:rPr>
            </w:pPr>
          </w:p>
        </w:tc>
        <w:tc>
          <w:tcPr>
            <w:tcW w:w="1090" w:type="dxa"/>
            <w:shd w:val="clear" w:color="auto" w:fill="E4E5E3"/>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691515" cy="628015"/>
                  <wp:effectExtent l="0" t="0" r="0" b="0"/>
                  <wp:docPr id="142"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50" w:type="dxa"/>
            <w:shd w:val="clear" w:color="auto" w:fill="E4E5E3"/>
          </w:tcPr>
          <w:p w:rsidR="00ED665B" w:rsidRPr="00907702" w:rsidRDefault="00ED665B" w:rsidP="00DC2656">
            <w:pPr>
              <w:rPr>
                <w:rFonts w:ascii="Calibri" w:hAnsi="Calibri" w:cs="Calibri"/>
              </w:rPr>
            </w:pPr>
          </w:p>
        </w:tc>
        <w:tc>
          <w:tcPr>
            <w:tcW w:w="1080" w:type="dxa"/>
            <w:shd w:val="clear" w:color="auto" w:fill="E4E5E3"/>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691515" cy="628015"/>
                  <wp:effectExtent l="0" t="0" r="0" b="0"/>
                  <wp:docPr id="143"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22" w:type="dxa"/>
            <w:shd w:val="clear" w:color="auto" w:fill="E4E5E3"/>
          </w:tcPr>
          <w:p w:rsidR="00ED665B" w:rsidRPr="00907702" w:rsidRDefault="00ED665B" w:rsidP="00DC2656">
            <w:pPr>
              <w:rPr>
                <w:rFonts w:ascii="Calibri" w:hAnsi="Calibri" w:cs="Calibri"/>
              </w:rPr>
            </w:pPr>
          </w:p>
        </w:tc>
        <w:tc>
          <w:tcPr>
            <w:tcW w:w="1109" w:type="dxa"/>
            <w:shd w:val="clear" w:color="auto" w:fill="E4E5E3"/>
          </w:tcPr>
          <w:p w:rsidR="00ED665B" w:rsidRPr="00907702" w:rsidRDefault="00CD1F71" w:rsidP="007B12F0">
            <w:pPr>
              <w:ind w:left="-57"/>
              <w:rPr>
                <w:rFonts w:ascii="Calibri" w:hAnsi="Calibri" w:cs="Calibri"/>
              </w:rPr>
            </w:pPr>
            <w:r>
              <w:rPr>
                <w:rFonts w:ascii="Calibri" w:hAnsi="Calibri"/>
                <w:noProof/>
                <w:lang w:val="en-US" w:bidi="ar-SA"/>
              </w:rPr>
              <w:drawing>
                <wp:inline distT="0" distB="0" distL="0" distR="0">
                  <wp:extent cx="707390" cy="628015"/>
                  <wp:effectExtent l="0" t="0" r="0" b="0"/>
                  <wp:docPr id="14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07390" cy="628015"/>
                          </a:xfrm>
                          <a:prstGeom prst="rect">
                            <a:avLst/>
                          </a:prstGeom>
                          <a:noFill/>
                          <a:ln>
                            <a:noFill/>
                          </a:ln>
                        </pic:spPr>
                      </pic:pic>
                    </a:graphicData>
                  </a:graphic>
                </wp:inline>
              </w:drawing>
            </w:r>
          </w:p>
        </w:tc>
        <w:tc>
          <w:tcPr>
            <w:tcW w:w="413" w:type="dxa"/>
            <w:shd w:val="clear" w:color="auto" w:fill="E4E5E3"/>
          </w:tcPr>
          <w:p w:rsidR="00ED665B" w:rsidRPr="00907702" w:rsidRDefault="00ED665B" w:rsidP="00DC2656">
            <w:pPr>
              <w:rPr>
                <w:rFonts w:ascii="Calibri" w:hAnsi="Calibri" w:cs="Calibri"/>
              </w:rPr>
            </w:pPr>
          </w:p>
        </w:tc>
        <w:tc>
          <w:tcPr>
            <w:tcW w:w="1046" w:type="dxa"/>
            <w:shd w:val="clear" w:color="auto" w:fill="E4E5E3"/>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659765" cy="628015"/>
                  <wp:effectExtent l="0" t="0" r="0" b="0"/>
                  <wp:docPr id="145"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59765" cy="628015"/>
                          </a:xfrm>
                          <a:prstGeom prst="rect">
                            <a:avLst/>
                          </a:prstGeom>
                          <a:noFill/>
                          <a:ln>
                            <a:noFill/>
                          </a:ln>
                        </pic:spPr>
                      </pic:pic>
                    </a:graphicData>
                  </a:graphic>
                </wp:inline>
              </w:drawing>
            </w:r>
          </w:p>
        </w:tc>
        <w:tc>
          <w:tcPr>
            <w:tcW w:w="374" w:type="dxa"/>
            <w:vMerge/>
            <w:tcBorders>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r>
      <w:tr w:rsidR="00ED665B" w:rsidRPr="00907702" w:rsidTr="007B12F0">
        <w:trPr>
          <w:trHeight w:hRule="exact" w:val="877"/>
        </w:trPr>
        <w:tc>
          <w:tcPr>
            <w:tcW w:w="422" w:type="dxa"/>
            <w:vMerge/>
            <w:tcBorders>
              <w:left w:val="nil"/>
              <w:bottom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080" w:type="dxa"/>
            <w:tcBorders>
              <w:left w:val="nil"/>
              <w:bottom w:val="nil"/>
              <w:right w:val="nil"/>
            </w:tcBorders>
            <w:shd w:val="clear" w:color="auto" w:fill="E4E5E3"/>
          </w:tcPr>
          <w:p w:rsidR="00ED665B" w:rsidRPr="00907702" w:rsidRDefault="006C7D2F" w:rsidP="00DC2656">
            <w:pPr>
              <w:ind w:right="10"/>
              <w:rPr>
                <w:rFonts w:ascii="Calibri" w:hAnsi="Calibri" w:cs="Calibri"/>
              </w:rPr>
            </w:pPr>
            <w:r>
              <w:rPr>
                <w:rFonts w:ascii="Calibri" w:hAnsi="Calibri"/>
                <w:color w:val="000000"/>
                <w:sz w:val="8"/>
              </w:rPr>
              <w:t>Зніміть ковпачок, щоб відкрити нагрівальну трубку з набору для екстракції ДНК Loopamp™ PURE.</w:t>
            </w:r>
          </w:p>
        </w:tc>
        <w:tc>
          <w:tcPr>
            <w:tcW w:w="389"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070" w:type="dxa"/>
            <w:tcBorders>
              <w:left w:val="nil"/>
              <w:bottom w:val="nil"/>
              <w:right w:val="nil"/>
            </w:tcBorders>
            <w:shd w:val="clear" w:color="auto" w:fill="E4E5E3"/>
          </w:tcPr>
          <w:p w:rsidR="00ED665B" w:rsidRPr="00907702" w:rsidRDefault="006C7D2F" w:rsidP="00DC2656">
            <w:pPr>
              <w:rPr>
                <w:rFonts w:ascii="Calibri" w:hAnsi="Calibri" w:cs="Calibri"/>
              </w:rPr>
            </w:pPr>
            <w:r>
              <w:rPr>
                <w:rFonts w:ascii="Calibri" w:hAnsi="Calibri"/>
                <w:color w:val="000000"/>
                <w:sz w:val="8"/>
              </w:rPr>
              <w:t>Використовуйте піпетку-60 для повільного збору найбільш гнійної порції кожного зразка мокротиння. Потріть кінчиком піпетки по дну чашки, щоб уникнути і вирізати ланцюги.</w:t>
            </w:r>
          </w:p>
        </w:tc>
        <w:tc>
          <w:tcPr>
            <w:tcW w:w="389"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090" w:type="dxa"/>
            <w:tcBorders>
              <w:left w:val="nil"/>
              <w:bottom w:val="nil"/>
              <w:right w:val="nil"/>
            </w:tcBorders>
            <w:shd w:val="clear" w:color="auto" w:fill="E4E5E3"/>
          </w:tcPr>
          <w:p w:rsidR="00ED665B" w:rsidRPr="00907702" w:rsidRDefault="006C7D2F" w:rsidP="00DC2656">
            <w:pPr>
              <w:rPr>
                <w:rFonts w:ascii="Calibri" w:hAnsi="Calibri" w:cs="Calibri"/>
              </w:rPr>
            </w:pPr>
            <w:r>
              <w:rPr>
                <w:rFonts w:ascii="Calibri" w:hAnsi="Calibri"/>
                <w:color w:val="000000"/>
                <w:sz w:val="8"/>
              </w:rPr>
              <w:t>Перенесіть 60 мкл мокротиння.</w:t>
            </w:r>
          </w:p>
        </w:tc>
        <w:tc>
          <w:tcPr>
            <w:tcW w:w="350"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080" w:type="dxa"/>
            <w:tcBorders>
              <w:left w:val="nil"/>
              <w:bottom w:val="nil"/>
              <w:right w:val="nil"/>
            </w:tcBorders>
            <w:shd w:val="clear" w:color="auto" w:fill="E4E5E3"/>
          </w:tcPr>
          <w:p w:rsidR="00ED665B" w:rsidRPr="00907702" w:rsidRDefault="006C7D2F" w:rsidP="00DC2656">
            <w:pPr>
              <w:ind w:right="10"/>
              <w:rPr>
                <w:rFonts w:ascii="Calibri" w:hAnsi="Calibri" w:cs="Calibri"/>
              </w:rPr>
            </w:pPr>
            <w:r>
              <w:rPr>
                <w:rFonts w:ascii="Calibri" w:hAnsi="Calibri"/>
                <w:color w:val="000000"/>
                <w:sz w:val="8"/>
              </w:rPr>
              <w:t>Повільно помістіть зразок у нагрівальну трубку. Повільно промийте кінчик один раз, щоб видалити мокротиння.</w:t>
            </w:r>
          </w:p>
        </w:tc>
        <w:tc>
          <w:tcPr>
            <w:tcW w:w="322"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109" w:type="dxa"/>
            <w:tcBorders>
              <w:left w:val="nil"/>
              <w:bottom w:val="nil"/>
              <w:right w:val="nil"/>
            </w:tcBorders>
            <w:shd w:val="clear" w:color="auto" w:fill="E4E5E3"/>
          </w:tcPr>
          <w:p w:rsidR="00ED665B" w:rsidRPr="00907702" w:rsidRDefault="006C7D2F" w:rsidP="00DC2656">
            <w:pPr>
              <w:rPr>
                <w:rFonts w:ascii="Calibri" w:hAnsi="Calibri" w:cs="Calibri"/>
              </w:rPr>
            </w:pPr>
            <w:r>
              <w:rPr>
                <w:rFonts w:ascii="Calibri" w:hAnsi="Calibri"/>
                <w:color w:val="000000"/>
                <w:sz w:val="8"/>
              </w:rPr>
              <w:t>Змішайте вміст пробірки, струшуючи її.</w:t>
            </w:r>
          </w:p>
        </w:tc>
        <w:tc>
          <w:tcPr>
            <w:tcW w:w="413"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046" w:type="dxa"/>
            <w:tcBorders>
              <w:left w:val="nil"/>
              <w:bottom w:val="nil"/>
              <w:right w:val="nil"/>
            </w:tcBorders>
            <w:shd w:val="clear" w:color="auto" w:fill="E4E5E3"/>
          </w:tcPr>
          <w:p w:rsidR="00ED665B" w:rsidRPr="00907702" w:rsidRDefault="006C7D2F" w:rsidP="00DC2656">
            <w:pPr>
              <w:ind w:right="82"/>
              <w:rPr>
                <w:rFonts w:ascii="Calibri" w:hAnsi="Calibri" w:cs="Calibri"/>
              </w:rPr>
            </w:pPr>
            <w:r>
              <w:rPr>
                <w:rFonts w:ascii="Calibri" w:hAnsi="Calibri"/>
                <w:color w:val="000000"/>
                <w:sz w:val="8"/>
              </w:rPr>
              <w:t>Інкубуйте трубку в нагрівальному агрегаті HumaLoop T за температури 90°C протягом 5 хв.</w:t>
            </w:r>
          </w:p>
        </w:tc>
        <w:tc>
          <w:tcPr>
            <w:tcW w:w="374" w:type="dxa"/>
            <w:vMerge/>
            <w:tcBorders>
              <w:left w:val="nil"/>
              <w:bottom w:val="nil"/>
              <w:right w:val="nil"/>
            </w:tcBorders>
            <w:shd w:val="clear" w:color="auto" w:fill="E4E5E3"/>
          </w:tcPr>
          <w:p w:rsidR="00ED665B" w:rsidRPr="00907702" w:rsidRDefault="00ED665B" w:rsidP="00DC2656">
            <w:pPr>
              <w:ind w:right="82"/>
              <w:rPr>
                <w:rFonts w:ascii="Calibri" w:hAnsi="Calibri" w:cs="Calibri"/>
              </w:rPr>
            </w:pPr>
          </w:p>
          <w:p w:rsidR="00ED665B" w:rsidRPr="00907702" w:rsidRDefault="00ED665B" w:rsidP="00DC2656">
            <w:pPr>
              <w:ind w:right="82"/>
              <w:rPr>
                <w:rFonts w:ascii="Calibri" w:hAnsi="Calibri" w:cs="Calibri"/>
              </w:rPr>
            </w:pPr>
          </w:p>
        </w:tc>
      </w:tr>
      <w:tr w:rsidR="00ED665B" w:rsidRPr="00907702" w:rsidTr="00C1177C">
        <w:trPr>
          <w:trHeight w:hRule="exact" w:val="216"/>
        </w:trPr>
        <w:tc>
          <w:tcPr>
            <w:tcW w:w="422" w:type="dxa"/>
            <w:vMerge/>
            <w:tcBorders>
              <w:top w:val="nil"/>
              <w:left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8338" w:type="dxa"/>
            <w:gridSpan w:val="11"/>
            <w:tcBorders>
              <w:top w:val="nil"/>
              <w:left w:val="nil"/>
              <w:right w:val="nil"/>
            </w:tcBorders>
            <w:shd w:val="clear" w:color="auto" w:fill="E4E5E3"/>
          </w:tcPr>
          <w:p w:rsidR="00ED665B" w:rsidRPr="00907702" w:rsidRDefault="006C7D2F" w:rsidP="00DC2656">
            <w:pPr>
              <w:rPr>
                <w:rFonts w:ascii="Calibri" w:hAnsi="Calibri" w:cs="Calibri"/>
              </w:rPr>
            </w:pPr>
            <w:r>
              <w:rPr>
                <w:rFonts w:ascii="Calibri" w:hAnsi="Calibri"/>
                <w:b/>
                <w:color w:val="414042"/>
                <w:sz w:val="14"/>
              </w:rPr>
              <w:t>2. Екстракція ДНК за допомогою набору Loopamp</w:t>
            </w:r>
            <w:r>
              <w:rPr>
                <w:rFonts w:ascii="Calibri" w:hAnsi="Calibri"/>
                <w:b/>
                <w:color w:val="414042"/>
                <w:sz w:val="14"/>
                <w:vertAlign w:val="superscript"/>
              </w:rPr>
              <w:t>TM</w:t>
            </w:r>
            <w:r>
              <w:rPr>
                <w:rFonts w:ascii="Calibri" w:hAnsi="Calibri"/>
                <w:b/>
                <w:color w:val="414042"/>
                <w:sz w:val="14"/>
              </w:rPr>
              <w:t xml:space="preserve"> PURE</w:t>
            </w:r>
          </w:p>
        </w:tc>
        <w:tc>
          <w:tcPr>
            <w:tcW w:w="374" w:type="dxa"/>
            <w:vMerge/>
            <w:tcBorders>
              <w:top w:val="nil"/>
              <w:left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r>
      <w:tr w:rsidR="00ED665B" w:rsidRPr="00907702" w:rsidTr="00C1177C">
        <w:trPr>
          <w:trHeight w:hRule="exact" w:val="984"/>
        </w:trPr>
        <w:tc>
          <w:tcPr>
            <w:tcW w:w="422" w:type="dxa"/>
            <w:vMerge/>
            <w:tcBorders>
              <w:lef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080" w:type="dxa"/>
            <w:shd w:val="clear" w:color="auto" w:fill="E4E5E3"/>
          </w:tcPr>
          <w:p w:rsidR="00ED665B" w:rsidRPr="00907702" w:rsidRDefault="00CD1F71" w:rsidP="007B12F0">
            <w:pPr>
              <w:ind w:left="-57"/>
              <w:rPr>
                <w:rFonts w:ascii="Calibri" w:hAnsi="Calibri" w:cs="Calibri"/>
              </w:rPr>
            </w:pPr>
            <w:r>
              <w:rPr>
                <w:rFonts w:ascii="Calibri" w:hAnsi="Calibri"/>
                <w:noProof/>
                <w:lang w:val="en-US" w:bidi="ar-SA"/>
              </w:rPr>
              <w:drawing>
                <wp:inline distT="0" distB="0" distL="0" distR="0">
                  <wp:extent cx="691515" cy="628015"/>
                  <wp:effectExtent l="0" t="0" r="0" b="0"/>
                  <wp:docPr id="146"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89" w:type="dxa"/>
            <w:shd w:val="clear" w:color="auto" w:fill="E4E5E3"/>
          </w:tcPr>
          <w:p w:rsidR="00ED665B" w:rsidRPr="00907702" w:rsidRDefault="00ED665B" w:rsidP="00DC2656">
            <w:pPr>
              <w:rPr>
                <w:rFonts w:ascii="Calibri" w:hAnsi="Calibri" w:cs="Calibri"/>
              </w:rPr>
            </w:pPr>
          </w:p>
        </w:tc>
        <w:tc>
          <w:tcPr>
            <w:tcW w:w="1070" w:type="dxa"/>
            <w:shd w:val="clear" w:color="auto" w:fill="E4E5E3"/>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675640" cy="628015"/>
                  <wp:effectExtent l="0" t="0" r="0" b="0"/>
                  <wp:docPr id="14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75640" cy="628015"/>
                          </a:xfrm>
                          <a:prstGeom prst="rect">
                            <a:avLst/>
                          </a:prstGeom>
                          <a:noFill/>
                          <a:ln>
                            <a:noFill/>
                          </a:ln>
                        </pic:spPr>
                      </pic:pic>
                    </a:graphicData>
                  </a:graphic>
                </wp:inline>
              </w:drawing>
            </w:r>
          </w:p>
        </w:tc>
        <w:tc>
          <w:tcPr>
            <w:tcW w:w="389" w:type="dxa"/>
            <w:shd w:val="clear" w:color="auto" w:fill="E4E5E3"/>
          </w:tcPr>
          <w:p w:rsidR="00ED665B" w:rsidRPr="00907702" w:rsidRDefault="00ED665B" w:rsidP="00DC2656">
            <w:pPr>
              <w:rPr>
                <w:rFonts w:ascii="Calibri" w:hAnsi="Calibri" w:cs="Calibri"/>
              </w:rPr>
            </w:pPr>
          </w:p>
        </w:tc>
        <w:tc>
          <w:tcPr>
            <w:tcW w:w="1090" w:type="dxa"/>
            <w:shd w:val="clear" w:color="auto" w:fill="E4E5E3"/>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691515" cy="628015"/>
                  <wp:effectExtent l="0" t="0" r="0" b="0"/>
                  <wp:docPr id="148"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50" w:type="dxa"/>
            <w:shd w:val="clear" w:color="auto" w:fill="E4E5E3"/>
          </w:tcPr>
          <w:p w:rsidR="00ED665B" w:rsidRPr="00907702" w:rsidRDefault="00ED665B" w:rsidP="00DC2656">
            <w:pPr>
              <w:rPr>
                <w:rFonts w:ascii="Calibri" w:hAnsi="Calibri" w:cs="Calibri"/>
              </w:rPr>
            </w:pPr>
          </w:p>
        </w:tc>
        <w:tc>
          <w:tcPr>
            <w:tcW w:w="1080" w:type="dxa"/>
            <w:shd w:val="clear" w:color="auto" w:fill="E4E5E3"/>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691515" cy="628015"/>
                  <wp:effectExtent l="0" t="0" r="0" b="0"/>
                  <wp:docPr id="149"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22" w:type="dxa"/>
            <w:shd w:val="clear" w:color="auto" w:fill="E4E5E3"/>
          </w:tcPr>
          <w:p w:rsidR="00ED665B" w:rsidRPr="00907702" w:rsidRDefault="00ED665B" w:rsidP="00DC2656">
            <w:pPr>
              <w:rPr>
                <w:rFonts w:ascii="Calibri" w:hAnsi="Calibri" w:cs="Calibri"/>
              </w:rPr>
            </w:pPr>
          </w:p>
        </w:tc>
        <w:tc>
          <w:tcPr>
            <w:tcW w:w="1109" w:type="dxa"/>
            <w:shd w:val="clear" w:color="auto" w:fill="E4E5E3"/>
          </w:tcPr>
          <w:p w:rsidR="00ED665B" w:rsidRPr="00907702" w:rsidRDefault="00CD1F71" w:rsidP="007B12F0">
            <w:pPr>
              <w:ind w:left="-57"/>
              <w:rPr>
                <w:rFonts w:ascii="Calibri" w:hAnsi="Calibri" w:cs="Calibri"/>
              </w:rPr>
            </w:pPr>
            <w:r>
              <w:rPr>
                <w:rFonts w:ascii="Calibri" w:hAnsi="Calibri"/>
                <w:noProof/>
                <w:lang w:val="en-US" w:bidi="ar-SA"/>
              </w:rPr>
              <w:drawing>
                <wp:inline distT="0" distB="0" distL="0" distR="0">
                  <wp:extent cx="707390" cy="628015"/>
                  <wp:effectExtent l="0" t="0" r="0" b="0"/>
                  <wp:docPr id="150"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07390" cy="628015"/>
                          </a:xfrm>
                          <a:prstGeom prst="rect">
                            <a:avLst/>
                          </a:prstGeom>
                          <a:noFill/>
                          <a:ln>
                            <a:noFill/>
                          </a:ln>
                        </pic:spPr>
                      </pic:pic>
                    </a:graphicData>
                  </a:graphic>
                </wp:inline>
              </w:drawing>
            </w:r>
          </w:p>
        </w:tc>
        <w:tc>
          <w:tcPr>
            <w:tcW w:w="413" w:type="dxa"/>
            <w:shd w:val="clear" w:color="auto" w:fill="E4E5E3"/>
          </w:tcPr>
          <w:p w:rsidR="00ED665B" w:rsidRPr="00907702" w:rsidRDefault="00ED665B" w:rsidP="00DC2656">
            <w:pPr>
              <w:rPr>
                <w:rFonts w:ascii="Calibri" w:hAnsi="Calibri" w:cs="Calibri"/>
              </w:rPr>
            </w:pPr>
          </w:p>
        </w:tc>
        <w:tc>
          <w:tcPr>
            <w:tcW w:w="1046" w:type="dxa"/>
            <w:shd w:val="clear" w:color="auto" w:fill="E4E5E3"/>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659765" cy="628015"/>
                  <wp:effectExtent l="0" t="0" r="0" b="0"/>
                  <wp:docPr id="151"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59765" cy="628015"/>
                          </a:xfrm>
                          <a:prstGeom prst="rect">
                            <a:avLst/>
                          </a:prstGeom>
                          <a:noFill/>
                          <a:ln>
                            <a:noFill/>
                          </a:ln>
                        </pic:spPr>
                      </pic:pic>
                    </a:graphicData>
                  </a:graphic>
                </wp:inline>
              </w:drawing>
            </w:r>
          </w:p>
        </w:tc>
        <w:tc>
          <w:tcPr>
            <w:tcW w:w="374" w:type="dxa"/>
            <w:vMerge/>
            <w:tcBorders>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r>
      <w:tr w:rsidR="00ED665B" w:rsidRPr="00907702" w:rsidTr="007B12F0">
        <w:trPr>
          <w:trHeight w:hRule="exact" w:val="649"/>
        </w:trPr>
        <w:tc>
          <w:tcPr>
            <w:tcW w:w="422" w:type="dxa"/>
            <w:vMerge/>
            <w:tcBorders>
              <w:left w:val="nil"/>
              <w:bottom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080" w:type="dxa"/>
            <w:tcBorders>
              <w:left w:val="nil"/>
              <w:bottom w:val="nil"/>
              <w:right w:val="nil"/>
            </w:tcBorders>
            <w:shd w:val="clear" w:color="auto" w:fill="E4E5E3"/>
          </w:tcPr>
          <w:p w:rsidR="00ED665B" w:rsidRPr="00907702" w:rsidRDefault="006C7D2F" w:rsidP="00DC2656">
            <w:pPr>
              <w:ind w:right="144"/>
              <w:rPr>
                <w:rFonts w:ascii="Calibri" w:hAnsi="Calibri" w:cs="Calibri"/>
              </w:rPr>
            </w:pPr>
            <w:r>
              <w:rPr>
                <w:rFonts w:ascii="Calibri" w:hAnsi="Calibri"/>
                <w:color w:val="000000"/>
                <w:sz w:val="8"/>
              </w:rPr>
              <w:t>Зніміть ковпачок адсорбентної трубки, але не викидайте його.</w:t>
            </w:r>
          </w:p>
        </w:tc>
        <w:tc>
          <w:tcPr>
            <w:tcW w:w="389"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070" w:type="dxa"/>
            <w:tcBorders>
              <w:left w:val="nil"/>
              <w:bottom w:val="nil"/>
              <w:right w:val="nil"/>
            </w:tcBorders>
            <w:shd w:val="clear" w:color="auto" w:fill="E4E5E3"/>
          </w:tcPr>
          <w:p w:rsidR="00ED665B" w:rsidRPr="00907702" w:rsidRDefault="006C7D2F" w:rsidP="00DC2656">
            <w:pPr>
              <w:rPr>
                <w:rFonts w:ascii="Calibri" w:hAnsi="Calibri" w:cs="Calibri"/>
              </w:rPr>
            </w:pPr>
            <w:r>
              <w:rPr>
                <w:rFonts w:ascii="Calibri" w:hAnsi="Calibri"/>
                <w:color w:val="000000"/>
                <w:sz w:val="8"/>
              </w:rPr>
              <w:t>Накрутіть нагрівальну трубку на адсорбентну трубку.</w:t>
            </w:r>
          </w:p>
        </w:tc>
        <w:tc>
          <w:tcPr>
            <w:tcW w:w="389"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090" w:type="dxa"/>
            <w:tcBorders>
              <w:left w:val="nil"/>
              <w:bottom w:val="nil"/>
              <w:right w:val="nil"/>
            </w:tcBorders>
            <w:shd w:val="clear" w:color="auto" w:fill="E4E5E3"/>
          </w:tcPr>
          <w:p w:rsidR="00ED665B" w:rsidRPr="00907702" w:rsidRDefault="006C7D2F" w:rsidP="00DC2656">
            <w:pPr>
              <w:rPr>
                <w:rFonts w:ascii="Calibri" w:hAnsi="Calibri" w:cs="Calibri"/>
              </w:rPr>
            </w:pPr>
            <w:r>
              <w:rPr>
                <w:rFonts w:ascii="Calibri" w:hAnsi="Calibri"/>
                <w:color w:val="000000"/>
                <w:sz w:val="8"/>
              </w:rPr>
              <w:t>Змішайте лізований зразок з порошком у пробірці для проведення адсорбції, ретельно струшуючи.</w:t>
            </w:r>
          </w:p>
        </w:tc>
        <w:tc>
          <w:tcPr>
            <w:tcW w:w="350"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080" w:type="dxa"/>
            <w:tcBorders>
              <w:left w:val="nil"/>
              <w:bottom w:val="nil"/>
              <w:right w:val="nil"/>
            </w:tcBorders>
            <w:shd w:val="clear" w:color="auto" w:fill="E4E5E3"/>
          </w:tcPr>
          <w:p w:rsidR="00ED665B" w:rsidRPr="00907702" w:rsidRDefault="006C7D2F" w:rsidP="00DC2656">
            <w:pPr>
              <w:ind w:right="101"/>
              <w:rPr>
                <w:rFonts w:ascii="Calibri" w:hAnsi="Calibri" w:cs="Calibri"/>
              </w:rPr>
            </w:pPr>
            <w:r>
              <w:rPr>
                <w:rFonts w:ascii="Calibri" w:hAnsi="Calibri"/>
                <w:color w:val="000000"/>
                <w:sz w:val="8"/>
              </w:rPr>
              <w:t>Струшуйте пробірку до отримання розчину молочного кольору.</w:t>
            </w:r>
          </w:p>
        </w:tc>
        <w:tc>
          <w:tcPr>
            <w:tcW w:w="322"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109" w:type="dxa"/>
            <w:tcBorders>
              <w:left w:val="nil"/>
              <w:bottom w:val="nil"/>
              <w:right w:val="nil"/>
            </w:tcBorders>
            <w:shd w:val="clear" w:color="auto" w:fill="E4E5E3"/>
          </w:tcPr>
          <w:p w:rsidR="00ED665B" w:rsidRPr="00907702" w:rsidRDefault="006C7D2F" w:rsidP="00DC2656">
            <w:pPr>
              <w:rPr>
                <w:rFonts w:ascii="Calibri" w:hAnsi="Calibri" w:cs="Calibri"/>
              </w:rPr>
            </w:pPr>
            <w:r>
              <w:rPr>
                <w:rFonts w:ascii="Calibri" w:hAnsi="Calibri"/>
                <w:color w:val="000000"/>
                <w:sz w:val="8"/>
              </w:rPr>
              <w:t>Накрутіть ковпачок для ін’єкцій на іншу сторону пробірки для проведення адсорбції.</w:t>
            </w:r>
          </w:p>
        </w:tc>
        <w:tc>
          <w:tcPr>
            <w:tcW w:w="413"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046" w:type="dxa"/>
            <w:tcBorders>
              <w:left w:val="nil"/>
              <w:bottom w:val="nil"/>
              <w:right w:val="nil"/>
            </w:tcBorders>
            <w:shd w:val="clear" w:color="auto" w:fill="E4E5E3"/>
          </w:tcPr>
          <w:p w:rsidR="00ED665B" w:rsidRPr="00907702" w:rsidRDefault="006C7D2F" w:rsidP="00DC2656">
            <w:pPr>
              <w:rPr>
                <w:rFonts w:ascii="Calibri" w:hAnsi="Calibri" w:cs="Calibri"/>
              </w:rPr>
            </w:pPr>
            <w:r>
              <w:rPr>
                <w:rFonts w:ascii="Calibri" w:hAnsi="Calibri"/>
                <w:color w:val="000000"/>
                <w:sz w:val="8"/>
              </w:rPr>
              <w:t>Екстрагуйте 30 мкл ДНК безпосередньо до реакційної пробірки, видавлюючи пробірку для проведення адсорбції.</w:t>
            </w:r>
          </w:p>
        </w:tc>
        <w:tc>
          <w:tcPr>
            <w:tcW w:w="374" w:type="dxa"/>
            <w:vMerge/>
            <w:tcBorders>
              <w:left w:val="nil"/>
              <w:bottom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r>
      <w:tr w:rsidR="00ED665B" w:rsidRPr="00907702" w:rsidTr="007B12F0">
        <w:trPr>
          <w:trHeight w:val="197"/>
        </w:trPr>
        <w:tc>
          <w:tcPr>
            <w:tcW w:w="422" w:type="dxa"/>
            <w:vMerge/>
            <w:tcBorders>
              <w:top w:val="nil"/>
              <w:left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4018" w:type="dxa"/>
            <w:gridSpan w:val="5"/>
            <w:tcBorders>
              <w:top w:val="nil"/>
              <w:left w:val="nil"/>
              <w:right w:val="nil"/>
            </w:tcBorders>
            <w:shd w:val="clear" w:color="auto" w:fill="E4E5E3"/>
          </w:tcPr>
          <w:p w:rsidR="00ED665B" w:rsidRPr="00907702" w:rsidRDefault="006C7D2F" w:rsidP="00DC2656">
            <w:pPr>
              <w:rPr>
                <w:rFonts w:ascii="Calibri" w:hAnsi="Calibri" w:cs="Calibri"/>
              </w:rPr>
            </w:pPr>
            <w:r>
              <w:rPr>
                <w:rFonts w:ascii="Calibri" w:hAnsi="Calibri"/>
                <w:b/>
                <w:color w:val="414042"/>
                <w:sz w:val="14"/>
              </w:rPr>
              <w:t>3. Петльова ізотермічна ампліфікація</w:t>
            </w:r>
          </w:p>
        </w:tc>
        <w:tc>
          <w:tcPr>
            <w:tcW w:w="350" w:type="dxa"/>
            <w:tcBorders>
              <w:top w:val="nil"/>
              <w:left w:val="nil"/>
              <w:right w:val="nil"/>
            </w:tcBorders>
            <w:shd w:val="clear" w:color="auto" w:fill="E4E5E3"/>
          </w:tcPr>
          <w:p w:rsidR="00ED665B" w:rsidRPr="004C1698" w:rsidRDefault="00ED665B" w:rsidP="00DC2656">
            <w:pPr>
              <w:rPr>
                <w:rFonts w:ascii="Calibri" w:hAnsi="Calibri" w:cs="Calibri"/>
                <w:sz w:val="12"/>
              </w:rPr>
            </w:pPr>
          </w:p>
        </w:tc>
        <w:tc>
          <w:tcPr>
            <w:tcW w:w="1080" w:type="dxa"/>
            <w:tcBorders>
              <w:top w:val="nil"/>
              <w:left w:val="nil"/>
              <w:right w:val="nil"/>
            </w:tcBorders>
            <w:shd w:val="clear" w:color="auto" w:fill="E4E5E3"/>
          </w:tcPr>
          <w:p w:rsidR="00ED665B" w:rsidRPr="004C1698" w:rsidRDefault="00ED665B" w:rsidP="00DC2656">
            <w:pPr>
              <w:rPr>
                <w:rFonts w:ascii="Calibri" w:hAnsi="Calibri" w:cs="Calibri"/>
                <w:sz w:val="12"/>
              </w:rPr>
            </w:pPr>
          </w:p>
        </w:tc>
        <w:tc>
          <w:tcPr>
            <w:tcW w:w="322" w:type="dxa"/>
            <w:tcBorders>
              <w:top w:val="nil"/>
              <w:left w:val="nil"/>
              <w:right w:val="nil"/>
            </w:tcBorders>
            <w:shd w:val="clear" w:color="auto" w:fill="E4E5E3"/>
          </w:tcPr>
          <w:p w:rsidR="00ED665B" w:rsidRPr="004C1698" w:rsidRDefault="00ED665B" w:rsidP="00DC2656">
            <w:pPr>
              <w:rPr>
                <w:rFonts w:ascii="Calibri" w:hAnsi="Calibri" w:cs="Calibri"/>
                <w:sz w:val="12"/>
              </w:rPr>
            </w:pPr>
          </w:p>
        </w:tc>
        <w:tc>
          <w:tcPr>
            <w:tcW w:w="2568" w:type="dxa"/>
            <w:gridSpan w:val="3"/>
            <w:tcBorders>
              <w:top w:val="nil"/>
              <w:left w:val="nil"/>
              <w:right w:val="nil"/>
            </w:tcBorders>
            <w:shd w:val="clear" w:color="auto" w:fill="E4E5E3"/>
          </w:tcPr>
          <w:p w:rsidR="00ED665B" w:rsidRPr="00907702" w:rsidRDefault="006C7D2F" w:rsidP="00DC2656">
            <w:pPr>
              <w:rPr>
                <w:rFonts w:ascii="Calibri" w:hAnsi="Calibri" w:cs="Calibri"/>
              </w:rPr>
            </w:pPr>
            <w:r>
              <w:rPr>
                <w:rFonts w:ascii="Calibri" w:hAnsi="Calibri"/>
                <w:b/>
                <w:color w:val="414042"/>
                <w:sz w:val="14"/>
              </w:rPr>
              <w:t>4. Читання результату</w:t>
            </w:r>
          </w:p>
        </w:tc>
        <w:tc>
          <w:tcPr>
            <w:tcW w:w="374" w:type="dxa"/>
            <w:vMerge/>
            <w:tcBorders>
              <w:top w:val="nil"/>
              <w:left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r>
      <w:tr w:rsidR="00ED665B" w:rsidRPr="00907702" w:rsidTr="00C1177C">
        <w:trPr>
          <w:trHeight w:hRule="exact" w:val="998"/>
        </w:trPr>
        <w:tc>
          <w:tcPr>
            <w:tcW w:w="422" w:type="dxa"/>
            <w:vMerge/>
            <w:tcBorders>
              <w:lef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080" w:type="dxa"/>
            <w:shd w:val="clear" w:color="auto" w:fill="E4E5E3"/>
          </w:tcPr>
          <w:p w:rsidR="00ED665B" w:rsidRPr="00907702" w:rsidRDefault="00CD1F71" w:rsidP="007B12F0">
            <w:pPr>
              <w:ind w:left="-57"/>
              <w:rPr>
                <w:rFonts w:ascii="Calibri" w:hAnsi="Calibri" w:cs="Calibri"/>
              </w:rPr>
            </w:pPr>
            <w:r>
              <w:rPr>
                <w:rFonts w:ascii="Calibri" w:hAnsi="Calibri"/>
                <w:noProof/>
                <w:lang w:val="en-US" w:bidi="ar-SA"/>
              </w:rPr>
              <w:drawing>
                <wp:inline distT="0" distB="0" distL="0" distR="0">
                  <wp:extent cx="691515" cy="628015"/>
                  <wp:effectExtent l="0" t="0" r="0" b="0"/>
                  <wp:docPr id="152"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89" w:type="dxa"/>
            <w:shd w:val="clear" w:color="auto" w:fill="E4E5E3"/>
          </w:tcPr>
          <w:p w:rsidR="00ED665B" w:rsidRPr="00907702" w:rsidRDefault="00ED665B" w:rsidP="00DC2656">
            <w:pPr>
              <w:rPr>
                <w:rFonts w:ascii="Calibri" w:hAnsi="Calibri" w:cs="Calibri"/>
              </w:rPr>
            </w:pPr>
          </w:p>
        </w:tc>
        <w:tc>
          <w:tcPr>
            <w:tcW w:w="1070" w:type="dxa"/>
            <w:shd w:val="clear" w:color="auto" w:fill="E4E5E3"/>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675640" cy="628015"/>
                  <wp:effectExtent l="0" t="0" r="0" b="0"/>
                  <wp:docPr id="153"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75640" cy="628015"/>
                          </a:xfrm>
                          <a:prstGeom prst="rect">
                            <a:avLst/>
                          </a:prstGeom>
                          <a:noFill/>
                          <a:ln>
                            <a:noFill/>
                          </a:ln>
                        </pic:spPr>
                      </pic:pic>
                    </a:graphicData>
                  </a:graphic>
                </wp:inline>
              </w:drawing>
            </w:r>
          </w:p>
        </w:tc>
        <w:tc>
          <w:tcPr>
            <w:tcW w:w="389" w:type="dxa"/>
            <w:shd w:val="clear" w:color="auto" w:fill="E4E5E3"/>
          </w:tcPr>
          <w:p w:rsidR="00ED665B" w:rsidRPr="00907702" w:rsidRDefault="00ED665B" w:rsidP="00DC2656">
            <w:pPr>
              <w:rPr>
                <w:rFonts w:ascii="Calibri" w:hAnsi="Calibri" w:cs="Calibri"/>
              </w:rPr>
            </w:pPr>
          </w:p>
        </w:tc>
        <w:tc>
          <w:tcPr>
            <w:tcW w:w="1090" w:type="dxa"/>
            <w:shd w:val="clear" w:color="auto" w:fill="E4E5E3"/>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691515" cy="628015"/>
                  <wp:effectExtent l="0" t="0" r="0" b="0"/>
                  <wp:docPr id="15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50" w:type="dxa"/>
            <w:shd w:val="clear" w:color="auto" w:fill="E4E5E3"/>
          </w:tcPr>
          <w:p w:rsidR="00ED665B" w:rsidRPr="00907702" w:rsidRDefault="00ED665B" w:rsidP="00DC2656">
            <w:pPr>
              <w:rPr>
                <w:rFonts w:ascii="Calibri" w:hAnsi="Calibri" w:cs="Calibri"/>
              </w:rPr>
            </w:pPr>
          </w:p>
        </w:tc>
        <w:tc>
          <w:tcPr>
            <w:tcW w:w="1080" w:type="dxa"/>
            <w:shd w:val="clear" w:color="auto" w:fill="E4E5E3"/>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691515" cy="628015"/>
                  <wp:effectExtent l="0" t="0" r="0" b="0"/>
                  <wp:docPr id="155"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p>
        </w:tc>
        <w:tc>
          <w:tcPr>
            <w:tcW w:w="322" w:type="dxa"/>
            <w:shd w:val="clear" w:color="auto" w:fill="E4E5E3"/>
          </w:tcPr>
          <w:p w:rsidR="00ED665B" w:rsidRPr="00907702" w:rsidRDefault="00ED665B" w:rsidP="00DC2656">
            <w:pPr>
              <w:rPr>
                <w:rFonts w:ascii="Calibri" w:hAnsi="Calibri" w:cs="Calibri"/>
              </w:rPr>
            </w:pPr>
          </w:p>
        </w:tc>
        <w:tc>
          <w:tcPr>
            <w:tcW w:w="1109" w:type="dxa"/>
            <w:shd w:val="clear" w:color="auto" w:fill="E4E5E3"/>
          </w:tcPr>
          <w:p w:rsidR="00ED665B" w:rsidRPr="00907702" w:rsidRDefault="00CD1F71" w:rsidP="007B12F0">
            <w:pPr>
              <w:ind w:left="-57"/>
              <w:rPr>
                <w:rFonts w:ascii="Calibri" w:hAnsi="Calibri" w:cs="Calibri"/>
              </w:rPr>
            </w:pPr>
            <w:r>
              <w:rPr>
                <w:rFonts w:ascii="Calibri" w:hAnsi="Calibri"/>
                <w:noProof/>
                <w:lang w:val="en-US" w:bidi="ar-SA"/>
              </w:rPr>
              <w:drawing>
                <wp:inline distT="0" distB="0" distL="0" distR="0">
                  <wp:extent cx="707390" cy="628015"/>
                  <wp:effectExtent l="0" t="0" r="0" b="0"/>
                  <wp:docPr id="156"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07390" cy="628015"/>
                          </a:xfrm>
                          <a:prstGeom prst="rect">
                            <a:avLst/>
                          </a:prstGeom>
                          <a:noFill/>
                          <a:ln>
                            <a:noFill/>
                          </a:ln>
                        </pic:spPr>
                      </pic:pic>
                    </a:graphicData>
                  </a:graphic>
                </wp:inline>
              </w:drawing>
            </w:r>
          </w:p>
        </w:tc>
        <w:tc>
          <w:tcPr>
            <w:tcW w:w="413" w:type="dxa"/>
            <w:shd w:val="clear" w:color="auto" w:fill="E4E5E3"/>
          </w:tcPr>
          <w:p w:rsidR="00ED665B" w:rsidRPr="00907702" w:rsidRDefault="00ED665B" w:rsidP="00DC2656">
            <w:pPr>
              <w:rPr>
                <w:rFonts w:ascii="Calibri" w:hAnsi="Calibri" w:cs="Calibri"/>
              </w:rPr>
            </w:pPr>
          </w:p>
        </w:tc>
        <w:tc>
          <w:tcPr>
            <w:tcW w:w="1046" w:type="dxa"/>
            <w:shd w:val="clear" w:color="auto" w:fill="E4E5E3"/>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659765" cy="628015"/>
                  <wp:effectExtent l="0" t="0" r="0" b="0"/>
                  <wp:docPr id="15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59765" cy="628015"/>
                          </a:xfrm>
                          <a:prstGeom prst="rect">
                            <a:avLst/>
                          </a:prstGeom>
                          <a:noFill/>
                          <a:ln>
                            <a:noFill/>
                          </a:ln>
                        </pic:spPr>
                      </pic:pic>
                    </a:graphicData>
                  </a:graphic>
                </wp:inline>
              </w:drawing>
            </w:r>
          </w:p>
        </w:tc>
        <w:tc>
          <w:tcPr>
            <w:tcW w:w="374" w:type="dxa"/>
            <w:vMerge/>
            <w:tcBorders>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r>
      <w:tr w:rsidR="00ED665B" w:rsidRPr="00907702" w:rsidTr="00C1177C">
        <w:trPr>
          <w:trHeight w:hRule="exact" w:val="379"/>
        </w:trPr>
        <w:tc>
          <w:tcPr>
            <w:tcW w:w="422" w:type="dxa"/>
            <w:vMerge/>
            <w:tcBorders>
              <w:left w:val="nil"/>
              <w:bottom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080" w:type="dxa"/>
            <w:vMerge w:val="restart"/>
            <w:tcBorders>
              <w:left w:val="nil"/>
              <w:bottom w:val="nil"/>
              <w:right w:val="nil"/>
            </w:tcBorders>
            <w:shd w:val="clear" w:color="auto" w:fill="E4E5E3"/>
          </w:tcPr>
          <w:p w:rsidR="00ED665B" w:rsidRPr="00907702" w:rsidRDefault="006C7D2F" w:rsidP="00DC2656">
            <w:pPr>
              <w:rPr>
                <w:rFonts w:ascii="Calibri" w:hAnsi="Calibri" w:cs="Calibri"/>
              </w:rPr>
            </w:pPr>
            <w:r>
              <w:rPr>
                <w:rFonts w:ascii="Calibri" w:hAnsi="Calibri"/>
                <w:color w:val="000000"/>
                <w:sz w:val="8"/>
              </w:rPr>
              <w:t>Інкубуйте пробірку догори дном впродовж 2 хвилин (скористайтеся таймером) за кімнатної температури, для відновлення реагентів у ковпачку.</w:t>
            </w:r>
          </w:p>
        </w:tc>
        <w:tc>
          <w:tcPr>
            <w:tcW w:w="389"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070" w:type="dxa"/>
            <w:vMerge w:val="restart"/>
            <w:tcBorders>
              <w:left w:val="nil"/>
              <w:bottom w:val="nil"/>
              <w:right w:val="nil"/>
            </w:tcBorders>
            <w:shd w:val="clear" w:color="auto" w:fill="E4E5E3"/>
          </w:tcPr>
          <w:p w:rsidR="00ED665B" w:rsidRPr="00907702" w:rsidRDefault="006C7D2F" w:rsidP="00DC2656">
            <w:pPr>
              <w:ind w:right="14" w:firstLine="5"/>
              <w:rPr>
                <w:rFonts w:ascii="Calibri" w:hAnsi="Calibri" w:cs="Calibri"/>
              </w:rPr>
            </w:pPr>
            <w:r>
              <w:rPr>
                <w:rFonts w:ascii="Calibri" w:hAnsi="Calibri"/>
                <w:color w:val="000000"/>
                <w:sz w:val="8"/>
              </w:rPr>
              <w:t>Змішайте вміст пробірки, перевернувши її п’ять разів.</w:t>
            </w:r>
          </w:p>
        </w:tc>
        <w:tc>
          <w:tcPr>
            <w:tcW w:w="389"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090" w:type="dxa"/>
            <w:vMerge w:val="restart"/>
            <w:tcBorders>
              <w:left w:val="nil"/>
              <w:bottom w:val="nil"/>
              <w:right w:val="nil"/>
            </w:tcBorders>
            <w:shd w:val="clear" w:color="auto" w:fill="E4E5E3"/>
          </w:tcPr>
          <w:p w:rsidR="00ED665B" w:rsidRPr="00907702" w:rsidRDefault="006C7D2F" w:rsidP="00DC2656">
            <w:pPr>
              <w:ind w:right="115"/>
              <w:rPr>
                <w:rFonts w:ascii="Calibri" w:hAnsi="Calibri" w:cs="Calibri"/>
              </w:rPr>
            </w:pPr>
            <w:r>
              <w:rPr>
                <w:rFonts w:ascii="Calibri" w:hAnsi="Calibri"/>
                <w:color w:val="000000"/>
                <w:sz w:val="8"/>
              </w:rPr>
              <w:t>Струшуйте реакційну пробірку до тих пір, поки реакційна суміш не збереться на дні.</w:t>
            </w:r>
          </w:p>
        </w:tc>
        <w:tc>
          <w:tcPr>
            <w:tcW w:w="350"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080" w:type="dxa"/>
            <w:vMerge w:val="restart"/>
            <w:tcBorders>
              <w:left w:val="nil"/>
              <w:bottom w:val="nil"/>
              <w:right w:val="nil"/>
            </w:tcBorders>
            <w:shd w:val="clear" w:color="auto" w:fill="E4E5E3"/>
          </w:tcPr>
          <w:p w:rsidR="00ED665B" w:rsidRPr="00907702" w:rsidRDefault="006C7D2F" w:rsidP="00DC2656">
            <w:pPr>
              <w:rPr>
                <w:rFonts w:ascii="Calibri" w:hAnsi="Calibri" w:cs="Calibri"/>
              </w:rPr>
            </w:pPr>
            <w:r>
              <w:rPr>
                <w:rFonts w:ascii="Calibri" w:hAnsi="Calibri"/>
                <w:color w:val="000000"/>
                <w:sz w:val="8"/>
              </w:rPr>
              <w:t>Інкубуйте реакційну пробірку за температури 67°С протягом 40 хв. у реакційному блоці. Інактивація проводиться шляхом подальшої стадії інкубації за температури 80°С протягом 5 хв.</w:t>
            </w:r>
          </w:p>
        </w:tc>
        <w:tc>
          <w:tcPr>
            <w:tcW w:w="322"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109" w:type="dxa"/>
            <w:tcBorders>
              <w:left w:val="nil"/>
              <w:bottom w:val="nil"/>
              <w:right w:val="nil"/>
            </w:tcBorders>
            <w:shd w:val="clear" w:color="auto" w:fill="E4E5E3"/>
          </w:tcPr>
          <w:p w:rsidR="00ED665B" w:rsidRPr="00907702" w:rsidRDefault="006C7D2F" w:rsidP="00DC2656">
            <w:pPr>
              <w:ind w:right="14"/>
              <w:rPr>
                <w:rFonts w:ascii="Calibri" w:hAnsi="Calibri" w:cs="Calibri"/>
              </w:rPr>
            </w:pPr>
            <w:r>
              <w:rPr>
                <w:rFonts w:ascii="Calibri" w:hAnsi="Calibri"/>
                <w:color w:val="000000"/>
                <w:sz w:val="8"/>
              </w:rPr>
              <w:t>Вставте трубку у вимірювальний пристрій та увімкніть УФ-світло.</w:t>
            </w:r>
          </w:p>
        </w:tc>
        <w:tc>
          <w:tcPr>
            <w:tcW w:w="413" w:type="dxa"/>
            <w:tcBorders>
              <w:left w:val="nil"/>
              <w:bottom w:val="nil"/>
              <w:right w:val="nil"/>
            </w:tcBorders>
            <w:shd w:val="clear" w:color="auto" w:fill="E4E5E3"/>
          </w:tcPr>
          <w:p w:rsidR="00ED665B" w:rsidRPr="00907702" w:rsidRDefault="00ED665B" w:rsidP="00DC2656">
            <w:pPr>
              <w:rPr>
                <w:rFonts w:ascii="Calibri" w:hAnsi="Calibri" w:cs="Calibri"/>
              </w:rPr>
            </w:pPr>
          </w:p>
        </w:tc>
        <w:tc>
          <w:tcPr>
            <w:tcW w:w="1046" w:type="dxa"/>
            <w:tcBorders>
              <w:left w:val="nil"/>
              <w:bottom w:val="nil"/>
              <w:right w:val="nil"/>
            </w:tcBorders>
            <w:shd w:val="clear" w:color="auto" w:fill="E4E5E3"/>
          </w:tcPr>
          <w:p w:rsidR="00ED665B" w:rsidRPr="00907702" w:rsidRDefault="006C7D2F" w:rsidP="00DC2656">
            <w:pPr>
              <w:jc w:val="center"/>
              <w:rPr>
                <w:rFonts w:ascii="Calibri" w:hAnsi="Calibri" w:cs="Calibri"/>
              </w:rPr>
            </w:pPr>
            <w:r>
              <w:rPr>
                <w:rFonts w:ascii="Calibri" w:hAnsi="Calibri"/>
                <w:color w:val="000000"/>
                <w:sz w:val="8"/>
              </w:rPr>
              <w:t>Позитивні результати світяться зеленим.</w:t>
            </w:r>
          </w:p>
        </w:tc>
        <w:tc>
          <w:tcPr>
            <w:tcW w:w="374" w:type="dxa"/>
            <w:vMerge/>
            <w:tcBorders>
              <w:left w:val="nil"/>
              <w:bottom w:val="nil"/>
              <w:right w:val="nil"/>
            </w:tcBorders>
            <w:shd w:val="clear" w:color="auto" w:fill="E4E5E3"/>
          </w:tcPr>
          <w:p w:rsidR="00ED665B" w:rsidRPr="00907702" w:rsidRDefault="00ED665B" w:rsidP="00DC2656">
            <w:pPr>
              <w:jc w:val="center"/>
              <w:rPr>
                <w:rFonts w:ascii="Calibri" w:hAnsi="Calibri" w:cs="Calibri"/>
              </w:rPr>
            </w:pPr>
          </w:p>
          <w:p w:rsidR="00ED665B" w:rsidRPr="00907702" w:rsidRDefault="00ED665B" w:rsidP="00DC2656">
            <w:pPr>
              <w:jc w:val="center"/>
              <w:rPr>
                <w:rFonts w:ascii="Calibri" w:hAnsi="Calibri" w:cs="Calibri"/>
              </w:rPr>
            </w:pPr>
          </w:p>
        </w:tc>
      </w:tr>
      <w:tr w:rsidR="00ED665B" w:rsidRPr="00907702" w:rsidTr="004C1698">
        <w:trPr>
          <w:trHeight w:hRule="exact" w:val="457"/>
        </w:trPr>
        <w:tc>
          <w:tcPr>
            <w:tcW w:w="422" w:type="dxa"/>
            <w:vMerge/>
            <w:tcBorders>
              <w:top w:val="nil"/>
              <w:left w:val="nil"/>
              <w:bottom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080" w:type="dxa"/>
            <w:vMerge/>
            <w:tcBorders>
              <w:top w:val="nil"/>
              <w:left w:val="nil"/>
              <w:bottom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89" w:type="dxa"/>
            <w:tcBorders>
              <w:top w:val="nil"/>
              <w:left w:val="nil"/>
              <w:bottom w:val="nil"/>
              <w:right w:val="nil"/>
            </w:tcBorders>
            <w:shd w:val="clear" w:color="auto" w:fill="E4E5E3"/>
          </w:tcPr>
          <w:p w:rsidR="00ED665B" w:rsidRPr="00907702" w:rsidRDefault="00ED665B" w:rsidP="00DC2656">
            <w:pPr>
              <w:rPr>
                <w:rFonts w:ascii="Calibri" w:hAnsi="Calibri" w:cs="Calibri"/>
              </w:rPr>
            </w:pPr>
          </w:p>
        </w:tc>
        <w:tc>
          <w:tcPr>
            <w:tcW w:w="1070" w:type="dxa"/>
            <w:vMerge/>
            <w:tcBorders>
              <w:top w:val="nil"/>
              <w:left w:val="nil"/>
              <w:bottom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89" w:type="dxa"/>
            <w:tcBorders>
              <w:top w:val="nil"/>
              <w:left w:val="nil"/>
              <w:bottom w:val="nil"/>
              <w:right w:val="nil"/>
            </w:tcBorders>
            <w:shd w:val="clear" w:color="auto" w:fill="E4E5E3"/>
          </w:tcPr>
          <w:p w:rsidR="00ED665B" w:rsidRPr="00907702" w:rsidRDefault="00ED665B" w:rsidP="00DC2656">
            <w:pPr>
              <w:rPr>
                <w:rFonts w:ascii="Calibri" w:hAnsi="Calibri" w:cs="Calibri"/>
              </w:rPr>
            </w:pPr>
          </w:p>
        </w:tc>
        <w:tc>
          <w:tcPr>
            <w:tcW w:w="1090" w:type="dxa"/>
            <w:vMerge/>
            <w:tcBorders>
              <w:top w:val="nil"/>
              <w:left w:val="nil"/>
              <w:bottom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50" w:type="dxa"/>
            <w:tcBorders>
              <w:top w:val="nil"/>
              <w:left w:val="nil"/>
              <w:bottom w:val="nil"/>
              <w:right w:val="nil"/>
            </w:tcBorders>
            <w:shd w:val="clear" w:color="auto" w:fill="E4E5E3"/>
          </w:tcPr>
          <w:p w:rsidR="00ED665B" w:rsidRPr="00907702" w:rsidRDefault="00ED665B" w:rsidP="00DC2656">
            <w:pPr>
              <w:rPr>
                <w:rFonts w:ascii="Calibri" w:hAnsi="Calibri" w:cs="Calibri"/>
              </w:rPr>
            </w:pPr>
          </w:p>
        </w:tc>
        <w:tc>
          <w:tcPr>
            <w:tcW w:w="1080" w:type="dxa"/>
            <w:vMerge/>
            <w:tcBorders>
              <w:top w:val="nil"/>
              <w:left w:val="nil"/>
              <w:bottom w:val="nil"/>
              <w:right w:val="nil"/>
            </w:tcBorders>
            <w:shd w:val="clear" w:color="auto" w:fill="E4E5E3"/>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22" w:type="dxa"/>
            <w:tcBorders>
              <w:top w:val="nil"/>
              <w:left w:val="nil"/>
              <w:bottom w:val="nil"/>
              <w:right w:val="nil"/>
            </w:tcBorders>
            <w:shd w:val="clear" w:color="auto" w:fill="E4E5E3"/>
          </w:tcPr>
          <w:p w:rsidR="00ED665B" w:rsidRPr="00907702" w:rsidRDefault="00ED665B" w:rsidP="00DC2656">
            <w:pPr>
              <w:rPr>
                <w:rFonts w:ascii="Calibri" w:hAnsi="Calibri" w:cs="Calibri"/>
              </w:rPr>
            </w:pPr>
          </w:p>
        </w:tc>
        <w:tc>
          <w:tcPr>
            <w:tcW w:w="2942" w:type="dxa"/>
            <w:gridSpan w:val="4"/>
            <w:tcBorders>
              <w:top w:val="nil"/>
              <w:left w:val="nil"/>
              <w:bottom w:val="nil"/>
              <w:right w:val="nil"/>
            </w:tcBorders>
            <w:shd w:val="clear" w:color="auto" w:fill="E4E5E3"/>
          </w:tcPr>
          <w:p w:rsidR="00ED665B" w:rsidRPr="00907702" w:rsidRDefault="006C7D2F" w:rsidP="007B12F0">
            <w:pPr>
              <w:spacing w:before="120"/>
              <w:rPr>
                <w:rFonts w:ascii="Calibri" w:hAnsi="Calibri" w:cs="Calibri"/>
              </w:rPr>
            </w:pPr>
            <w:r>
              <w:rPr>
                <w:rFonts w:ascii="Calibri" w:hAnsi="Calibri"/>
                <w:i/>
                <w:color w:val="414042"/>
                <w:sz w:val="6"/>
              </w:rPr>
              <w:t>Представлено візуалізовану послідовність дій. Завжди користуйтеся останніми версіями «Інструкції з використання».</w:t>
            </w:r>
          </w:p>
        </w:tc>
      </w:tr>
      <w:tr w:rsidR="00ED665B" w:rsidRPr="00907702">
        <w:trPr>
          <w:trHeight w:hRule="exact" w:val="1008"/>
        </w:trPr>
        <w:tc>
          <w:tcPr>
            <w:tcW w:w="9134" w:type="dxa"/>
            <w:gridSpan w:val="13"/>
            <w:tcBorders>
              <w:top w:val="nil"/>
              <w:left w:val="nil"/>
              <w:bottom w:val="nil"/>
              <w:right w:val="nil"/>
            </w:tcBorders>
            <w:shd w:val="clear" w:color="auto" w:fill="FFFFFF"/>
          </w:tcPr>
          <w:p w:rsidR="00C1177C" w:rsidRDefault="00C1177C" w:rsidP="00DC2656">
            <w:pPr>
              <w:rPr>
                <w:rFonts w:ascii="Calibri" w:hAnsi="Calibri" w:cs="Calibri"/>
                <w:color w:val="000000"/>
                <w:sz w:val="16"/>
                <w:szCs w:val="16"/>
              </w:rPr>
            </w:pPr>
          </w:p>
          <w:p w:rsidR="00ED665B" w:rsidRPr="00907702" w:rsidRDefault="006C7D2F" w:rsidP="00DC2656">
            <w:pPr>
              <w:rPr>
                <w:rFonts w:ascii="Calibri" w:hAnsi="Calibri" w:cs="Calibri"/>
              </w:rPr>
            </w:pPr>
            <w:r>
              <w:rPr>
                <w:rFonts w:ascii="Calibri" w:hAnsi="Calibri"/>
                <w:color w:val="000000"/>
                <w:sz w:val="16"/>
              </w:rPr>
              <w:t>LAMP: петльова ізотермічна ампліфікація; ТБ: туберкульоз.</w:t>
            </w:r>
          </w:p>
          <w:p w:rsidR="00ED665B" w:rsidRPr="00907702" w:rsidRDefault="006C7D2F" w:rsidP="00DC2656">
            <w:pPr>
              <w:rPr>
                <w:rFonts w:ascii="Calibri" w:hAnsi="Calibri" w:cs="Calibri"/>
              </w:rPr>
            </w:pPr>
            <w:r>
              <w:rPr>
                <w:rFonts w:ascii="Calibri" w:hAnsi="Calibri"/>
                <w:color w:val="000000"/>
                <w:sz w:val="16"/>
              </w:rPr>
              <w:t>Джерело: Відтворено з дозволу компанії «Human Gesellschaft für Biochemica und Diagnostica mbH», © 2021. Усі права захищені.</w:t>
            </w:r>
          </w:p>
        </w:tc>
      </w:tr>
    </w:tbl>
    <w:p w:rsidR="00ED665B" w:rsidRPr="00907702" w:rsidRDefault="00ED665B" w:rsidP="00DC2656">
      <w:pPr>
        <w:rPr>
          <w:rFonts w:ascii="Calibri" w:hAnsi="Calibri" w:cs="Calibri"/>
        </w:rPr>
        <w:sectPr w:rsidR="00ED665B" w:rsidRPr="00907702" w:rsidSect="004C1698">
          <w:pgSz w:w="11904" w:h="16838"/>
          <w:pgMar w:top="1200" w:right="1402" w:bottom="2127" w:left="1330" w:header="720" w:footer="720" w:gutter="0"/>
          <w:cols w:space="60"/>
          <w:noEndnote/>
        </w:sectPr>
      </w:pPr>
    </w:p>
    <w:p w:rsidR="00ED665B" w:rsidRPr="00C1177C" w:rsidRDefault="00640824" w:rsidP="00DC2656">
      <w:pPr>
        <w:ind w:left="5"/>
        <w:rPr>
          <w:rFonts w:ascii="Calibri" w:hAnsi="Calibri" w:cs="Calibri"/>
          <w:b/>
          <w:bCs/>
          <w:color w:val="009649"/>
        </w:rPr>
      </w:pPr>
      <w:r>
        <w:rPr>
          <w:rFonts w:ascii="Calibri" w:hAnsi="Calibri"/>
          <w:b/>
          <w:color w:val="009649"/>
          <w:sz w:val="28"/>
        </w:rPr>
        <w:lastRenderedPageBreak/>
        <w:t>Обґрунтування та дані</w:t>
      </w:r>
    </w:p>
    <w:p w:rsidR="00ED665B" w:rsidRPr="00907702" w:rsidRDefault="006C7D2F" w:rsidP="00DC2656">
      <w:pPr>
        <w:spacing w:before="168"/>
        <w:jc w:val="both"/>
        <w:rPr>
          <w:rFonts w:ascii="Calibri" w:hAnsi="Calibri" w:cs="Calibri"/>
        </w:rPr>
      </w:pPr>
      <w:r>
        <w:rPr>
          <w:rFonts w:ascii="Calibri" w:hAnsi="Calibri"/>
          <w:color w:val="000000"/>
          <w:sz w:val="22"/>
        </w:rPr>
        <w:t xml:space="preserve">Розглянуті дані та це керівництво щодо політики застосовуються лише до використання комерційного ручного тесту TB-LAMP. Відповідно до стандартів ВООЗ щодо оцінки даних при формулюванні рекомендацій щодо політики,застосовувався підхід GRADE. GRADE забезпечує структуровану основу для визначення якості даних та надання інформації про силу рекомендацій, використовуючи питання PICO, погоджені ГРН. PICO посилається на наступні чотири елементи, які слід включити до питань, що регулюють систематичний пошук даних: </w:t>
      </w:r>
      <w:r>
        <w:rPr>
          <w:rFonts w:ascii="Calibri" w:hAnsi="Calibri"/>
          <w:i/>
          <w:color w:val="000000"/>
          <w:sz w:val="22"/>
        </w:rPr>
        <w:t>популяція</w:t>
      </w:r>
      <w:r>
        <w:rPr>
          <w:rFonts w:ascii="Calibri" w:hAnsi="Calibri"/>
          <w:color w:val="000000"/>
          <w:sz w:val="22"/>
        </w:rPr>
        <w:t xml:space="preserve">, на яку спрямовано дію чи </w:t>
      </w:r>
      <w:r w:rsidRPr="004C1698">
        <w:rPr>
          <w:rFonts w:ascii="Calibri" w:hAnsi="Calibri"/>
          <w:i/>
          <w:color w:val="000000"/>
          <w:sz w:val="22"/>
        </w:rPr>
        <w:t xml:space="preserve">заходи </w:t>
      </w:r>
      <w:r>
        <w:rPr>
          <w:rFonts w:ascii="Calibri" w:hAnsi="Calibri"/>
          <w:color w:val="000000"/>
          <w:sz w:val="22"/>
        </w:rPr>
        <w:t xml:space="preserve">(у випадку систематичного огляду точності діагностичних тестів, P – це популяція, яка вивчається), </w:t>
      </w:r>
      <w:r>
        <w:rPr>
          <w:rFonts w:ascii="Calibri" w:hAnsi="Calibri"/>
          <w:i/>
          <w:color w:val="000000"/>
          <w:sz w:val="22"/>
        </w:rPr>
        <w:t xml:space="preserve">заходи </w:t>
      </w:r>
      <w:r>
        <w:rPr>
          <w:rFonts w:ascii="Calibri" w:hAnsi="Calibri"/>
          <w:color w:val="000000"/>
          <w:sz w:val="22"/>
        </w:rPr>
        <w:t xml:space="preserve">(I – індексний тест), </w:t>
      </w:r>
      <w:r>
        <w:rPr>
          <w:rFonts w:ascii="Calibri" w:hAnsi="Calibri"/>
          <w:i/>
          <w:color w:val="000000"/>
          <w:sz w:val="22"/>
        </w:rPr>
        <w:t xml:space="preserve">порівняння </w:t>
      </w:r>
      <w:r>
        <w:rPr>
          <w:rFonts w:ascii="Calibri" w:hAnsi="Calibri"/>
          <w:color w:val="000000"/>
          <w:sz w:val="22"/>
        </w:rPr>
        <w:t xml:space="preserve">(C – порівняльний тест або тести) та </w:t>
      </w:r>
      <w:r w:rsidRPr="004C1698">
        <w:rPr>
          <w:rFonts w:ascii="Calibri" w:hAnsi="Calibri"/>
          <w:i/>
          <w:color w:val="000000"/>
          <w:sz w:val="22"/>
        </w:rPr>
        <w:t xml:space="preserve">результат </w:t>
      </w:r>
      <w:r>
        <w:rPr>
          <w:rFonts w:ascii="Calibri" w:hAnsi="Calibri"/>
          <w:color w:val="000000"/>
          <w:sz w:val="22"/>
        </w:rPr>
        <w:t xml:space="preserve">(O – це зазвичай чутливість та специфічність). Питання PICO для огляду наведено у </w:t>
      </w:r>
      <w:r>
        <w:rPr>
          <w:rFonts w:ascii="Calibri" w:hAnsi="Calibri"/>
          <w:color w:val="1B61AF"/>
          <w:sz w:val="22"/>
        </w:rPr>
        <w:t>Вставці 2.2.1</w:t>
      </w:r>
      <w:r>
        <w:rPr>
          <w:rFonts w:ascii="Calibri" w:hAnsi="Calibri"/>
          <w:color w:val="000000"/>
          <w:sz w:val="22"/>
        </w:rPr>
        <w:t>.</w:t>
      </w:r>
    </w:p>
    <w:p w:rsidR="00ED665B" w:rsidRPr="00907702" w:rsidRDefault="008821D9" w:rsidP="008821D9">
      <w:pPr>
        <w:spacing w:before="5280"/>
        <w:jc w:val="both"/>
        <w:rPr>
          <w:rFonts w:ascii="Calibri" w:hAnsi="Calibri" w:cs="Calibri"/>
        </w:rPr>
      </w:pPr>
      <w:r>
        <w:rPr>
          <w:rFonts w:ascii="Calibri" w:hAnsi="Calibri"/>
          <w:noProof/>
          <w:lang w:val="en-US" w:bidi="ar-SA"/>
        </w:rPr>
        <mc:AlternateContent>
          <mc:Choice Requires="wpg">
            <w:drawing>
              <wp:anchor distT="0" distB="0" distL="114300" distR="114300" simplePos="0" relativeHeight="251683840" behindDoc="0" locked="0" layoutInCell="1" allowOverlap="1" wp14:anchorId="6C02852D" wp14:editId="37BBFF24">
                <wp:simplePos x="0" y="0"/>
                <wp:positionH relativeFrom="margin">
                  <wp:posOffset>-3539</wp:posOffset>
                </wp:positionH>
                <wp:positionV relativeFrom="paragraph">
                  <wp:posOffset>210516</wp:posOffset>
                </wp:positionV>
                <wp:extent cx="5778836" cy="2732871"/>
                <wp:effectExtent l="0" t="0" r="0" b="0"/>
                <wp:wrapNone/>
                <wp:docPr id="540" name="Группа 540"/>
                <wp:cNvGraphicFramePr/>
                <a:graphic xmlns:a="http://schemas.openxmlformats.org/drawingml/2006/main">
                  <a:graphicData uri="http://schemas.microsoft.com/office/word/2010/wordprocessingGroup">
                    <wpg:wgp>
                      <wpg:cNvGrpSpPr/>
                      <wpg:grpSpPr>
                        <a:xfrm>
                          <a:off x="0" y="0"/>
                          <a:ext cx="5778836" cy="2732871"/>
                          <a:chOff x="127" y="685"/>
                          <a:chExt cx="5779393" cy="2733062"/>
                        </a:xfrm>
                      </wpg:grpSpPr>
                      <wps:wsp>
                        <wps:cNvPr id="541" name="Прямоугольник с двумя скругленными соседними углами 541"/>
                        <wps:cNvSpPr/>
                        <wps:spPr>
                          <a:xfrm rot="5400000">
                            <a:off x="1602479" y="-1443294"/>
                            <a:ext cx="2733062"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Прямоугольник с двумя скругленными соседними углами 542"/>
                        <wps:cNvSpPr/>
                        <wps:spPr>
                          <a:xfrm rot="5400000">
                            <a:off x="1913023" y="-1764094"/>
                            <a:ext cx="340794" cy="4166586"/>
                          </a:xfrm>
                          <a:prstGeom prst="round2SameRect">
                            <a:avLst>
                              <a:gd name="adj1" fmla="val 50000"/>
                              <a:gd name="adj2" fmla="val 0"/>
                            </a:avLst>
                          </a:prstGeom>
                          <a:solidFill>
                            <a:srgbClr val="0096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Надпись 543"/>
                        <wps:cNvSpPr txBox="1"/>
                        <wps:spPr>
                          <a:xfrm>
                            <a:off x="161888" y="219896"/>
                            <a:ext cx="5029200" cy="287020"/>
                          </a:xfrm>
                          <a:prstGeom prst="rect">
                            <a:avLst/>
                          </a:prstGeom>
                          <a:noFill/>
                          <a:ln w="6350">
                            <a:noFill/>
                          </a:ln>
                        </wps:spPr>
                        <wps:txbx>
                          <w:txbxContent>
                            <w:p w:rsidR="00BE6F5B" w:rsidRPr="00A3729E" w:rsidRDefault="00BE6F5B" w:rsidP="008821D9">
                              <w:pPr>
                                <w:rPr>
                                  <w:rFonts w:asciiTheme="minorHAnsi" w:hAnsiTheme="minorHAnsi" w:cstheme="minorHAnsi"/>
                                </w:rPr>
                              </w:pPr>
                              <w:r>
                                <w:rPr>
                                  <w:rFonts w:asciiTheme="minorHAnsi" w:hAnsiTheme="minorHAnsi"/>
                                  <w:b/>
                                  <w:color w:val="FFFFFF"/>
                                  <w:sz w:val="22"/>
                                </w:rPr>
                                <w:t>Вставка 2.2.1. Питання PICO, відповідь на які має надати ГРН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4" name="Надпись 544"/>
                        <wps:cNvSpPr txBox="1"/>
                        <wps:spPr>
                          <a:xfrm>
                            <a:off x="385172" y="570642"/>
                            <a:ext cx="5082362" cy="2088169"/>
                          </a:xfrm>
                          <a:prstGeom prst="rect">
                            <a:avLst/>
                          </a:prstGeom>
                          <a:noFill/>
                          <a:ln w="6350">
                            <a:noFill/>
                          </a:ln>
                        </wps:spPr>
                        <wps:txbx>
                          <w:txbxContent>
                            <w:p w:rsidR="00BE6F5B" w:rsidRPr="008821D9" w:rsidRDefault="00BE6F5B" w:rsidP="004C1698">
                              <w:pPr>
                                <w:tabs>
                                  <w:tab w:val="left" w:pos="284"/>
                                </w:tabs>
                                <w:spacing w:after="120"/>
                                <w:jc w:val="both"/>
                                <w:rPr>
                                  <w:rFonts w:ascii="Calibri" w:hAnsi="Calibri" w:cs="Calibri"/>
                                  <w:color w:val="000000"/>
                                </w:rPr>
                              </w:pPr>
                              <w:r>
                                <w:rPr>
                                  <w:rFonts w:ascii="Calibri" w:hAnsi="Calibri"/>
                                  <w:color w:val="000000"/>
                                </w:rPr>
                                <w:t>1</w:t>
                              </w:r>
                              <w:r>
                                <w:rPr>
                                  <w:rFonts w:ascii="Calibri" w:hAnsi="Calibri"/>
                                  <w:color w:val="000000"/>
                                </w:rPr>
                                <w:tab/>
                                <w:t>Яка діагностична точність TB-LAMP для виявлення легеневого ТБ у дорослих, коли TB-LAMP використовується в якості замісного тесту для мікроскопії мазка мокротиння порівняно з посівом в якості референс стандарту? (Результати були стратифіковані за ВІЛ-статусом).</w:t>
                              </w:r>
                            </w:p>
                            <w:p w:rsidR="00BE6F5B" w:rsidRPr="008821D9" w:rsidRDefault="00BE6F5B" w:rsidP="004C1698">
                              <w:pPr>
                                <w:tabs>
                                  <w:tab w:val="left" w:pos="284"/>
                                </w:tabs>
                                <w:spacing w:after="120"/>
                                <w:jc w:val="both"/>
                                <w:rPr>
                                  <w:rFonts w:ascii="Calibri" w:hAnsi="Calibri" w:cs="Calibri"/>
                                  <w:color w:val="000000"/>
                                </w:rPr>
                              </w:pPr>
                              <w:r>
                                <w:rPr>
                                  <w:rFonts w:ascii="Calibri" w:hAnsi="Calibri"/>
                                  <w:color w:val="000000"/>
                                </w:rPr>
                                <w:t>2.</w:t>
                              </w:r>
                              <w:r>
                                <w:rPr>
                                  <w:rFonts w:ascii="Calibri" w:hAnsi="Calibri"/>
                                  <w:color w:val="000000"/>
                                </w:rPr>
                                <w:tab/>
                                <w:t>Яка діагностична точність TB-LAMP для виявлення легеневого ТБ у дорослих, коли TB-LAMP використовується в якості додаткового тесту після отримання негативного результату мікроскопії мазка мокротиння порівняно з посівом в якості референс стандарту?</w:t>
                              </w:r>
                            </w:p>
                            <w:p w:rsidR="00BE6F5B" w:rsidRPr="008821D9" w:rsidRDefault="00BE6F5B" w:rsidP="004C1698">
                              <w:pPr>
                                <w:tabs>
                                  <w:tab w:val="left" w:pos="284"/>
                                </w:tabs>
                                <w:spacing w:after="120"/>
                                <w:jc w:val="both"/>
                                <w:rPr>
                                  <w:rFonts w:ascii="Calibri" w:hAnsi="Calibri" w:cs="Calibri"/>
                                  <w:color w:val="000000"/>
                                </w:rPr>
                              </w:pPr>
                              <w:r>
                                <w:rPr>
                                  <w:rFonts w:ascii="Calibri" w:hAnsi="Calibri"/>
                                  <w:color w:val="000000"/>
                                </w:rPr>
                                <w:t>3.</w:t>
                              </w:r>
                              <w:r>
                                <w:rPr>
                                  <w:rFonts w:ascii="Calibri" w:hAnsi="Calibri"/>
                                  <w:color w:val="000000"/>
                                </w:rPr>
                                <w:tab/>
                                <w:t>Яка різниця в діагностичній точності між TB-LAMP та тестом Xpert MTB/RIF (Cepheid, Sunnyvale, США) для виявлення легеневого ТБ щодо мікобактеріального посіву серед усіх дорослих?</w:t>
                              </w:r>
                            </w:p>
                            <w:p w:rsidR="00BE6F5B" w:rsidRPr="00F85B2E" w:rsidRDefault="00BE6F5B" w:rsidP="004C1698">
                              <w:pPr>
                                <w:tabs>
                                  <w:tab w:val="left" w:pos="284"/>
                                </w:tabs>
                                <w:spacing w:after="120"/>
                                <w:jc w:val="both"/>
                                <w:rPr>
                                  <w:rFonts w:asciiTheme="minorHAnsi" w:hAnsiTheme="minorHAnsi" w:cstheme="minorHAnsi"/>
                                </w:rPr>
                              </w:pPr>
                              <w:r>
                                <w:rPr>
                                  <w:rFonts w:ascii="Calibri" w:hAnsi="Calibri"/>
                                  <w:color w:val="000000"/>
                                </w:rPr>
                                <w:t>4.</w:t>
                              </w:r>
                              <w:r>
                                <w:rPr>
                                  <w:rFonts w:ascii="Calibri" w:hAnsi="Calibri"/>
                                  <w:color w:val="000000"/>
                                </w:rPr>
                                <w:tab/>
                                <w:t>Яка частка невизначених або недійсних результатів, коли TB-LAMP використовується для виявлення легеневого ТБ серед усіх дорослих та серед ВІЛ-позитивних дорослих?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02852D" id="Группа 540" o:spid="_x0000_s1055" style="position:absolute;left:0;text-align:left;margin-left:-.3pt;margin-top:16.6pt;width:455.05pt;height:215.2pt;z-index:251683840;mso-position-horizontal-relative:margin;mso-width-relative:margin;mso-height-relative:margin" coordorigin="1,6" coordsize="57793,2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">
                <v:shape id="Прямоугольник с двумя скругленными соседними углами 541" o:spid="_x0000_s1056" style="position:absolute;left:16024;top:-14433;width:27331;height:56210;rotation:90;visibility:visible;mso-wrap-style:square;v-text-anchor:middle" coordsize="2733062,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" path="m225833,l2507229,v124724,,225833,101109,225833,225833l2733062,5621020r,l,5621020r,l,225833c,101109,101109,,225833,xe" fillcolor="#c6e0ce" stroked="f" strokeweight="1pt">
                  <v:stroke joinstyle="miter"/>
                  <v:path arrowok="t" o:connecttype="custom" o:connectlocs="225833,0;2507229,0;2733062,225833;2733062,5621020;2733062,5621020;0,5621020;0,5621020;0,225833;225833,0" o:connectangles="0,0,0,0,0,0,0,0,0"/>
                </v:shape>
                <v:shape id="Прямоугольник с двумя скругленными соседними углами 542" o:spid="_x0000_s1057" style="position:absolute;left:19130;top:-17641;width:3407;height:41666;rotation:90;visibility:visible;mso-wrap-style:square;v-text-anchor:middle" coordsize="340794,416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" path="m170397,r,c264505,,340794,76289,340794,170397r,3996189l340794,4166586,,4166586r,l,170397c,76289,76289,,170397,xe" fillcolor="#009649" stroked="f" strokeweight="1pt">
                  <v:stroke joinstyle="miter"/>
                  <v:path arrowok="t" o:connecttype="custom" o:connectlocs="170397,0;170397,0;340794,170397;340794,4166586;340794,4166586;0,4166586;0,4166586;0,170397;170397,0" o:connectangles="0,0,0,0,0,0,0,0,0"/>
                </v:shape>
                <v:shape id="Надпись 543" o:spid="_x0000_s1058" type="#_x0000_t202" style="position:absolute;left:1618;top:2198;width:50292;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" filled="f" stroked="f" strokeweight=".5pt">
                  <v:textbox inset="0,0,0,0">
                    <w:txbxContent>
                      <w:p w:rsidR="00BE6F5B" w:rsidRPr="00A3729E" w:rsidRDefault="00BE6F5B" w:rsidP="008821D9">
                        <w:pPr>
                          <w:rPr>
                            <w:rFonts w:asciiTheme="minorHAnsi" w:hAnsiTheme="minorHAnsi" w:cstheme="minorHAnsi"/>
                          </w:rPr>
                        </w:pPr>
                        <w:r>
                          <w:rPr>
                            <w:rFonts w:asciiTheme="minorHAnsi" w:hAnsiTheme="minorHAnsi"/>
                            <w:b/>
                            <w:color w:val="FFFFFF"/>
                            <w:sz w:val="22"/>
                          </w:rPr>
                          <w:t>Вставка 2.2.1. Питання PICO, відповідь на які має надати ГРН</w:t>
                        </w:r>
                      </w:p>
                    </w:txbxContent>
                  </v:textbox>
                </v:shape>
                <v:shape id="Надпись 544" o:spid="_x0000_s1059" type="#_x0000_t202" style="position:absolute;left:3851;top:5706;width:50824;height:20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" filled="f" stroked="f" strokeweight=".5pt">
                  <v:textbox inset="0,0,0,0">
                    <w:txbxContent>
                      <w:p w:rsidR="00BE6F5B" w:rsidRPr="008821D9" w:rsidRDefault="00BE6F5B" w:rsidP="004C1698">
                        <w:pPr>
                          <w:tabs>
                            <w:tab w:val="left" w:pos="284"/>
                          </w:tabs>
                          <w:spacing w:after="120"/>
                          <w:jc w:val="both"/>
                          <w:rPr>
                            <w:rFonts w:ascii="Calibri" w:hAnsi="Calibri" w:cs="Calibri"/>
                            <w:color w:val="000000"/>
                          </w:rPr>
                        </w:pPr>
                        <w:r>
                          <w:rPr>
                            <w:rFonts w:ascii="Calibri" w:hAnsi="Calibri"/>
                            <w:color w:val="000000"/>
                          </w:rPr>
                          <w:t>1</w:t>
                        </w:r>
                        <w:r>
                          <w:rPr>
                            <w:rFonts w:ascii="Calibri" w:hAnsi="Calibri"/>
                            <w:color w:val="000000"/>
                          </w:rPr>
                          <w:tab/>
                          <w:t>Яка діагностична точність TB-LAMP для виявлення легеневого ТБ у дорослих, коли TB-LAMP використовується в якості замісного тесту для мікроскопії мазка мокротиння порівняно з посівом в якості референс стандарту? (Результати були стратифіковані за ВІЛ-статусом).</w:t>
                        </w:r>
                      </w:p>
                      <w:p w:rsidR="00BE6F5B" w:rsidRPr="008821D9" w:rsidRDefault="00BE6F5B" w:rsidP="004C1698">
                        <w:pPr>
                          <w:tabs>
                            <w:tab w:val="left" w:pos="284"/>
                          </w:tabs>
                          <w:spacing w:after="120"/>
                          <w:jc w:val="both"/>
                          <w:rPr>
                            <w:rFonts w:ascii="Calibri" w:hAnsi="Calibri" w:cs="Calibri"/>
                            <w:color w:val="000000"/>
                          </w:rPr>
                        </w:pPr>
                        <w:r>
                          <w:rPr>
                            <w:rFonts w:ascii="Calibri" w:hAnsi="Calibri"/>
                            <w:color w:val="000000"/>
                          </w:rPr>
                          <w:t>2.</w:t>
                        </w:r>
                        <w:r>
                          <w:rPr>
                            <w:rFonts w:ascii="Calibri" w:hAnsi="Calibri"/>
                            <w:color w:val="000000"/>
                          </w:rPr>
                          <w:tab/>
                          <w:t>Яка діагностична точність TB-LAMP для виявлення легеневого ТБ у дорослих, коли TB-LAMP використовується в якості додаткового тесту після отримання негативного результату мікроскопії мазка мокротиння порівняно з посівом в якості референс стандарту?</w:t>
                        </w:r>
                      </w:p>
                      <w:p w:rsidR="00BE6F5B" w:rsidRPr="008821D9" w:rsidRDefault="00BE6F5B" w:rsidP="004C1698">
                        <w:pPr>
                          <w:tabs>
                            <w:tab w:val="left" w:pos="284"/>
                          </w:tabs>
                          <w:spacing w:after="120"/>
                          <w:jc w:val="both"/>
                          <w:rPr>
                            <w:rFonts w:ascii="Calibri" w:hAnsi="Calibri" w:cs="Calibri"/>
                            <w:color w:val="000000"/>
                          </w:rPr>
                        </w:pPr>
                        <w:r>
                          <w:rPr>
                            <w:rFonts w:ascii="Calibri" w:hAnsi="Calibri"/>
                            <w:color w:val="000000"/>
                          </w:rPr>
                          <w:t>3.</w:t>
                        </w:r>
                        <w:r>
                          <w:rPr>
                            <w:rFonts w:ascii="Calibri" w:hAnsi="Calibri"/>
                            <w:color w:val="000000"/>
                          </w:rPr>
                          <w:tab/>
                          <w:t>Яка різниця в діагностичній точності між TB-LAMP та тестом Xpert MTB/RIF (Cepheid, Sunnyvale, США) для виявлення легеневого ТБ щодо мікобактеріального посіву серед усіх дорослих?</w:t>
                        </w:r>
                      </w:p>
                      <w:p w:rsidR="00BE6F5B" w:rsidRPr="00F85B2E" w:rsidRDefault="00BE6F5B" w:rsidP="004C1698">
                        <w:pPr>
                          <w:tabs>
                            <w:tab w:val="left" w:pos="284"/>
                          </w:tabs>
                          <w:spacing w:after="120"/>
                          <w:jc w:val="both"/>
                          <w:rPr>
                            <w:rFonts w:asciiTheme="minorHAnsi" w:hAnsiTheme="minorHAnsi" w:cstheme="minorHAnsi"/>
                          </w:rPr>
                        </w:pPr>
                        <w:r>
                          <w:rPr>
                            <w:rFonts w:ascii="Calibri" w:hAnsi="Calibri"/>
                            <w:color w:val="000000"/>
                          </w:rPr>
                          <w:t>4.</w:t>
                        </w:r>
                        <w:r>
                          <w:rPr>
                            <w:rFonts w:ascii="Calibri" w:hAnsi="Calibri"/>
                            <w:color w:val="000000"/>
                          </w:rPr>
                          <w:tab/>
                          <w:t>Яка частка невизначених або недійсних результатів, коли TB-LAMP використовується для виявлення легеневого ТБ серед усіх дорослих та серед ВІЛ-позитивних дорослих?</w:t>
                        </w:r>
                      </w:p>
                    </w:txbxContent>
                  </v:textbox>
                </v:shape>
                <w10:wrap anchorx="margin"/>
              </v:group>
            </w:pict>
          </mc:Fallback>
        </mc:AlternateContent>
      </w:r>
      <w:r>
        <w:rPr>
          <w:rFonts w:ascii="Calibri" w:hAnsi="Calibri"/>
          <w:color w:val="000000"/>
          <w:sz w:val="22"/>
        </w:rPr>
        <w:t>Огляд включав усі перспективні дослідження, які оцінювали використання TB-LAMP на зразках мокротиння у дорослих з ознаками та симптомами, що свідчать про захворювання на легеневий ТБ, які проводилися в умовах із проміжним або високим тягарем ТБ. Було визначено двадцять досліджень, включаючи всі дослідження, які були безпосередньо проведені FIND або фінансувалися FIND після подання заявок. Учасники дослідження, яких не могли класифікувати як таких, що мають позитивний або негативний результат аналізу на ТБ на основі описаних нижче референс стандартів, були виключені.</w:t>
      </w:r>
    </w:p>
    <w:p w:rsidR="00ED665B" w:rsidRPr="00907702" w:rsidRDefault="006C7D2F" w:rsidP="001F19DE">
      <w:pPr>
        <w:spacing w:before="168"/>
        <w:ind w:left="5"/>
        <w:jc w:val="distribute"/>
        <w:rPr>
          <w:rFonts w:ascii="Calibri" w:hAnsi="Calibri" w:cs="Calibri"/>
        </w:rPr>
      </w:pPr>
      <w:r>
        <w:rPr>
          <w:rFonts w:ascii="Calibri" w:hAnsi="Calibri"/>
          <w:color w:val="000000"/>
          <w:sz w:val="22"/>
        </w:rPr>
        <w:t>Для класифікації статусу наявності ТБ використовували перелічені нижче референс стандарти мікобактеріального посіву. В дослідженнях, які відповідали критеріям відбору, проводили один або кілька посівів мокротиння у твердих середовищах (Левенштайн-Дженсен (Löwenstein–Jensen)) або у рідких середовищах, використовуючи пробірку з індикатором росту мікобактерій BACTEC™ (MGIT; Becton Dickinson, Franklin Lakes, США), або у рідких і твердих середовищах. Для врахування різної кількості посівів, проведених в ході досліджень, та різної кількості результатів посівів, доступних</w:t>
      </w:r>
      <w:r w:rsidR="001F19DE">
        <w:rPr>
          <w:rFonts w:ascii="Calibri" w:hAnsi="Calibri"/>
          <w:color w:val="000000"/>
          <w:sz w:val="22"/>
        </w:rPr>
        <w:t xml:space="preserve"> для учасників, для оцінки діагностичної точності були використані три</w:t>
      </w:r>
    </w:p>
    <w:p w:rsidR="00ED665B" w:rsidRPr="00907702" w:rsidRDefault="00ED665B" w:rsidP="00DC2656">
      <w:pPr>
        <w:spacing w:before="168"/>
        <w:ind w:left="5"/>
        <w:jc w:val="both"/>
        <w:rPr>
          <w:rFonts w:ascii="Calibri" w:hAnsi="Calibri" w:cs="Calibri"/>
        </w:rPr>
        <w:sectPr w:rsidR="00ED665B" w:rsidRPr="00907702">
          <w:pgSz w:w="11904" w:h="16838"/>
          <w:pgMar w:top="1382" w:right="1421" w:bottom="1790" w:left="1421" w:header="720" w:footer="720" w:gutter="0"/>
          <w:cols w:space="60"/>
          <w:noEndnote/>
        </w:sectPr>
      </w:pPr>
    </w:p>
    <w:p w:rsidR="00ED665B" w:rsidRPr="00907702" w:rsidRDefault="006C7D2F" w:rsidP="004C1698">
      <w:pPr>
        <w:jc w:val="both"/>
        <w:rPr>
          <w:rFonts w:ascii="Calibri" w:hAnsi="Calibri" w:cs="Calibri"/>
        </w:rPr>
      </w:pPr>
      <w:r>
        <w:rPr>
          <w:rFonts w:ascii="Calibri" w:hAnsi="Calibri"/>
          <w:color w:val="000000"/>
          <w:sz w:val="22"/>
        </w:rPr>
        <w:lastRenderedPageBreak/>
        <w:t>ієрархічні орієнтири на основі посівів.</w:t>
      </w:r>
    </w:p>
    <w:p w:rsidR="00ED665B" w:rsidRPr="00907702" w:rsidRDefault="006C7D2F" w:rsidP="004C1698">
      <w:pPr>
        <w:spacing w:before="211"/>
        <w:jc w:val="both"/>
        <w:rPr>
          <w:rFonts w:ascii="Calibri" w:hAnsi="Calibri" w:cs="Calibri"/>
        </w:rPr>
      </w:pPr>
      <w:r>
        <w:rPr>
          <w:rFonts w:ascii="Calibri" w:hAnsi="Calibri"/>
          <w:b/>
          <w:color w:val="000000"/>
          <w:sz w:val="22"/>
        </w:rPr>
        <w:t xml:space="preserve">Стандарт 1 </w:t>
      </w:r>
      <w:r>
        <w:rPr>
          <w:rFonts w:ascii="Calibri" w:hAnsi="Calibri"/>
          <w:color w:val="000000"/>
          <w:sz w:val="22"/>
        </w:rPr>
        <w:t>містив:</w:t>
      </w:r>
    </w:p>
    <w:p w:rsidR="00ED665B" w:rsidRPr="00907702" w:rsidRDefault="006C7D2F" w:rsidP="004C1698">
      <w:pPr>
        <w:numPr>
          <w:ilvl w:val="0"/>
          <w:numId w:val="2"/>
        </w:numPr>
        <w:tabs>
          <w:tab w:val="left" w:pos="240"/>
        </w:tabs>
        <w:spacing w:before="96"/>
        <w:jc w:val="both"/>
        <w:rPr>
          <w:rFonts w:ascii="Calibri" w:hAnsi="Calibri" w:cs="Calibri"/>
          <w:color w:val="009649"/>
          <w:sz w:val="22"/>
          <w:szCs w:val="22"/>
        </w:rPr>
      </w:pPr>
      <w:r>
        <w:rPr>
          <w:rFonts w:ascii="Calibri" w:hAnsi="Calibri"/>
          <w:color w:val="000000"/>
          <w:sz w:val="22"/>
        </w:rPr>
        <w:t>ТБ: принаймні одна позитивна культура була з підтвердженим MTBК методом тестування.</w:t>
      </w:r>
    </w:p>
    <w:p w:rsidR="00ED665B" w:rsidRPr="00907702" w:rsidRDefault="006C7D2F" w:rsidP="004C1698">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ТБ відсутній: на двох різних зразках мокротиння відсутні позитивні та є принаймні два негативні результати посівів.</w:t>
      </w:r>
    </w:p>
    <w:p w:rsidR="00ED665B" w:rsidRPr="00907702" w:rsidRDefault="006C7D2F" w:rsidP="004C1698">
      <w:pPr>
        <w:spacing w:before="216"/>
        <w:jc w:val="both"/>
        <w:rPr>
          <w:rFonts w:ascii="Calibri" w:hAnsi="Calibri" w:cs="Calibri"/>
        </w:rPr>
      </w:pPr>
      <w:r>
        <w:rPr>
          <w:rFonts w:ascii="Calibri" w:hAnsi="Calibri"/>
          <w:b/>
          <w:color w:val="000000"/>
          <w:sz w:val="22"/>
        </w:rPr>
        <w:t xml:space="preserve">Стандарт 2 </w:t>
      </w:r>
      <w:r>
        <w:rPr>
          <w:rFonts w:ascii="Calibri" w:hAnsi="Calibri"/>
          <w:color w:val="000000"/>
          <w:sz w:val="22"/>
        </w:rPr>
        <w:t>містив:</w:t>
      </w:r>
    </w:p>
    <w:p w:rsidR="00ED665B" w:rsidRPr="00907702" w:rsidRDefault="006C7D2F" w:rsidP="004C1698">
      <w:pPr>
        <w:numPr>
          <w:ilvl w:val="0"/>
          <w:numId w:val="2"/>
        </w:numPr>
        <w:tabs>
          <w:tab w:val="left" w:pos="240"/>
        </w:tabs>
        <w:spacing w:before="96"/>
        <w:jc w:val="both"/>
        <w:rPr>
          <w:rFonts w:ascii="Calibri" w:hAnsi="Calibri" w:cs="Calibri"/>
          <w:color w:val="009649"/>
          <w:sz w:val="22"/>
          <w:szCs w:val="22"/>
        </w:rPr>
      </w:pPr>
      <w:r>
        <w:rPr>
          <w:rFonts w:ascii="Calibri" w:hAnsi="Calibri"/>
          <w:color w:val="000000"/>
          <w:sz w:val="22"/>
        </w:rPr>
        <w:t>ТБ: принаймні одна позитивна культура була з підтвердженим MTBК методом тестування.</w:t>
      </w:r>
    </w:p>
    <w:p w:rsidR="00ED665B" w:rsidRPr="00907702" w:rsidRDefault="006C7D2F" w:rsidP="004C1698">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ТБ відсутній: На хоча б одному зразку мокротиння відсутні позитивні та є принаймні два негативні результати посівів.</w:t>
      </w:r>
    </w:p>
    <w:p w:rsidR="00ED665B" w:rsidRPr="00907702" w:rsidRDefault="006C7D2F" w:rsidP="004C1698">
      <w:pPr>
        <w:spacing w:before="216"/>
        <w:jc w:val="both"/>
        <w:rPr>
          <w:rFonts w:ascii="Calibri" w:hAnsi="Calibri" w:cs="Calibri"/>
        </w:rPr>
      </w:pPr>
      <w:r>
        <w:rPr>
          <w:rFonts w:ascii="Calibri" w:hAnsi="Calibri"/>
          <w:b/>
          <w:color w:val="000000"/>
          <w:sz w:val="22"/>
        </w:rPr>
        <w:t xml:space="preserve">Стандарт 3 </w:t>
      </w:r>
      <w:r>
        <w:rPr>
          <w:rFonts w:ascii="Calibri" w:hAnsi="Calibri"/>
          <w:color w:val="000000"/>
          <w:sz w:val="22"/>
        </w:rPr>
        <w:t>містив:</w:t>
      </w:r>
    </w:p>
    <w:p w:rsidR="00ED665B" w:rsidRPr="00907702" w:rsidRDefault="006C7D2F" w:rsidP="004C1698">
      <w:pPr>
        <w:numPr>
          <w:ilvl w:val="0"/>
          <w:numId w:val="2"/>
        </w:numPr>
        <w:tabs>
          <w:tab w:val="left" w:pos="240"/>
        </w:tabs>
        <w:spacing w:before="144"/>
        <w:jc w:val="both"/>
        <w:rPr>
          <w:rFonts w:ascii="Calibri" w:hAnsi="Calibri" w:cs="Calibri"/>
          <w:color w:val="009649"/>
          <w:sz w:val="22"/>
          <w:szCs w:val="22"/>
        </w:rPr>
      </w:pPr>
      <w:r>
        <w:rPr>
          <w:rFonts w:ascii="Calibri" w:hAnsi="Calibri"/>
          <w:color w:val="000000"/>
          <w:sz w:val="22"/>
        </w:rPr>
        <w:t>ТБ: принаймні одна позитивна культура була з підтвердженим MTBК методом тестування.</w:t>
      </w:r>
    </w:p>
    <w:p w:rsidR="00ED665B" w:rsidRPr="00907702" w:rsidRDefault="006C7D2F" w:rsidP="004C1698">
      <w:pPr>
        <w:numPr>
          <w:ilvl w:val="0"/>
          <w:numId w:val="2"/>
        </w:numPr>
        <w:tabs>
          <w:tab w:val="left" w:pos="240"/>
        </w:tabs>
        <w:jc w:val="both"/>
        <w:rPr>
          <w:rFonts w:ascii="Calibri" w:hAnsi="Calibri" w:cs="Calibri"/>
          <w:color w:val="009649"/>
          <w:sz w:val="22"/>
          <w:szCs w:val="22"/>
        </w:rPr>
      </w:pPr>
      <w:r>
        <w:rPr>
          <w:rFonts w:ascii="Calibri" w:hAnsi="Calibri"/>
          <w:color w:val="000000"/>
          <w:sz w:val="22"/>
        </w:rPr>
        <w:t>ТБ відсутній: Відсутні позитивні та є принаймні один негативний результат посівів.</w:t>
      </w:r>
    </w:p>
    <w:p w:rsidR="00ED665B" w:rsidRPr="00907702" w:rsidRDefault="006C7D2F" w:rsidP="00DC2656">
      <w:pPr>
        <w:spacing w:before="182"/>
        <w:jc w:val="both"/>
        <w:rPr>
          <w:rFonts w:ascii="Calibri" w:hAnsi="Calibri" w:cs="Calibri"/>
        </w:rPr>
      </w:pPr>
      <w:r>
        <w:rPr>
          <w:rFonts w:ascii="Calibri" w:hAnsi="Calibri"/>
          <w:color w:val="000000"/>
          <w:sz w:val="22"/>
        </w:rPr>
        <w:t>В усіх трьох стандартах очікується компроміс між результатом підтвердженого діагнозу ТБ (найвищий – за Стандартом 1 та найнижчий – за Стандартом 3) та кількістю досліджень або учасників, що брали участь в аналізі (найнижчий – за Стандартом 1 та найвищий – за Стандартом 3). Таким чином, використовуючи Стандарт 1, можливість отримання хибнонегативних результатів індексного тестування є найвищою, а для хибнопозитивних результатів індексного тестування – найнижчою. Також, використовуючи Стандарт 1, очікується, що кількість врахованих досліджень та учасників, які брали участь у дослідженні, буде найменшою, оскільки вона виключає дослідження, які проводилися лише на одному посіві, та учасників дослідження, для яких був доступний лише один негативний результат посіву через зараження посіву; і навпаки, використовуючи Стандарт 3, кількість досліджень та учасників дослідження є найвищою.</w:t>
      </w:r>
    </w:p>
    <w:p w:rsidR="00ED665B" w:rsidRPr="00907702" w:rsidRDefault="006C7D2F" w:rsidP="00DC2656">
      <w:pPr>
        <w:spacing w:before="168"/>
        <w:jc w:val="both"/>
        <w:rPr>
          <w:rFonts w:ascii="Calibri" w:hAnsi="Calibri" w:cs="Calibri"/>
        </w:rPr>
      </w:pPr>
      <w:r>
        <w:rPr>
          <w:rFonts w:ascii="Calibri" w:hAnsi="Calibri"/>
          <w:sz w:val="22"/>
        </w:rPr>
        <w:t>З 4760 дорослих, які відповідають критеріям відбору для включення до аналізу, 1810 учасників (38%) у семи дослідженнях отримали статус «Стандарт 1», 3110 учасників (65%) у 10 дослідженнях отримали статус «Стандарт 2», та 4596 учасників (97%) у 13 – отримали статус «Стандарт 3» (</w:t>
      </w:r>
      <w:r w:rsidRPr="004C1698">
        <w:rPr>
          <w:rFonts w:ascii="Calibri" w:hAnsi="Calibri"/>
          <w:color w:val="0070C0"/>
          <w:sz w:val="22"/>
        </w:rPr>
        <w:t>Табл. 2.2.1</w:t>
      </w:r>
      <w:r>
        <w:rPr>
          <w:rFonts w:ascii="Calibri" w:hAnsi="Calibri"/>
          <w:sz w:val="22"/>
        </w:rPr>
        <w:t>).</w:t>
      </w:r>
    </w:p>
    <w:p w:rsidR="00ED665B" w:rsidRPr="00907702" w:rsidRDefault="006C7D2F" w:rsidP="004C1698">
      <w:pPr>
        <w:spacing w:before="163"/>
        <w:jc w:val="both"/>
        <w:rPr>
          <w:rFonts w:ascii="Calibri" w:hAnsi="Calibri" w:cs="Calibri"/>
        </w:rPr>
      </w:pPr>
      <w:r>
        <w:rPr>
          <w:rFonts w:ascii="Calibri" w:hAnsi="Calibri"/>
          <w:color w:val="000000"/>
          <w:sz w:val="22"/>
        </w:rPr>
        <w:t>Ефективність тесту була розрахована за допомогою трьох різних референс стандартів для наступних сценаріїв:</w:t>
      </w:r>
    </w:p>
    <w:p w:rsidR="00ED665B" w:rsidRPr="00907702" w:rsidRDefault="006C7D2F" w:rsidP="004C1698">
      <w:pPr>
        <w:numPr>
          <w:ilvl w:val="0"/>
          <w:numId w:val="16"/>
        </w:numPr>
        <w:tabs>
          <w:tab w:val="left" w:pos="283"/>
        </w:tabs>
        <w:spacing w:before="120"/>
        <w:jc w:val="both"/>
        <w:rPr>
          <w:rFonts w:ascii="Calibri" w:hAnsi="Calibri" w:cs="Calibri"/>
          <w:color w:val="000000"/>
          <w:sz w:val="22"/>
          <w:szCs w:val="22"/>
        </w:rPr>
      </w:pPr>
      <w:r>
        <w:rPr>
          <w:rFonts w:ascii="Calibri" w:hAnsi="Calibri"/>
          <w:color w:val="000000"/>
          <w:sz w:val="22"/>
        </w:rPr>
        <w:t>TB-LAMP в якості замісного тесту для проведення мікроскопії мазка мокротиння;</w:t>
      </w:r>
    </w:p>
    <w:p w:rsidR="00ED665B" w:rsidRPr="00907702" w:rsidRDefault="006C7D2F" w:rsidP="004C1698">
      <w:pPr>
        <w:numPr>
          <w:ilvl w:val="0"/>
          <w:numId w:val="16"/>
        </w:numPr>
        <w:tabs>
          <w:tab w:val="left" w:pos="283"/>
        </w:tabs>
        <w:spacing w:before="120"/>
        <w:jc w:val="both"/>
        <w:rPr>
          <w:rFonts w:ascii="Calibri" w:hAnsi="Calibri" w:cs="Calibri"/>
          <w:color w:val="000000"/>
          <w:sz w:val="22"/>
          <w:szCs w:val="22"/>
        </w:rPr>
      </w:pPr>
      <w:r>
        <w:rPr>
          <w:rFonts w:ascii="Calibri" w:hAnsi="Calibri"/>
          <w:color w:val="000000"/>
          <w:sz w:val="22"/>
        </w:rPr>
        <w:t>TB-LAMP в якості замісного тесту для проведення мікроскопії мазка мокротиння серед ЛЖВ;</w:t>
      </w:r>
    </w:p>
    <w:p w:rsidR="00ED665B" w:rsidRPr="00907702" w:rsidRDefault="006C7D2F" w:rsidP="007B12F0">
      <w:pPr>
        <w:numPr>
          <w:ilvl w:val="0"/>
          <w:numId w:val="16"/>
        </w:numPr>
        <w:tabs>
          <w:tab w:val="left" w:pos="709"/>
        </w:tabs>
        <w:spacing w:before="120"/>
        <w:ind w:left="284" w:hanging="284"/>
        <w:jc w:val="both"/>
        <w:rPr>
          <w:rFonts w:ascii="Calibri" w:hAnsi="Calibri" w:cs="Calibri"/>
          <w:color w:val="000000"/>
          <w:sz w:val="22"/>
          <w:szCs w:val="22"/>
        </w:rPr>
      </w:pPr>
      <w:r>
        <w:rPr>
          <w:rFonts w:ascii="Calibri" w:hAnsi="Calibri"/>
          <w:color w:val="000000"/>
          <w:sz w:val="22"/>
        </w:rPr>
        <w:t>TB-LAMP в якості додаткового тесту для проведення мікроскопії мазка мокротиння в осіб з негативним результатом; та</w:t>
      </w:r>
    </w:p>
    <w:p w:rsidR="00ED665B" w:rsidRPr="00907702" w:rsidRDefault="006C7D2F" w:rsidP="004C1698">
      <w:pPr>
        <w:numPr>
          <w:ilvl w:val="0"/>
          <w:numId w:val="16"/>
        </w:numPr>
        <w:tabs>
          <w:tab w:val="left" w:pos="283"/>
        </w:tabs>
        <w:spacing w:before="120"/>
        <w:jc w:val="both"/>
        <w:rPr>
          <w:rFonts w:ascii="Calibri" w:hAnsi="Calibri" w:cs="Calibri"/>
          <w:color w:val="000000"/>
          <w:sz w:val="22"/>
          <w:szCs w:val="22"/>
        </w:rPr>
      </w:pPr>
      <w:r>
        <w:rPr>
          <w:rFonts w:ascii="Calibri" w:hAnsi="Calibri"/>
          <w:color w:val="000000"/>
          <w:sz w:val="22"/>
        </w:rPr>
        <w:t>TB-LAMP при рівних умовах порівняння з Xpert MTB/RIF.</w:t>
      </w:r>
    </w:p>
    <w:p w:rsidR="00ED665B" w:rsidRPr="00907702" w:rsidRDefault="00ED665B" w:rsidP="00DC2656">
      <w:pPr>
        <w:numPr>
          <w:ilvl w:val="0"/>
          <w:numId w:val="16"/>
        </w:numPr>
        <w:tabs>
          <w:tab w:val="left" w:pos="283"/>
        </w:tabs>
        <w:rPr>
          <w:rFonts w:ascii="Calibri" w:hAnsi="Calibri" w:cs="Calibri"/>
          <w:color w:val="000000"/>
          <w:sz w:val="22"/>
          <w:szCs w:val="22"/>
        </w:rPr>
        <w:sectPr w:rsidR="00ED665B" w:rsidRPr="00907702">
          <w:pgSz w:w="11904" w:h="16838"/>
          <w:pgMar w:top="1334" w:right="1416" w:bottom="3576" w:left="1416" w:header="720" w:footer="720" w:gutter="0"/>
          <w:cols w:space="60"/>
          <w:noEndnote/>
        </w:sectPr>
      </w:pPr>
    </w:p>
    <w:tbl>
      <w:tblPr>
        <w:tblW w:w="9101" w:type="dxa"/>
        <w:tblInd w:w="40" w:type="dxa"/>
        <w:tblLayout w:type="fixed"/>
        <w:tblCellMar>
          <w:left w:w="40" w:type="dxa"/>
          <w:right w:w="40" w:type="dxa"/>
        </w:tblCellMar>
        <w:tblLook w:val="0000" w:firstRow="0" w:lastRow="0" w:firstColumn="0" w:lastColumn="0" w:noHBand="0" w:noVBand="0"/>
      </w:tblPr>
      <w:tblGrid>
        <w:gridCol w:w="1896"/>
        <w:gridCol w:w="2400"/>
        <w:gridCol w:w="2400"/>
        <w:gridCol w:w="2405"/>
      </w:tblGrid>
      <w:tr w:rsidR="00ED665B" w:rsidRPr="008821D9" w:rsidTr="008821D9">
        <w:trPr>
          <w:trHeight w:hRule="exact" w:val="758"/>
        </w:trPr>
        <w:tc>
          <w:tcPr>
            <w:tcW w:w="9101" w:type="dxa"/>
            <w:gridSpan w:val="4"/>
            <w:tcBorders>
              <w:top w:val="nil"/>
              <w:left w:val="nil"/>
              <w:bottom w:val="single" w:sz="8" w:space="0" w:color="009649"/>
              <w:right w:val="nil"/>
            </w:tcBorders>
            <w:shd w:val="clear" w:color="auto" w:fill="FFFFFF"/>
          </w:tcPr>
          <w:p w:rsidR="00ED665B" w:rsidRPr="008821D9" w:rsidRDefault="006C7D2F" w:rsidP="004C1698">
            <w:pPr>
              <w:spacing w:line="216" w:lineRule="auto"/>
              <w:ind w:right="48"/>
              <w:jc w:val="both"/>
              <w:rPr>
                <w:rFonts w:ascii="Calibri" w:hAnsi="Calibri" w:cs="Calibri"/>
                <w:b/>
                <w:bCs/>
              </w:rPr>
            </w:pPr>
            <w:bookmarkStart w:id="15" w:name="bookmark17"/>
            <w:r>
              <w:rPr>
                <w:rFonts w:ascii="Calibri" w:hAnsi="Calibri"/>
                <w:b/>
                <w:color w:val="636466"/>
                <w:sz w:val="24"/>
              </w:rPr>
              <w:lastRenderedPageBreak/>
              <w:t>Т</w:t>
            </w:r>
            <w:bookmarkEnd w:id="15"/>
            <w:r>
              <w:rPr>
                <w:rFonts w:ascii="Calibri" w:hAnsi="Calibri"/>
                <w:b/>
                <w:color w:val="636466"/>
                <w:sz w:val="24"/>
              </w:rPr>
              <w:t>аблиця 2.2.1. TB-LAMP в якості замісного тесту для проведення мікроскопії мазка: оцінки об’єднаної чутливості та специфічності</w:t>
            </w:r>
          </w:p>
        </w:tc>
      </w:tr>
      <w:tr w:rsidR="00ED665B" w:rsidRPr="00907702" w:rsidTr="004C1698">
        <w:trPr>
          <w:trHeight w:val="454"/>
        </w:trPr>
        <w:tc>
          <w:tcPr>
            <w:tcW w:w="189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907702" w:rsidRDefault="00ED665B" w:rsidP="004C1698">
            <w:pPr>
              <w:spacing w:line="216" w:lineRule="auto"/>
              <w:jc w:val="center"/>
              <w:rPr>
                <w:rFonts w:ascii="Calibri" w:hAnsi="Calibri" w:cs="Calibri"/>
              </w:rPr>
            </w:pPr>
          </w:p>
        </w:tc>
        <w:tc>
          <w:tcPr>
            <w:tcW w:w="240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7B12F0" w:rsidRDefault="006C7D2F" w:rsidP="004C1698">
            <w:pPr>
              <w:spacing w:line="216" w:lineRule="auto"/>
              <w:jc w:val="center"/>
              <w:rPr>
                <w:rFonts w:ascii="Calibri" w:hAnsi="Calibri" w:cs="Calibri"/>
                <w:b/>
              </w:rPr>
            </w:pPr>
            <w:r w:rsidRPr="007B12F0">
              <w:rPr>
                <w:rFonts w:ascii="Calibri" w:hAnsi="Calibri"/>
                <w:b/>
                <w:color w:val="000000"/>
                <w:sz w:val="22"/>
              </w:rPr>
              <w:t>Референс стандарт</w:t>
            </w:r>
            <w:r w:rsidRPr="007B12F0">
              <w:rPr>
                <w:rFonts w:ascii="Calibri" w:hAnsi="Calibri"/>
                <w:b/>
                <w:color w:val="000000"/>
                <w:sz w:val="22"/>
                <w:vertAlign w:val="superscript"/>
              </w:rPr>
              <w:t>a</w:t>
            </w:r>
          </w:p>
        </w:tc>
        <w:tc>
          <w:tcPr>
            <w:tcW w:w="240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7B12F0" w:rsidRDefault="006C7D2F" w:rsidP="004C1698">
            <w:pPr>
              <w:spacing w:line="216" w:lineRule="auto"/>
              <w:jc w:val="center"/>
              <w:rPr>
                <w:rFonts w:ascii="Calibri" w:hAnsi="Calibri" w:cs="Calibri"/>
                <w:b/>
              </w:rPr>
            </w:pPr>
            <w:r w:rsidRPr="007B12F0">
              <w:rPr>
                <w:rFonts w:ascii="Calibri" w:hAnsi="Calibri"/>
                <w:b/>
                <w:color w:val="000000"/>
                <w:sz w:val="22"/>
              </w:rPr>
              <w:t>Об’єднана чутливість</w:t>
            </w:r>
            <w:r w:rsidRPr="007B12F0">
              <w:rPr>
                <w:rFonts w:ascii="Calibri" w:hAnsi="Calibri"/>
                <w:b/>
                <w:color w:val="000000"/>
                <w:sz w:val="22"/>
                <w:vertAlign w:val="superscript"/>
              </w:rPr>
              <w:t>б</w:t>
            </w:r>
          </w:p>
        </w:tc>
        <w:tc>
          <w:tcPr>
            <w:tcW w:w="240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7B12F0" w:rsidRDefault="006C7D2F" w:rsidP="004C1698">
            <w:pPr>
              <w:spacing w:line="216" w:lineRule="auto"/>
              <w:jc w:val="center"/>
              <w:rPr>
                <w:rFonts w:ascii="Calibri" w:hAnsi="Calibri" w:cs="Calibri"/>
                <w:b/>
              </w:rPr>
            </w:pPr>
            <w:r w:rsidRPr="007B12F0">
              <w:rPr>
                <w:rFonts w:ascii="Calibri" w:hAnsi="Calibri"/>
                <w:b/>
                <w:color w:val="000000"/>
                <w:sz w:val="22"/>
              </w:rPr>
              <w:t>Об’єднана специфічність</w:t>
            </w:r>
            <w:r w:rsidRPr="007B12F0">
              <w:rPr>
                <w:rFonts w:ascii="Calibri" w:hAnsi="Calibri"/>
                <w:b/>
                <w:color w:val="000000"/>
                <w:sz w:val="22"/>
                <w:vertAlign w:val="superscript"/>
              </w:rPr>
              <w:t>б</w:t>
            </w:r>
          </w:p>
        </w:tc>
      </w:tr>
      <w:tr w:rsidR="004C1698" w:rsidRPr="00907702" w:rsidTr="004C1698">
        <w:trPr>
          <w:trHeight w:val="454"/>
        </w:trPr>
        <w:tc>
          <w:tcPr>
            <w:tcW w:w="1896" w:type="dxa"/>
            <w:vMerge w:val="restart"/>
            <w:tcBorders>
              <w:top w:val="single" w:sz="8" w:space="0" w:color="009649"/>
            </w:tcBorders>
            <w:shd w:val="clear" w:color="auto" w:fill="FFFFFF"/>
            <w:vAlign w:val="center"/>
          </w:tcPr>
          <w:p w:rsidR="004C1698" w:rsidRPr="007B12F0" w:rsidRDefault="004C1698" w:rsidP="007B12F0">
            <w:pPr>
              <w:spacing w:line="216" w:lineRule="auto"/>
              <w:ind w:left="58"/>
              <w:rPr>
                <w:rFonts w:ascii="Calibri" w:hAnsi="Calibri" w:cs="Calibri"/>
                <w:b/>
              </w:rPr>
            </w:pPr>
            <w:r w:rsidRPr="007B12F0">
              <w:rPr>
                <w:rFonts w:ascii="Calibri" w:hAnsi="Calibri"/>
                <w:b/>
                <w:color w:val="000000"/>
                <w:sz w:val="22"/>
              </w:rPr>
              <w:t>Заміна мікроскопії мазка мокротиння</w:t>
            </w: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sz w:val="22"/>
              </w:rPr>
              <w:t>Стандарт 1</w:t>
            </w: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77,7 (71,2-83,0)</w:t>
            </w:r>
          </w:p>
        </w:tc>
        <w:tc>
          <w:tcPr>
            <w:tcW w:w="2405"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98,1 (95,7-99,2)</w:t>
            </w:r>
          </w:p>
        </w:tc>
      </w:tr>
      <w:tr w:rsidR="004C1698" w:rsidRPr="00907702" w:rsidTr="004C1698">
        <w:trPr>
          <w:trHeight w:val="454"/>
        </w:trPr>
        <w:tc>
          <w:tcPr>
            <w:tcW w:w="1896" w:type="dxa"/>
            <w:vMerge/>
            <w:shd w:val="clear" w:color="auto" w:fill="FFFFFF"/>
            <w:vAlign w:val="center"/>
          </w:tcPr>
          <w:p w:rsidR="004C1698" w:rsidRPr="007B12F0" w:rsidRDefault="004C1698" w:rsidP="007B12F0">
            <w:pPr>
              <w:spacing w:line="216" w:lineRule="auto"/>
              <w:ind w:left="58"/>
              <w:rPr>
                <w:rFonts w:ascii="Calibri" w:hAnsi="Calibri" w:cs="Calibri"/>
                <w:b/>
              </w:rPr>
            </w:pPr>
          </w:p>
        </w:tc>
        <w:tc>
          <w:tcPr>
            <w:tcW w:w="2400" w:type="dxa"/>
            <w:tcBorders>
              <w:top w:val="single" w:sz="8" w:space="0" w:color="009649"/>
              <w:left w:val="nil"/>
              <w:bottom w:val="single" w:sz="8" w:space="0" w:color="009649"/>
            </w:tcBorders>
            <w:shd w:val="clear" w:color="auto" w:fill="C6E0CE"/>
            <w:vAlign w:val="center"/>
          </w:tcPr>
          <w:p w:rsidR="004C1698" w:rsidRPr="00907702" w:rsidRDefault="004C1698" w:rsidP="004C1698">
            <w:pPr>
              <w:spacing w:line="216" w:lineRule="auto"/>
              <w:jc w:val="center"/>
              <w:rPr>
                <w:rFonts w:ascii="Calibri" w:hAnsi="Calibri" w:cs="Calibri"/>
              </w:rPr>
            </w:pPr>
            <w:r>
              <w:rPr>
                <w:rFonts w:ascii="Calibri" w:hAnsi="Calibri"/>
                <w:color w:val="000000"/>
                <w:sz w:val="22"/>
              </w:rPr>
              <w:t>Стандарт 2</w:t>
            </w:r>
          </w:p>
        </w:tc>
        <w:tc>
          <w:tcPr>
            <w:tcW w:w="2400" w:type="dxa"/>
            <w:tcBorders>
              <w:top w:val="single" w:sz="8" w:space="0" w:color="009649"/>
              <w:left w:val="nil"/>
              <w:bottom w:val="single" w:sz="8" w:space="0" w:color="009649"/>
            </w:tcBorders>
            <w:shd w:val="clear" w:color="auto" w:fill="C6E0CE"/>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76,0 (69,9-81,2)</w:t>
            </w:r>
          </w:p>
        </w:tc>
        <w:tc>
          <w:tcPr>
            <w:tcW w:w="2405" w:type="dxa"/>
            <w:tcBorders>
              <w:top w:val="single" w:sz="8" w:space="0" w:color="009649"/>
              <w:left w:val="nil"/>
              <w:bottom w:val="single" w:sz="8" w:space="0" w:color="009649"/>
            </w:tcBorders>
            <w:shd w:val="clear" w:color="auto" w:fill="C6E0CE"/>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98,0 (96,0-99,0)</w:t>
            </w:r>
          </w:p>
        </w:tc>
      </w:tr>
      <w:tr w:rsidR="004C1698" w:rsidRPr="00907702" w:rsidTr="004C1698">
        <w:trPr>
          <w:trHeight w:val="454"/>
        </w:trPr>
        <w:tc>
          <w:tcPr>
            <w:tcW w:w="1896" w:type="dxa"/>
            <w:vMerge/>
            <w:tcBorders>
              <w:bottom w:val="single" w:sz="8" w:space="0" w:color="009649"/>
            </w:tcBorders>
            <w:shd w:val="clear" w:color="auto" w:fill="FFFFFF"/>
            <w:vAlign w:val="center"/>
          </w:tcPr>
          <w:p w:rsidR="004C1698" w:rsidRPr="007B12F0" w:rsidRDefault="004C1698" w:rsidP="007B12F0">
            <w:pPr>
              <w:spacing w:line="216" w:lineRule="auto"/>
              <w:ind w:left="58"/>
              <w:rPr>
                <w:rFonts w:ascii="Calibri" w:hAnsi="Calibri" w:cs="Calibri"/>
                <w:b/>
              </w:rPr>
            </w:pP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sz w:val="22"/>
              </w:rPr>
              <w:t>Стандарт 3</w:t>
            </w: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80,3 (70,3-87,5)</w:t>
            </w:r>
          </w:p>
        </w:tc>
        <w:tc>
          <w:tcPr>
            <w:tcW w:w="2405"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97,7 (96,1-98,7)</w:t>
            </w:r>
          </w:p>
        </w:tc>
      </w:tr>
      <w:tr w:rsidR="004C1698" w:rsidRPr="00907702" w:rsidTr="004C1698">
        <w:trPr>
          <w:trHeight w:val="454"/>
        </w:trPr>
        <w:tc>
          <w:tcPr>
            <w:tcW w:w="1896" w:type="dxa"/>
            <w:vMerge w:val="restart"/>
            <w:tcBorders>
              <w:top w:val="single" w:sz="8" w:space="0" w:color="009649"/>
            </w:tcBorders>
            <w:shd w:val="clear" w:color="auto" w:fill="FFFFFF"/>
            <w:vAlign w:val="center"/>
          </w:tcPr>
          <w:p w:rsidR="004C1698" w:rsidRPr="007B12F0" w:rsidRDefault="004C1698" w:rsidP="007B12F0">
            <w:pPr>
              <w:spacing w:line="216" w:lineRule="auto"/>
              <w:ind w:left="58"/>
              <w:rPr>
                <w:rFonts w:ascii="Calibri" w:hAnsi="Calibri" w:cs="Calibri"/>
                <w:b/>
              </w:rPr>
            </w:pPr>
            <w:r w:rsidRPr="007B12F0">
              <w:rPr>
                <w:rFonts w:ascii="Calibri" w:hAnsi="Calibri"/>
                <w:b/>
                <w:color w:val="000000"/>
                <w:sz w:val="22"/>
              </w:rPr>
              <w:t>Заміна мікроскопії мазка для ЛЖВ</w:t>
            </w: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sz w:val="22"/>
              </w:rPr>
              <w:t>Стандарт 1</w:t>
            </w: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н/з</w:t>
            </w:r>
          </w:p>
        </w:tc>
        <w:tc>
          <w:tcPr>
            <w:tcW w:w="2405"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н/з</w:t>
            </w:r>
          </w:p>
        </w:tc>
      </w:tr>
      <w:tr w:rsidR="004C1698" w:rsidRPr="00907702" w:rsidTr="004C1698">
        <w:trPr>
          <w:trHeight w:val="454"/>
        </w:trPr>
        <w:tc>
          <w:tcPr>
            <w:tcW w:w="1896" w:type="dxa"/>
            <w:vMerge/>
            <w:shd w:val="clear" w:color="auto" w:fill="FFFFFF"/>
            <w:vAlign w:val="center"/>
          </w:tcPr>
          <w:p w:rsidR="004C1698" w:rsidRPr="007B12F0" w:rsidRDefault="004C1698" w:rsidP="007B12F0">
            <w:pPr>
              <w:spacing w:line="216" w:lineRule="auto"/>
              <w:ind w:left="58"/>
              <w:rPr>
                <w:rFonts w:ascii="Calibri" w:hAnsi="Calibri" w:cs="Calibri"/>
                <w:b/>
              </w:rPr>
            </w:pPr>
          </w:p>
        </w:tc>
        <w:tc>
          <w:tcPr>
            <w:tcW w:w="2400" w:type="dxa"/>
            <w:tcBorders>
              <w:top w:val="single" w:sz="8" w:space="0" w:color="009649"/>
              <w:left w:val="nil"/>
              <w:bottom w:val="single" w:sz="8" w:space="0" w:color="009649"/>
            </w:tcBorders>
            <w:shd w:val="clear" w:color="auto" w:fill="C6E0CE"/>
            <w:vAlign w:val="center"/>
          </w:tcPr>
          <w:p w:rsidR="004C1698" w:rsidRPr="00907702" w:rsidRDefault="004C1698" w:rsidP="004C1698">
            <w:pPr>
              <w:spacing w:line="216" w:lineRule="auto"/>
              <w:jc w:val="center"/>
              <w:rPr>
                <w:rFonts w:ascii="Calibri" w:hAnsi="Calibri" w:cs="Calibri"/>
              </w:rPr>
            </w:pPr>
            <w:r>
              <w:rPr>
                <w:rFonts w:ascii="Calibri" w:hAnsi="Calibri"/>
                <w:color w:val="000000"/>
                <w:sz w:val="22"/>
              </w:rPr>
              <w:t>Стандарт 2</w:t>
            </w:r>
          </w:p>
        </w:tc>
        <w:tc>
          <w:tcPr>
            <w:tcW w:w="2400" w:type="dxa"/>
            <w:tcBorders>
              <w:top w:val="single" w:sz="8" w:space="0" w:color="009649"/>
              <w:left w:val="nil"/>
              <w:bottom w:val="single" w:sz="8" w:space="0" w:color="009649"/>
            </w:tcBorders>
            <w:shd w:val="clear" w:color="auto" w:fill="C6E0CE"/>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63,8 (49,0-76,4)</w:t>
            </w:r>
          </w:p>
        </w:tc>
        <w:tc>
          <w:tcPr>
            <w:tcW w:w="2405" w:type="dxa"/>
            <w:tcBorders>
              <w:top w:val="single" w:sz="8" w:space="0" w:color="009649"/>
              <w:left w:val="nil"/>
              <w:bottom w:val="single" w:sz="8" w:space="0" w:color="009649"/>
            </w:tcBorders>
            <w:shd w:val="clear" w:color="auto" w:fill="C6E0CE"/>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98,8 (85,1-99,9)</w:t>
            </w:r>
          </w:p>
        </w:tc>
      </w:tr>
      <w:tr w:rsidR="004C1698" w:rsidRPr="00907702" w:rsidTr="004C1698">
        <w:trPr>
          <w:trHeight w:val="454"/>
        </w:trPr>
        <w:tc>
          <w:tcPr>
            <w:tcW w:w="1896" w:type="dxa"/>
            <w:vMerge/>
            <w:tcBorders>
              <w:bottom w:val="single" w:sz="8" w:space="0" w:color="009649"/>
            </w:tcBorders>
            <w:shd w:val="clear" w:color="auto" w:fill="FFFFFF"/>
            <w:vAlign w:val="center"/>
          </w:tcPr>
          <w:p w:rsidR="004C1698" w:rsidRPr="007B12F0" w:rsidRDefault="004C1698" w:rsidP="007B12F0">
            <w:pPr>
              <w:spacing w:line="216" w:lineRule="auto"/>
              <w:ind w:left="58"/>
              <w:rPr>
                <w:rFonts w:ascii="Calibri" w:hAnsi="Calibri" w:cs="Calibri"/>
                <w:b/>
              </w:rPr>
            </w:pP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sz w:val="22"/>
              </w:rPr>
              <w:t>Стандарт 3</w:t>
            </w: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73,4 (51,9-87,6)</w:t>
            </w:r>
          </w:p>
        </w:tc>
        <w:tc>
          <w:tcPr>
            <w:tcW w:w="2405"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95,0 (64,0-99,5)</w:t>
            </w:r>
          </w:p>
        </w:tc>
      </w:tr>
      <w:tr w:rsidR="004C1698" w:rsidRPr="00907702" w:rsidTr="004C1698">
        <w:trPr>
          <w:trHeight w:val="454"/>
        </w:trPr>
        <w:tc>
          <w:tcPr>
            <w:tcW w:w="1896" w:type="dxa"/>
            <w:vMerge w:val="restart"/>
            <w:tcBorders>
              <w:top w:val="single" w:sz="8" w:space="0" w:color="009649"/>
            </w:tcBorders>
            <w:shd w:val="clear" w:color="auto" w:fill="FFFFFF"/>
            <w:vAlign w:val="center"/>
          </w:tcPr>
          <w:p w:rsidR="004C1698" w:rsidRPr="007B12F0" w:rsidRDefault="004C1698" w:rsidP="007B12F0">
            <w:pPr>
              <w:spacing w:line="216" w:lineRule="auto"/>
              <w:ind w:left="58"/>
              <w:rPr>
                <w:rFonts w:ascii="Calibri" w:hAnsi="Calibri" w:cs="Calibri"/>
                <w:b/>
              </w:rPr>
            </w:pPr>
            <w:r w:rsidRPr="007B12F0">
              <w:rPr>
                <w:rFonts w:ascii="Calibri" w:hAnsi="Calibri"/>
                <w:b/>
                <w:color w:val="000000"/>
                <w:sz w:val="22"/>
              </w:rPr>
              <w:t>Додатковий тест для мікроскопії мазка мокротиння в осіб з негативним результатом</w:t>
            </w: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sz w:val="22"/>
              </w:rPr>
              <w:t>Стандарт 1</w:t>
            </w: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42,1 (30,0-55,3)</w:t>
            </w:r>
          </w:p>
        </w:tc>
        <w:tc>
          <w:tcPr>
            <w:tcW w:w="2405"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98,4 (95,9-99,4)</w:t>
            </w:r>
          </w:p>
        </w:tc>
      </w:tr>
      <w:tr w:rsidR="004C1698" w:rsidRPr="00907702" w:rsidTr="004C1698">
        <w:trPr>
          <w:trHeight w:val="454"/>
        </w:trPr>
        <w:tc>
          <w:tcPr>
            <w:tcW w:w="1896" w:type="dxa"/>
            <w:vMerge/>
            <w:shd w:val="clear" w:color="auto" w:fill="FFFFFF"/>
            <w:vAlign w:val="center"/>
          </w:tcPr>
          <w:p w:rsidR="004C1698" w:rsidRPr="007B12F0" w:rsidRDefault="004C1698" w:rsidP="007B12F0">
            <w:pPr>
              <w:spacing w:line="216" w:lineRule="auto"/>
              <w:ind w:left="58"/>
              <w:rPr>
                <w:rFonts w:ascii="Calibri" w:hAnsi="Calibri" w:cs="Calibri"/>
                <w:b/>
              </w:rPr>
            </w:pPr>
          </w:p>
        </w:tc>
        <w:tc>
          <w:tcPr>
            <w:tcW w:w="2400" w:type="dxa"/>
            <w:tcBorders>
              <w:top w:val="single" w:sz="8" w:space="0" w:color="009649"/>
              <w:left w:val="nil"/>
              <w:bottom w:val="single" w:sz="8" w:space="0" w:color="009649"/>
            </w:tcBorders>
            <w:shd w:val="clear" w:color="auto" w:fill="C6E0CE"/>
            <w:vAlign w:val="center"/>
          </w:tcPr>
          <w:p w:rsidR="004C1698" w:rsidRPr="00907702" w:rsidRDefault="004C1698" w:rsidP="004C1698">
            <w:pPr>
              <w:spacing w:line="216" w:lineRule="auto"/>
              <w:jc w:val="center"/>
              <w:rPr>
                <w:rFonts w:ascii="Calibri" w:hAnsi="Calibri" w:cs="Calibri"/>
              </w:rPr>
            </w:pPr>
            <w:r>
              <w:rPr>
                <w:rFonts w:ascii="Calibri" w:hAnsi="Calibri"/>
                <w:color w:val="000000"/>
                <w:sz w:val="22"/>
              </w:rPr>
              <w:t>Стандарт 2</w:t>
            </w:r>
          </w:p>
        </w:tc>
        <w:tc>
          <w:tcPr>
            <w:tcW w:w="2400" w:type="dxa"/>
            <w:tcBorders>
              <w:top w:val="single" w:sz="8" w:space="0" w:color="009649"/>
              <w:left w:val="nil"/>
              <w:bottom w:val="single" w:sz="8" w:space="0" w:color="009649"/>
            </w:tcBorders>
            <w:shd w:val="clear" w:color="auto" w:fill="C6E0CE"/>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42,2 (27,9-57,9)</w:t>
            </w:r>
          </w:p>
        </w:tc>
        <w:tc>
          <w:tcPr>
            <w:tcW w:w="2405" w:type="dxa"/>
            <w:tcBorders>
              <w:top w:val="single" w:sz="8" w:space="0" w:color="009649"/>
              <w:left w:val="nil"/>
              <w:bottom w:val="single" w:sz="8" w:space="0" w:color="009649"/>
            </w:tcBorders>
            <w:shd w:val="clear" w:color="auto" w:fill="C6E0CE"/>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98,0 (96,0-99,0)</w:t>
            </w:r>
          </w:p>
        </w:tc>
      </w:tr>
      <w:tr w:rsidR="004C1698" w:rsidRPr="00907702" w:rsidTr="004C1698">
        <w:trPr>
          <w:trHeight w:val="454"/>
        </w:trPr>
        <w:tc>
          <w:tcPr>
            <w:tcW w:w="1896" w:type="dxa"/>
            <w:vMerge/>
            <w:tcBorders>
              <w:bottom w:val="single" w:sz="8" w:space="0" w:color="009649"/>
            </w:tcBorders>
            <w:shd w:val="clear" w:color="auto" w:fill="FFFFFF"/>
            <w:vAlign w:val="center"/>
          </w:tcPr>
          <w:p w:rsidR="004C1698" w:rsidRPr="007B12F0" w:rsidRDefault="004C1698" w:rsidP="007B12F0">
            <w:pPr>
              <w:spacing w:line="216" w:lineRule="auto"/>
              <w:ind w:left="58"/>
              <w:rPr>
                <w:rFonts w:ascii="Calibri" w:hAnsi="Calibri" w:cs="Calibri"/>
                <w:b/>
              </w:rPr>
            </w:pP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sz w:val="22"/>
              </w:rPr>
              <w:t>Стандарт 3</w:t>
            </w: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40,3 (27,9-54,0)</w:t>
            </w:r>
          </w:p>
        </w:tc>
        <w:tc>
          <w:tcPr>
            <w:tcW w:w="2405"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97,7 (96,1-98,6)</w:t>
            </w:r>
          </w:p>
        </w:tc>
      </w:tr>
      <w:tr w:rsidR="004C1698" w:rsidRPr="00907702" w:rsidTr="004C1698">
        <w:trPr>
          <w:trHeight w:val="454"/>
        </w:trPr>
        <w:tc>
          <w:tcPr>
            <w:tcW w:w="1896" w:type="dxa"/>
            <w:vMerge w:val="restart"/>
            <w:tcBorders>
              <w:top w:val="single" w:sz="8" w:space="0" w:color="009649"/>
            </w:tcBorders>
            <w:shd w:val="clear" w:color="auto" w:fill="FFFFFF"/>
            <w:vAlign w:val="center"/>
          </w:tcPr>
          <w:p w:rsidR="004C1698" w:rsidRPr="007B12F0" w:rsidRDefault="004C1698" w:rsidP="007B12F0">
            <w:pPr>
              <w:spacing w:line="216" w:lineRule="auto"/>
              <w:ind w:left="58"/>
              <w:rPr>
                <w:rFonts w:ascii="Calibri" w:hAnsi="Calibri" w:cs="Calibri"/>
                <w:b/>
              </w:rPr>
            </w:pPr>
            <w:r w:rsidRPr="007B12F0">
              <w:rPr>
                <w:rFonts w:ascii="Calibri" w:hAnsi="Calibri"/>
                <w:b/>
                <w:color w:val="000000"/>
                <w:sz w:val="22"/>
              </w:rPr>
              <w:t>Порівняно з Xpert MTB/RIF</w:t>
            </w: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sz w:val="22"/>
              </w:rPr>
              <w:t>Стандарт 1</w:t>
            </w: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81,1 (70,6-88,5)</w:t>
            </w:r>
          </w:p>
        </w:tc>
        <w:tc>
          <w:tcPr>
            <w:tcW w:w="2405"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98,2 (95,9-99,2)</w:t>
            </w:r>
          </w:p>
        </w:tc>
      </w:tr>
      <w:tr w:rsidR="004C1698" w:rsidRPr="00907702" w:rsidTr="004C1698">
        <w:trPr>
          <w:trHeight w:val="454"/>
        </w:trPr>
        <w:tc>
          <w:tcPr>
            <w:tcW w:w="1896" w:type="dxa"/>
            <w:vMerge/>
            <w:shd w:val="clear" w:color="auto" w:fill="FFFFFF"/>
            <w:vAlign w:val="center"/>
          </w:tcPr>
          <w:p w:rsidR="004C1698" w:rsidRPr="00907702" w:rsidRDefault="004C1698" w:rsidP="004C1698">
            <w:pPr>
              <w:spacing w:line="216" w:lineRule="auto"/>
              <w:jc w:val="center"/>
              <w:rPr>
                <w:rFonts w:ascii="Calibri" w:hAnsi="Calibri" w:cs="Calibri"/>
              </w:rPr>
            </w:pPr>
          </w:p>
        </w:tc>
        <w:tc>
          <w:tcPr>
            <w:tcW w:w="2400" w:type="dxa"/>
            <w:tcBorders>
              <w:top w:val="single" w:sz="8" w:space="0" w:color="009649"/>
              <w:left w:val="nil"/>
              <w:bottom w:val="single" w:sz="8" w:space="0" w:color="009649"/>
            </w:tcBorders>
            <w:shd w:val="clear" w:color="auto" w:fill="C6E0CE"/>
            <w:vAlign w:val="center"/>
          </w:tcPr>
          <w:p w:rsidR="004C1698" w:rsidRPr="00907702" w:rsidRDefault="004C1698" w:rsidP="004C1698">
            <w:pPr>
              <w:spacing w:line="216" w:lineRule="auto"/>
              <w:jc w:val="center"/>
              <w:rPr>
                <w:rFonts w:ascii="Calibri" w:hAnsi="Calibri" w:cs="Calibri"/>
              </w:rPr>
            </w:pPr>
            <w:r>
              <w:rPr>
                <w:rFonts w:ascii="Calibri" w:hAnsi="Calibri"/>
                <w:color w:val="000000"/>
                <w:sz w:val="22"/>
              </w:rPr>
              <w:t>Стандарт 2</w:t>
            </w:r>
          </w:p>
        </w:tc>
        <w:tc>
          <w:tcPr>
            <w:tcW w:w="2400" w:type="dxa"/>
            <w:tcBorders>
              <w:top w:val="single" w:sz="8" w:space="0" w:color="009649"/>
              <w:left w:val="nil"/>
              <w:bottom w:val="single" w:sz="8" w:space="0" w:color="009649"/>
            </w:tcBorders>
            <w:shd w:val="clear" w:color="auto" w:fill="C6E0CE"/>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80,4 (73,4-85,9)</w:t>
            </w:r>
          </w:p>
        </w:tc>
        <w:tc>
          <w:tcPr>
            <w:tcW w:w="2405" w:type="dxa"/>
            <w:tcBorders>
              <w:top w:val="single" w:sz="8" w:space="0" w:color="009649"/>
              <w:left w:val="nil"/>
              <w:bottom w:val="single" w:sz="8" w:space="0" w:color="009649"/>
            </w:tcBorders>
            <w:shd w:val="clear" w:color="auto" w:fill="C6E0CE"/>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97,4 (94,9-98,7)</w:t>
            </w:r>
          </w:p>
        </w:tc>
      </w:tr>
      <w:tr w:rsidR="004C1698" w:rsidRPr="00907702" w:rsidTr="004C1698">
        <w:trPr>
          <w:trHeight w:val="454"/>
        </w:trPr>
        <w:tc>
          <w:tcPr>
            <w:tcW w:w="1896" w:type="dxa"/>
            <w:vMerge/>
            <w:tcBorders>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sz w:val="22"/>
              </w:rPr>
              <w:t>Стандарт 3</w:t>
            </w:r>
          </w:p>
        </w:tc>
        <w:tc>
          <w:tcPr>
            <w:tcW w:w="2400"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84,0 (75,6-90,0)</w:t>
            </w:r>
          </w:p>
        </w:tc>
        <w:tc>
          <w:tcPr>
            <w:tcW w:w="2405" w:type="dxa"/>
            <w:tcBorders>
              <w:top w:val="single" w:sz="8" w:space="0" w:color="009649"/>
              <w:left w:val="nil"/>
              <w:bottom w:val="single" w:sz="8" w:space="0" w:color="009649"/>
            </w:tcBorders>
            <w:shd w:val="clear" w:color="auto" w:fill="FFFFFF"/>
            <w:vAlign w:val="center"/>
          </w:tcPr>
          <w:p w:rsidR="004C1698" w:rsidRPr="00907702" w:rsidRDefault="004C1698" w:rsidP="004C1698">
            <w:pPr>
              <w:spacing w:line="216" w:lineRule="auto"/>
              <w:jc w:val="center"/>
              <w:rPr>
                <w:rFonts w:ascii="Calibri" w:hAnsi="Calibri" w:cs="Calibri"/>
              </w:rPr>
            </w:pPr>
            <w:r>
              <w:rPr>
                <w:rFonts w:ascii="Calibri" w:hAnsi="Calibri"/>
                <w:color w:val="000000"/>
              </w:rPr>
              <w:t>97,2 (94,4-98,6)</w:t>
            </w:r>
          </w:p>
        </w:tc>
      </w:tr>
    </w:tbl>
    <w:p w:rsidR="008821D9" w:rsidRPr="008821D9" w:rsidRDefault="008821D9" w:rsidP="007B12F0">
      <w:pPr>
        <w:spacing w:before="120" w:line="216" w:lineRule="auto"/>
        <w:jc w:val="distribute"/>
        <w:rPr>
          <w:rFonts w:ascii="Calibri" w:hAnsi="Calibri" w:cs="Calibri"/>
          <w:color w:val="000000"/>
          <w:sz w:val="16"/>
          <w:szCs w:val="16"/>
        </w:rPr>
      </w:pPr>
      <w:r>
        <w:rPr>
          <w:rFonts w:ascii="Calibri" w:hAnsi="Calibri"/>
          <w:color w:val="000000"/>
          <w:sz w:val="16"/>
        </w:rPr>
        <w:t>LAMP: петльова ізотермічна ампліфікація; н/з: не застосовується; ЛЖВ: люди, які живуть з вірусом імунодефіциту людини;</w:t>
      </w:r>
    </w:p>
    <w:p w:rsidR="008821D9" w:rsidRPr="008821D9" w:rsidRDefault="008821D9" w:rsidP="004C1698">
      <w:pPr>
        <w:spacing w:line="216" w:lineRule="auto"/>
        <w:jc w:val="both"/>
        <w:rPr>
          <w:rFonts w:ascii="Calibri" w:hAnsi="Calibri" w:cs="Calibri"/>
          <w:color w:val="000000"/>
          <w:sz w:val="16"/>
          <w:szCs w:val="16"/>
        </w:rPr>
      </w:pPr>
      <w:r>
        <w:rPr>
          <w:rFonts w:ascii="Calibri" w:hAnsi="Calibri"/>
          <w:color w:val="000000"/>
          <w:sz w:val="16"/>
        </w:rPr>
        <w:t>SSM: мікроскопія мазка мокротиння; ТБ: туберкульоз.</w:t>
      </w:r>
    </w:p>
    <w:p w:rsidR="008821D9" w:rsidRPr="008821D9" w:rsidRDefault="007B12F0" w:rsidP="004C1698">
      <w:pPr>
        <w:spacing w:line="216" w:lineRule="auto"/>
        <w:ind w:left="142" w:hanging="142"/>
        <w:jc w:val="both"/>
        <w:rPr>
          <w:rFonts w:ascii="Calibri" w:hAnsi="Calibri" w:cs="Calibri"/>
          <w:color w:val="000000"/>
          <w:sz w:val="16"/>
          <w:szCs w:val="16"/>
        </w:rPr>
      </w:pPr>
      <w:r w:rsidRPr="007B12F0">
        <w:rPr>
          <w:rFonts w:ascii="Calibri" w:hAnsi="Calibri"/>
          <w:color w:val="000000"/>
          <w:sz w:val="16"/>
          <w:vertAlign w:val="superscript"/>
          <w:lang w:val="en-US"/>
        </w:rPr>
        <w:t>a</w:t>
      </w:r>
      <w:r w:rsidR="008821D9">
        <w:rPr>
          <w:rFonts w:ascii="Calibri" w:hAnsi="Calibri"/>
          <w:color w:val="000000"/>
          <w:sz w:val="16"/>
        </w:rPr>
        <w:tab/>
        <w:t xml:space="preserve"> Всі референс стандарти класифікують хворих на ТБ наступним чином: якщо у ≥1 позитивному результаті посіву було підтверджено </w:t>
      </w:r>
      <w:r w:rsidR="00BE6F5B" w:rsidRPr="00BE6F5B">
        <w:rPr>
          <w:rFonts w:ascii="Calibri" w:hAnsi="Calibri"/>
          <w:i/>
          <w:color w:val="000000"/>
          <w:sz w:val="16"/>
        </w:rPr>
        <w:t>M. tuberculosis</w:t>
      </w:r>
      <w:r w:rsidR="008821D9">
        <w:rPr>
          <w:rFonts w:ascii="Calibri" w:hAnsi="Calibri"/>
          <w:color w:val="000000"/>
          <w:sz w:val="16"/>
        </w:rPr>
        <w:t xml:space="preserve"> методом тестування.</w:t>
      </w:r>
    </w:p>
    <w:p w:rsidR="008821D9" w:rsidRPr="008821D9" w:rsidRDefault="008821D9" w:rsidP="004C1698">
      <w:pPr>
        <w:spacing w:line="216" w:lineRule="auto"/>
        <w:ind w:left="142"/>
        <w:jc w:val="both"/>
        <w:rPr>
          <w:rFonts w:ascii="Calibri" w:hAnsi="Calibri" w:cs="Calibri"/>
          <w:color w:val="000000"/>
          <w:sz w:val="16"/>
          <w:szCs w:val="16"/>
        </w:rPr>
      </w:pPr>
      <w:r>
        <w:rPr>
          <w:rFonts w:ascii="Calibri" w:hAnsi="Calibri"/>
          <w:color w:val="000000"/>
          <w:sz w:val="16"/>
        </w:rPr>
        <w:t>Щоб віднести пацієнта до осіб без підтвердженого захворювання на туберкульоз, у нього не повинно бути позитивних та (i) принаймні двох негативних результатів посівів на двох різних зразках мокротиння (Стандарт 1), (ii) щонайменше двох негативних результатів посівів на одних і тих же зразках мокротиння (Стандарт 2) або (iii) принаймні один негативний результат посіву (Стандарт 3).</w:t>
      </w:r>
    </w:p>
    <w:p w:rsidR="008821D9" w:rsidRPr="008821D9" w:rsidRDefault="007B12F0" w:rsidP="004C1698">
      <w:pPr>
        <w:spacing w:line="216" w:lineRule="auto"/>
        <w:ind w:left="142" w:hanging="142"/>
        <w:jc w:val="both"/>
        <w:rPr>
          <w:rFonts w:ascii="Calibri" w:hAnsi="Calibri" w:cs="Calibri"/>
          <w:color w:val="000000"/>
          <w:sz w:val="16"/>
          <w:szCs w:val="16"/>
        </w:rPr>
      </w:pPr>
      <w:r w:rsidRPr="007B12F0">
        <w:rPr>
          <w:rFonts w:ascii="Calibri" w:hAnsi="Calibri"/>
          <w:color w:val="000000"/>
          <w:sz w:val="16"/>
          <w:vertAlign w:val="superscript"/>
        </w:rPr>
        <w:t>б</w:t>
      </w:r>
      <w:r w:rsidR="008821D9">
        <w:rPr>
          <w:rFonts w:ascii="Calibri" w:hAnsi="Calibri"/>
          <w:color w:val="000000"/>
          <w:sz w:val="16"/>
        </w:rPr>
        <w:tab/>
        <w:t xml:space="preserve"> Значення – це відсотки (95% довірчі інтервали).</w:t>
      </w:r>
    </w:p>
    <w:p w:rsidR="008821D9" w:rsidRPr="008821D9" w:rsidRDefault="008821D9" w:rsidP="004C1698">
      <w:pPr>
        <w:spacing w:before="120" w:line="216" w:lineRule="auto"/>
        <w:jc w:val="both"/>
        <w:rPr>
          <w:rFonts w:ascii="Calibri" w:hAnsi="Calibri" w:cs="Calibri"/>
          <w:color w:val="000000"/>
          <w:sz w:val="22"/>
          <w:szCs w:val="22"/>
        </w:rPr>
      </w:pPr>
      <w:r>
        <w:rPr>
          <w:rFonts w:ascii="Calibri" w:hAnsi="Calibri"/>
          <w:color w:val="000000"/>
          <w:sz w:val="22"/>
        </w:rPr>
        <w:t xml:space="preserve">Деталі досліджень, включених до поточного аналізу, наведені у </w:t>
      </w:r>
      <w:r>
        <w:rPr>
          <w:rFonts w:ascii="Calibri" w:hAnsi="Calibri"/>
          <w:b/>
          <w:color w:val="000000"/>
          <w:sz w:val="22"/>
        </w:rPr>
        <w:t>Вебдодатку 1.4</w:t>
      </w:r>
      <w:r>
        <w:rPr>
          <w:rFonts w:ascii="Calibri" w:hAnsi="Calibri"/>
          <w:color w:val="000000"/>
          <w:sz w:val="22"/>
        </w:rPr>
        <w:t xml:space="preserve"> «Тести TB-LAMP».</w:t>
      </w:r>
    </w:p>
    <w:p w:rsidR="008821D9" w:rsidRPr="008821D9" w:rsidRDefault="008821D9" w:rsidP="004C1698">
      <w:pPr>
        <w:spacing w:line="216" w:lineRule="auto"/>
        <w:jc w:val="both"/>
        <w:rPr>
          <w:rFonts w:ascii="Calibri" w:hAnsi="Calibri" w:cs="Calibri"/>
          <w:color w:val="000000"/>
          <w:sz w:val="22"/>
          <w:szCs w:val="22"/>
        </w:rPr>
      </w:pPr>
      <w:r>
        <w:rPr>
          <w:rFonts w:ascii="Calibri" w:hAnsi="Calibri"/>
          <w:color w:val="000000"/>
          <w:sz w:val="22"/>
        </w:rPr>
        <w:t xml:space="preserve">Огляд результатів та даних щодо оцінки якості доказових даних доступний у </w:t>
      </w:r>
      <w:r>
        <w:rPr>
          <w:rFonts w:ascii="Calibri" w:hAnsi="Calibri"/>
          <w:b/>
          <w:color w:val="000000"/>
          <w:sz w:val="22"/>
        </w:rPr>
        <w:t xml:space="preserve">Вебдодатку 2.4 </w:t>
      </w:r>
      <w:r>
        <w:rPr>
          <w:rFonts w:ascii="Calibri" w:hAnsi="Calibri"/>
          <w:color w:val="000000"/>
          <w:sz w:val="22"/>
        </w:rPr>
        <w:t>«Профілі GRADE: тести TB-LAMP».</w:t>
      </w:r>
    </w:p>
    <w:p w:rsidR="008821D9" w:rsidRPr="008821D9" w:rsidRDefault="008821D9" w:rsidP="004C1698">
      <w:pPr>
        <w:spacing w:before="120" w:line="216" w:lineRule="auto"/>
        <w:jc w:val="both"/>
        <w:rPr>
          <w:rFonts w:ascii="Calibri" w:hAnsi="Calibri" w:cs="Calibri"/>
          <w:b/>
          <w:bCs/>
          <w:color w:val="009649"/>
          <w:sz w:val="28"/>
          <w:szCs w:val="28"/>
        </w:rPr>
      </w:pPr>
      <w:r>
        <w:rPr>
          <w:rFonts w:ascii="Calibri" w:hAnsi="Calibri"/>
          <w:b/>
          <w:color w:val="009649"/>
          <w:sz w:val="28"/>
        </w:rPr>
        <w:t>Аналіз співвідношення витрати / ефективність</w:t>
      </w:r>
    </w:p>
    <w:p w:rsidR="008821D9" w:rsidRPr="008821D9" w:rsidRDefault="008821D9" w:rsidP="004C1698">
      <w:pPr>
        <w:spacing w:before="120" w:line="216" w:lineRule="auto"/>
        <w:jc w:val="both"/>
        <w:rPr>
          <w:rFonts w:ascii="Calibri" w:hAnsi="Calibri" w:cs="Calibri"/>
          <w:color w:val="000000"/>
          <w:sz w:val="22"/>
          <w:szCs w:val="22"/>
        </w:rPr>
      </w:pPr>
      <w:r>
        <w:rPr>
          <w:rFonts w:ascii="Calibri" w:hAnsi="Calibri"/>
          <w:color w:val="000000"/>
          <w:sz w:val="22"/>
        </w:rPr>
        <w:t>Для аналізу витрат було проведено аналіз мікровитрат за принципом «знизу вгору» – метою було визначити, виміряти та оцінити всі ресурси, що мають значення для забезпечення TB-LAMP та тестами Xpert MTB/RIF як звичайними діагностичними тестами у периферійних лабораторіях Малаві та В’єтнаму. Дві стратегії TB-LAMP (використовувані в якості замісного тесту для проведення мікроскопії мазка мокротиння і в якості додаткового тесту до мікроскопії мазка мокротиння для подальшого тестування у пацієнтів з негативним результатом мазка) порівнювали з алгоритмом базового випадку з мазком мокротиння, мікроскопією мазка з подальшим клінічним діагнозом у пацієнтів з негативним результатом мікроскопії.</w:t>
      </w:r>
    </w:p>
    <w:p w:rsidR="00ED665B" w:rsidRDefault="008821D9" w:rsidP="004C1698">
      <w:pPr>
        <w:spacing w:before="120" w:line="216" w:lineRule="auto"/>
        <w:jc w:val="both"/>
        <w:rPr>
          <w:rFonts w:ascii="Calibri" w:hAnsi="Calibri" w:cs="Calibri"/>
        </w:rPr>
      </w:pPr>
      <w:r>
        <w:rPr>
          <w:rFonts w:ascii="Calibri" w:hAnsi="Calibri"/>
          <w:color w:val="000000"/>
          <w:sz w:val="22"/>
        </w:rPr>
        <w:t xml:space="preserve">Середньозважений показник на тест TB-LAMP становив 13,78–16,22 дол. США, а для тесту Xpert MTB/RIF – 19,17–28,34 дол. США, коли ці тести використовувались в якості звичайних діагностичних тестів в усіх лабораторіях периферійного рівня в обох країнах. Витрати першого року, необхідні для впровадження в периферійні лабораторії із середнім навантаженням (10–15 </w:t>
      </w:r>
    </w:p>
    <w:p w:rsidR="008821D9" w:rsidRPr="00907702" w:rsidRDefault="008821D9" w:rsidP="00DC2656">
      <w:pPr>
        <w:rPr>
          <w:rFonts w:ascii="Calibri" w:hAnsi="Calibri" w:cs="Calibri"/>
        </w:rPr>
        <w:sectPr w:rsidR="008821D9" w:rsidRPr="00907702" w:rsidSect="008821D9">
          <w:pgSz w:w="11904" w:h="16838"/>
          <w:pgMar w:top="1397" w:right="1387" w:bottom="709" w:left="1387" w:header="720" w:footer="720" w:gutter="0"/>
          <w:cols w:space="60"/>
          <w:noEndnote/>
        </w:sectPr>
      </w:pPr>
    </w:p>
    <w:p w:rsidR="00ED665B" w:rsidRPr="00907702" w:rsidRDefault="001F19DE" w:rsidP="00DC2656">
      <w:pPr>
        <w:ind w:right="5"/>
        <w:jc w:val="both"/>
        <w:rPr>
          <w:rFonts w:ascii="Calibri" w:hAnsi="Calibri" w:cs="Calibri"/>
        </w:rPr>
      </w:pPr>
      <w:r>
        <w:rPr>
          <w:rFonts w:ascii="Calibri" w:hAnsi="Calibri"/>
          <w:color w:val="000000"/>
          <w:sz w:val="22"/>
        </w:rPr>
        <w:lastRenderedPageBreak/>
        <w:t xml:space="preserve">тестів мікроскопії мазка мокротиння </w:t>
      </w:r>
      <w:r w:rsidR="006C7D2F">
        <w:rPr>
          <w:rFonts w:ascii="Calibri" w:hAnsi="Calibri"/>
          <w:color w:val="000000"/>
          <w:sz w:val="22"/>
        </w:rPr>
        <w:t>на день) у В’єтнамі, склали 26 917 доларів США для TB-LAMP та 43 325 доларів США для Xpert MTB/RIF. Ці витрати були приблизно на 3000 доларів США нижчі у Малаві через менші експлуатаційні витрати та витрати на персонал. Аналогічно, TB-LAMP був значно дешевшим для впровадження, становивши 9,33% звітного гнучкого бюджету на 2014 рік, у Малаві та 17,2% у В’єтнамі; для порівняння: впровадження аналізу Xpert MTB/RIF становило 18% звітного гнучкого бюджету для боротьби з ТБ у Малаві та 37% у В’єтнамі. В ході аналізу співвідношення витрати / ефективність обидва сценарії TB-LAMP покращили рівень виявлення випадків захворювання, і обидві стратегії були економічно ефективними у порівнянні з пороговими рівнями готовності ВООЗ.</w:t>
      </w:r>
    </w:p>
    <w:p w:rsidR="00ED665B" w:rsidRPr="00907702" w:rsidRDefault="006C7D2F" w:rsidP="00DC2656">
      <w:pPr>
        <w:spacing w:before="168"/>
        <w:jc w:val="both"/>
        <w:rPr>
          <w:rFonts w:ascii="Calibri" w:hAnsi="Calibri" w:cs="Calibri"/>
        </w:rPr>
      </w:pPr>
      <w:r>
        <w:rPr>
          <w:rFonts w:ascii="Calibri" w:hAnsi="Calibri"/>
          <w:color w:val="000000"/>
          <w:sz w:val="22"/>
        </w:rPr>
        <w:t>Результати аналізу співвідношення витрати / ефективність свідчать про те, що TB-LAMP є потенційно ефективною альтернативою базовому випадку мікроскопії мазка мокротиння та клінічної діагностики в умовах, коли аналіз Xpert MTB/RIF не може бути проведений через інфраструктурні вимоги, включаючи безперервне живлення. Однак враховуючи нездатність TB-LAMP виявити рифампіцин-резистентний туберкульоз (Риф-ТБ) та його неоптимальну чутливість до виявлення ТБ серед ЛЖВ, національні розробники політики повинні обережно оцінювати придатність до експлуатації та фактори вартості перед впровадженням цієї технології.</w:t>
      </w:r>
    </w:p>
    <w:p w:rsidR="00ED665B" w:rsidRPr="008821D9" w:rsidRDefault="006C7D2F" w:rsidP="00DC2656">
      <w:pPr>
        <w:spacing w:before="230"/>
        <w:rPr>
          <w:rFonts w:ascii="Calibri" w:hAnsi="Calibri" w:cs="Calibri"/>
          <w:b/>
          <w:bCs/>
        </w:rPr>
      </w:pPr>
      <w:r>
        <w:rPr>
          <w:rFonts w:ascii="Calibri" w:hAnsi="Calibri"/>
          <w:b/>
          <w:color w:val="009649"/>
          <w:sz w:val="28"/>
        </w:rPr>
        <w:t>Рекомендації щодо впровадження</w:t>
      </w:r>
    </w:p>
    <w:p w:rsidR="00ED665B" w:rsidRPr="00907702" w:rsidRDefault="006C7D2F" w:rsidP="00DC2656">
      <w:pPr>
        <w:spacing w:before="168"/>
        <w:ind w:right="5"/>
        <w:jc w:val="both"/>
        <w:rPr>
          <w:rFonts w:ascii="Calibri" w:hAnsi="Calibri" w:cs="Calibri"/>
        </w:rPr>
      </w:pPr>
      <w:r>
        <w:rPr>
          <w:rFonts w:ascii="Calibri" w:hAnsi="Calibri"/>
          <w:color w:val="000000"/>
          <w:sz w:val="22"/>
        </w:rPr>
        <w:t>Систематичний огляд підтримує використання TB-LAMP в якості замісного тесту для мікроскопії мазка, для діагностики легеневого ТБ у країнах з проміжним або високим тягарем туберкульозу. Однак аналіз Xpert MTB/RIF повинен залишатися кращим діагностичним тестом для тих, у кого підозрюється ТБ, за умови наявності достатніх ресурсів та інфраструктури для підтримки його проведення, враховуючи дані, його здатність одночасно ідентифікувати резистентність до рифампіцину та той факт, що він автоматизований.</w:t>
      </w:r>
    </w:p>
    <w:p w:rsidR="00ED665B" w:rsidRPr="00907702" w:rsidRDefault="006C7D2F" w:rsidP="00DC2656">
      <w:pPr>
        <w:numPr>
          <w:ilvl w:val="0"/>
          <w:numId w:val="2"/>
        </w:numPr>
        <w:tabs>
          <w:tab w:val="left" w:pos="240"/>
        </w:tabs>
        <w:spacing w:before="168"/>
        <w:ind w:left="240" w:right="5" w:hanging="240"/>
        <w:jc w:val="both"/>
        <w:rPr>
          <w:rFonts w:ascii="Calibri" w:hAnsi="Calibri" w:cs="Calibri"/>
          <w:color w:val="009649"/>
          <w:sz w:val="22"/>
          <w:szCs w:val="22"/>
        </w:rPr>
      </w:pPr>
      <w:r>
        <w:rPr>
          <w:rFonts w:ascii="Calibri" w:hAnsi="Calibri"/>
          <w:color w:val="000000"/>
          <w:sz w:val="22"/>
        </w:rPr>
        <w:t>Для реалізації TB-LAMP потрібно вирішити кілька оперативних питань, таких як, наприклад, потреба в електроенергії, відповідне зберігання та утилізація відходів, моніторинг запасів та контроль температури у місцях зберігання, коли температури перевищують рекомендації виробника (зараз це 30°C для TB-LAMP).</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 xml:space="preserve">TB-LAMP розроблений та оцінений для виявлення </w:t>
      </w:r>
      <w:r w:rsidRPr="000039A3">
        <w:rPr>
          <w:rFonts w:ascii="Calibri" w:hAnsi="Calibri"/>
          <w:i/>
          <w:color w:val="000000"/>
          <w:sz w:val="22"/>
        </w:rPr>
        <w:t>M. tuberculosis</w:t>
      </w:r>
      <w:r>
        <w:rPr>
          <w:rFonts w:ascii="Calibri" w:hAnsi="Calibri"/>
          <w:color w:val="000000"/>
          <w:sz w:val="22"/>
        </w:rPr>
        <w:t xml:space="preserve"> у зразках мокротиння. Його використання в інших зразках (наприклад, в сечі, сироватці, плазмі крові, СМР чи інших рідинах організму) не було оцінене належним чином.</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Прийняття TB-LAMP не виключає необхідності проведення мікроскопії мазка, яка повинна використовуватися для контролю за лікуванням хворих на ТБ. Однак попит на звичайну мікроскопію мокротиння може зменшитися в умовах, коли TB-LAMP повністю або частково замінює звичайну мікроскопію мокротиння.</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 xml:space="preserve">TB-LAMP не повинен замінювати тест Xpert MTB/RIF, оскільки останній одночасно виявляє </w:t>
      </w:r>
      <w:r w:rsidRPr="000039A3">
        <w:rPr>
          <w:rFonts w:ascii="Calibri" w:hAnsi="Calibri"/>
          <w:i/>
          <w:color w:val="000000"/>
          <w:sz w:val="22"/>
        </w:rPr>
        <w:t>M. tuberculosis</w:t>
      </w:r>
      <w:r>
        <w:rPr>
          <w:rFonts w:ascii="Calibri" w:hAnsi="Calibri"/>
          <w:color w:val="000000"/>
          <w:sz w:val="22"/>
        </w:rPr>
        <w:t xml:space="preserve"> та резистентність до рифампіцину, є автоматизованим і порівняно простим у виконанні.</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В умовах, коли тест Xpert MTB/RIF неможливо здійснити (наприклад, через невідповідне електропостачання або надмірну температуру, вологість чи пил), TB-LAMP може бути прийнятною альтернативою.</w:t>
      </w:r>
    </w:p>
    <w:p w:rsidR="00ED665B" w:rsidRPr="00907702" w:rsidRDefault="00ED665B" w:rsidP="00DC2656">
      <w:pPr>
        <w:numPr>
          <w:ilvl w:val="0"/>
          <w:numId w:val="2"/>
        </w:numPr>
        <w:tabs>
          <w:tab w:val="left" w:pos="240"/>
        </w:tabs>
        <w:ind w:left="240" w:right="5" w:hanging="240"/>
        <w:jc w:val="both"/>
        <w:rPr>
          <w:rFonts w:ascii="Calibri" w:hAnsi="Calibri" w:cs="Calibri"/>
          <w:color w:val="009649"/>
          <w:sz w:val="22"/>
          <w:szCs w:val="22"/>
        </w:rPr>
        <w:sectPr w:rsidR="00ED665B" w:rsidRPr="00907702">
          <w:pgSz w:w="11904" w:h="16838"/>
          <w:pgMar w:top="1339" w:right="1411" w:bottom="2266" w:left="1416" w:header="720" w:footer="720" w:gutter="0"/>
          <w:cols w:space="60"/>
          <w:noEndnote/>
        </w:sectPr>
      </w:pPr>
    </w:p>
    <w:p w:rsidR="00ED665B" w:rsidRPr="008821D9" w:rsidRDefault="006C7D2F" w:rsidP="00DC2656">
      <w:pPr>
        <w:ind w:left="125"/>
        <w:rPr>
          <w:rFonts w:ascii="Calibri" w:hAnsi="Calibri" w:cs="Calibri"/>
          <w:b/>
          <w:bCs/>
        </w:rPr>
      </w:pPr>
      <w:bookmarkStart w:id="16" w:name="bookmark18"/>
      <w:r>
        <w:rPr>
          <w:rFonts w:ascii="Calibri" w:hAnsi="Calibri"/>
          <w:b/>
          <w:color w:val="009649"/>
          <w:sz w:val="28"/>
        </w:rPr>
        <w:lastRenderedPageBreak/>
        <w:t>П</w:t>
      </w:r>
      <w:bookmarkEnd w:id="16"/>
      <w:r>
        <w:rPr>
          <w:rFonts w:ascii="Calibri" w:hAnsi="Calibri"/>
          <w:b/>
          <w:color w:val="009649"/>
          <w:sz w:val="28"/>
        </w:rPr>
        <w:t>ріоритети наукових досліджень</w:t>
      </w:r>
    </w:p>
    <w:p w:rsidR="00ED665B" w:rsidRPr="00907702" w:rsidRDefault="006C7D2F" w:rsidP="00DC2656">
      <w:pPr>
        <w:numPr>
          <w:ilvl w:val="0"/>
          <w:numId w:val="2"/>
        </w:numPr>
        <w:tabs>
          <w:tab w:val="left" w:pos="365"/>
        </w:tabs>
        <w:spacing w:before="168"/>
        <w:ind w:left="365" w:right="96" w:hanging="240"/>
        <w:jc w:val="both"/>
        <w:rPr>
          <w:rFonts w:ascii="Calibri" w:hAnsi="Calibri" w:cs="Calibri"/>
          <w:color w:val="009649"/>
          <w:sz w:val="22"/>
          <w:szCs w:val="22"/>
        </w:rPr>
      </w:pPr>
      <w:r>
        <w:rPr>
          <w:rFonts w:ascii="Calibri" w:hAnsi="Calibri"/>
          <w:color w:val="000000"/>
          <w:sz w:val="22"/>
        </w:rPr>
        <w:t>Оцінка діагностичних алгоритмів у різних епідеміологічних та географічних умовах та популяціях пацієнтів.</w:t>
      </w:r>
    </w:p>
    <w:p w:rsidR="00ED665B" w:rsidRPr="00907702" w:rsidRDefault="006C7D2F" w:rsidP="00DC2656">
      <w:pPr>
        <w:numPr>
          <w:ilvl w:val="0"/>
          <w:numId w:val="2"/>
        </w:numPr>
        <w:tabs>
          <w:tab w:val="left" w:pos="365"/>
        </w:tabs>
        <w:ind w:left="365" w:right="96" w:hanging="240"/>
        <w:jc w:val="both"/>
        <w:rPr>
          <w:rFonts w:ascii="Calibri" w:hAnsi="Calibri" w:cs="Calibri"/>
          <w:color w:val="009649"/>
          <w:sz w:val="22"/>
          <w:szCs w:val="22"/>
        </w:rPr>
      </w:pPr>
      <w:r>
        <w:rPr>
          <w:rFonts w:ascii="Calibri" w:hAnsi="Calibri"/>
          <w:color w:val="000000"/>
          <w:sz w:val="22"/>
        </w:rPr>
        <w:t>Проведення більш ретельних досліджень з більш високими референс стандартами якості (включаючи кілька видів зразків, в тому числі позалегеневі) для підвищення довіри до оцінок специфічності.</w:t>
      </w:r>
    </w:p>
    <w:p w:rsidR="00ED665B" w:rsidRPr="00907702" w:rsidRDefault="006C7D2F" w:rsidP="00DC2656">
      <w:pPr>
        <w:numPr>
          <w:ilvl w:val="0"/>
          <w:numId w:val="2"/>
        </w:numPr>
        <w:tabs>
          <w:tab w:val="left" w:pos="365"/>
        </w:tabs>
        <w:ind w:left="125"/>
        <w:rPr>
          <w:rFonts w:ascii="Calibri" w:hAnsi="Calibri" w:cs="Calibri"/>
          <w:color w:val="009649"/>
          <w:sz w:val="22"/>
          <w:szCs w:val="22"/>
        </w:rPr>
      </w:pPr>
      <w:r>
        <w:rPr>
          <w:rFonts w:ascii="Calibri" w:hAnsi="Calibri"/>
          <w:color w:val="000000"/>
          <w:sz w:val="22"/>
        </w:rPr>
        <w:t>Визначення потреб у навчанні та оцінки компетентності та якості.</w:t>
      </w:r>
    </w:p>
    <w:p w:rsidR="00ED665B" w:rsidRPr="00907702" w:rsidRDefault="006C7D2F" w:rsidP="00DC2656">
      <w:pPr>
        <w:numPr>
          <w:ilvl w:val="0"/>
          <w:numId w:val="2"/>
        </w:numPr>
        <w:tabs>
          <w:tab w:val="left" w:pos="365"/>
        </w:tabs>
        <w:ind w:left="125"/>
        <w:rPr>
          <w:rFonts w:ascii="Calibri" w:hAnsi="Calibri" w:cs="Calibri"/>
          <w:color w:val="009649"/>
          <w:sz w:val="22"/>
          <w:szCs w:val="22"/>
        </w:rPr>
      </w:pPr>
      <w:r>
        <w:rPr>
          <w:rFonts w:ascii="Calibri" w:hAnsi="Calibri"/>
          <w:color w:val="000000"/>
          <w:sz w:val="22"/>
        </w:rPr>
        <w:t>Збір додаткових даних щодо впливу на початок лікування ТБ, захворюваність та смертність.</w:t>
      </w:r>
    </w:p>
    <w:p w:rsidR="00ED665B" w:rsidRPr="00907702" w:rsidRDefault="006C7D2F" w:rsidP="00DC2656">
      <w:pPr>
        <w:numPr>
          <w:ilvl w:val="0"/>
          <w:numId w:val="2"/>
        </w:numPr>
        <w:tabs>
          <w:tab w:val="left" w:pos="365"/>
        </w:tabs>
        <w:ind w:left="365" w:right="96" w:hanging="240"/>
        <w:jc w:val="both"/>
        <w:rPr>
          <w:rFonts w:ascii="Calibri" w:hAnsi="Calibri" w:cs="Calibri"/>
          <w:color w:val="009649"/>
          <w:sz w:val="22"/>
          <w:szCs w:val="22"/>
        </w:rPr>
      </w:pPr>
      <w:r>
        <w:rPr>
          <w:rFonts w:ascii="Calibri" w:hAnsi="Calibri"/>
          <w:color w:val="000000"/>
          <w:sz w:val="22"/>
        </w:rPr>
        <w:t>Виконання конкретних для країни аналізів співвідношення витрати / ефективність та економічної доцільності для цільового використання TB-LAMP в різних програмних умовах.</w:t>
      </w:r>
    </w:p>
    <w:p w:rsidR="00ED665B" w:rsidRPr="00907702" w:rsidRDefault="006C7D2F" w:rsidP="00DC2656">
      <w:pPr>
        <w:numPr>
          <w:ilvl w:val="0"/>
          <w:numId w:val="2"/>
        </w:numPr>
        <w:tabs>
          <w:tab w:val="left" w:pos="365"/>
        </w:tabs>
        <w:ind w:left="365" w:right="91" w:hanging="240"/>
        <w:jc w:val="both"/>
        <w:rPr>
          <w:rFonts w:ascii="Calibri" w:hAnsi="Calibri" w:cs="Calibri"/>
          <w:color w:val="009649"/>
          <w:sz w:val="22"/>
          <w:szCs w:val="22"/>
        </w:rPr>
      </w:pPr>
      <w:r>
        <w:rPr>
          <w:rFonts w:ascii="Calibri" w:hAnsi="Calibri"/>
          <w:color w:val="000000"/>
          <w:sz w:val="22"/>
        </w:rPr>
        <w:t xml:space="preserve">Дотримання Стандартів звітності про дослідження діагностичної точності (STARD) для майбутніх досліджень </w:t>
      </w:r>
      <w:r w:rsidRPr="000039A3">
        <w:rPr>
          <w:rFonts w:ascii="Calibri" w:hAnsi="Calibri"/>
          <w:i/>
          <w:color w:val="000000"/>
          <w:sz w:val="22"/>
        </w:rPr>
        <w:t>(23)</w:t>
      </w:r>
    </w:p>
    <w:p w:rsidR="00ED665B" w:rsidRPr="008821D9" w:rsidRDefault="006C7D2F" w:rsidP="00DC2656">
      <w:pPr>
        <w:spacing w:before="230"/>
        <w:ind w:left="125"/>
        <w:rPr>
          <w:rFonts w:ascii="Calibri" w:hAnsi="Calibri" w:cs="Calibri"/>
          <w:b/>
          <w:bCs/>
        </w:rPr>
      </w:pPr>
      <w:r>
        <w:rPr>
          <w:rFonts w:ascii="Calibri" w:hAnsi="Calibri"/>
          <w:b/>
          <w:color w:val="009649"/>
          <w:sz w:val="28"/>
        </w:rPr>
        <w:t>Ліпоарабіноманнановий тест бокового зсуву (тест сечі LM-LAM)</w:t>
      </w:r>
    </w:p>
    <w:p w:rsidR="00ED665B" w:rsidRPr="00907702" w:rsidRDefault="006C7D2F" w:rsidP="00DC2656">
      <w:pPr>
        <w:spacing w:before="168"/>
        <w:ind w:left="125" w:right="96"/>
        <w:jc w:val="both"/>
        <w:rPr>
          <w:rFonts w:ascii="Calibri" w:hAnsi="Calibri" w:cs="Calibri"/>
        </w:rPr>
      </w:pPr>
      <w:r>
        <w:rPr>
          <w:rFonts w:ascii="Calibri" w:hAnsi="Calibri"/>
          <w:color w:val="000000"/>
          <w:sz w:val="22"/>
        </w:rPr>
        <w:t>Тести на виявлення антигену ліпоарабіноманнану (LAM) у сечі, стали потенційними тестами на ТБ для проведення у клінічних умовах. Наявні на сьогодні аналізи сечі LAM мають субоптимальну чутливість, і тому не підходять в якості загальних діагностичних тестів на туберкульоз. Однак, на відміну від традиційних методів діагностики, вони демонструють покращену чутливість до діагностики ТБ серед осіб, коінфікованих ВІЛ. Оцінена чутливість ще більша у пацієнтів з низькою кількістю клітин CD4. На цей час тест-смужки для проведення ліпоарабіноманнанового тесту бокового зсуву у сечі (LF-LAM) Alere Determine TB LAM Ag (США), далі – AlereLAM – це єдиний комерційно доступний тест сечі LAM, який потенційно можна використовувати в якості тесту на ТБ у пацієнтів з розвиненою ВІЛ-імунодепресією, а також сприяти ранньому початку лікування ТБ.</w:t>
      </w:r>
    </w:p>
    <w:p w:rsidR="00ED665B" w:rsidRPr="008821D9" w:rsidRDefault="006C7D2F" w:rsidP="00DC2656">
      <w:pPr>
        <w:spacing w:before="235"/>
        <w:ind w:left="125"/>
        <w:rPr>
          <w:rFonts w:ascii="Calibri" w:hAnsi="Calibri" w:cs="Calibri"/>
          <w:b/>
          <w:bCs/>
        </w:rPr>
      </w:pPr>
      <w:r>
        <w:rPr>
          <w:rFonts w:ascii="Calibri" w:hAnsi="Calibri"/>
          <w:b/>
          <w:color w:val="009649"/>
          <w:sz w:val="28"/>
        </w:rPr>
        <w:t>Рекомендації</w:t>
      </w:r>
    </w:p>
    <w:p w:rsidR="00ED665B" w:rsidRPr="00907702" w:rsidRDefault="00ED665B" w:rsidP="00DC2656">
      <w:pPr>
        <w:spacing w:after="235"/>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293"/>
      </w:tblGrid>
      <w:tr w:rsidR="00ED665B" w:rsidRPr="00907702" w:rsidTr="008821D9">
        <w:trPr>
          <w:trHeight w:hRule="exact" w:val="3030"/>
        </w:trPr>
        <w:tc>
          <w:tcPr>
            <w:tcW w:w="9293" w:type="dxa"/>
            <w:tcBorders>
              <w:top w:val="single" w:sz="8" w:space="0" w:color="009649"/>
              <w:left w:val="single" w:sz="8" w:space="0" w:color="009649"/>
              <w:bottom w:val="single" w:sz="8" w:space="0" w:color="009649"/>
              <w:right w:val="single" w:sz="8" w:space="0" w:color="009649"/>
            </w:tcBorders>
            <w:shd w:val="clear" w:color="auto" w:fill="FFFFFF"/>
          </w:tcPr>
          <w:p w:rsidR="00ED665B" w:rsidRPr="001F19DE" w:rsidRDefault="006C7D2F" w:rsidP="008821D9">
            <w:pPr>
              <w:spacing w:before="120"/>
              <w:ind w:left="307"/>
              <w:rPr>
                <w:rFonts w:ascii="Calibri" w:hAnsi="Calibri" w:cs="Calibri"/>
                <w:b/>
              </w:rPr>
            </w:pPr>
            <w:r w:rsidRPr="001F19DE">
              <w:rPr>
                <w:rFonts w:ascii="Calibri" w:hAnsi="Calibri"/>
                <w:b/>
                <w:color w:val="000000"/>
                <w:sz w:val="22"/>
              </w:rPr>
              <w:t>У стаціонарних умовах</w:t>
            </w:r>
          </w:p>
          <w:p w:rsidR="00ED665B" w:rsidRPr="00907702" w:rsidRDefault="006C7D2F" w:rsidP="004C1698">
            <w:pPr>
              <w:tabs>
                <w:tab w:val="left" w:pos="759"/>
              </w:tabs>
              <w:spacing w:before="120"/>
              <w:ind w:left="621" w:right="278" w:hanging="314"/>
              <w:rPr>
                <w:rFonts w:ascii="Calibri" w:hAnsi="Calibri" w:cs="Calibri"/>
              </w:rPr>
            </w:pPr>
            <w:r>
              <w:rPr>
                <w:rFonts w:ascii="Calibri" w:hAnsi="Calibri"/>
                <w:color w:val="000000"/>
                <w:sz w:val="22"/>
              </w:rPr>
              <w:t xml:space="preserve">1. </w:t>
            </w:r>
            <w:r w:rsidR="004C1698">
              <w:rPr>
                <w:rFonts w:ascii="Calibri" w:hAnsi="Calibri"/>
                <w:color w:val="000000"/>
                <w:sz w:val="22"/>
              </w:rPr>
              <w:tab/>
            </w:r>
            <w:r>
              <w:rPr>
                <w:rFonts w:ascii="Calibri" w:hAnsi="Calibri"/>
                <w:color w:val="000000"/>
                <w:sz w:val="22"/>
              </w:rPr>
              <w:t>У стаціонарних умовах ВООЗ сильно рекомендує використовувати LF-LAM для діагностики активної форми туберкульозу у ВІЛ-позитивних дорослих, підлітків та дітей:</w:t>
            </w:r>
          </w:p>
          <w:p w:rsidR="00ED665B" w:rsidRPr="00907702" w:rsidRDefault="006C7D2F" w:rsidP="008821D9">
            <w:pPr>
              <w:spacing w:before="120"/>
              <w:ind w:left="1184" w:right="278" w:hanging="567"/>
              <w:rPr>
                <w:rFonts w:ascii="Calibri" w:hAnsi="Calibri" w:cs="Calibri"/>
              </w:rPr>
            </w:pPr>
            <w:r>
              <w:rPr>
                <w:rFonts w:ascii="Calibri" w:hAnsi="Calibri"/>
                <w:color w:val="000000"/>
                <w:sz w:val="22"/>
              </w:rPr>
              <w:t>1.1.</w:t>
            </w:r>
            <w:r>
              <w:rPr>
                <w:rFonts w:ascii="Calibri" w:hAnsi="Calibri"/>
                <w:color w:val="000000"/>
                <w:sz w:val="22"/>
              </w:rPr>
              <w:tab/>
              <w:t xml:space="preserve">з ознаками та симптомами ТБ (легеневого та/або позалегеневого) </w:t>
            </w:r>
            <w:r w:rsidRPr="004C1698">
              <w:rPr>
                <w:rFonts w:ascii="Calibri" w:hAnsi="Calibri"/>
                <w:i/>
                <w:color w:val="000000"/>
                <w:sz w:val="22"/>
              </w:rPr>
              <w:t>(</w:t>
            </w:r>
            <w:r w:rsidRPr="004C1698">
              <w:rPr>
                <w:rFonts w:ascii="Calibri" w:hAnsi="Calibri"/>
                <w:b/>
                <w:i/>
                <w:color w:val="000000"/>
                <w:sz w:val="22"/>
              </w:rPr>
              <w:t xml:space="preserve">сильна </w:t>
            </w:r>
            <w:r w:rsidRPr="004C1698">
              <w:rPr>
                <w:rFonts w:ascii="Calibri" w:hAnsi="Calibri"/>
                <w:i/>
                <w:color w:val="000000"/>
                <w:sz w:val="22"/>
              </w:rPr>
              <w:t>рекомендація; помірна якість доказових даних щодо ефектів від проведених заходів)</w:t>
            </w:r>
            <w:r>
              <w:rPr>
                <w:rFonts w:ascii="Calibri" w:hAnsi="Calibri"/>
                <w:color w:val="000000"/>
                <w:sz w:val="22"/>
              </w:rPr>
              <w:t>; або</w:t>
            </w:r>
          </w:p>
          <w:p w:rsidR="00ED665B" w:rsidRPr="00907702" w:rsidRDefault="006C7D2F" w:rsidP="008821D9">
            <w:pPr>
              <w:spacing w:before="120"/>
              <w:ind w:left="1184" w:hanging="567"/>
              <w:rPr>
                <w:rFonts w:ascii="Calibri" w:hAnsi="Calibri" w:cs="Calibri"/>
              </w:rPr>
            </w:pPr>
            <w:r>
              <w:rPr>
                <w:rFonts w:ascii="Calibri" w:hAnsi="Calibri"/>
                <w:color w:val="000000"/>
                <w:sz w:val="22"/>
              </w:rPr>
              <w:t>1.2.</w:t>
            </w:r>
            <w:r>
              <w:rPr>
                <w:rFonts w:ascii="Calibri" w:hAnsi="Calibri"/>
                <w:color w:val="000000"/>
                <w:sz w:val="22"/>
              </w:rPr>
              <w:tab/>
              <w:t>із пізньою стадією ВІЛ-інфекції</w:t>
            </w:r>
            <w:r>
              <w:rPr>
                <w:rFonts w:ascii="Calibri" w:hAnsi="Calibri"/>
                <w:color w:val="000000"/>
                <w:sz w:val="22"/>
                <w:vertAlign w:val="superscript"/>
              </w:rPr>
              <w:t>14</w:t>
            </w:r>
            <w:r>
              <w:rPr>
                <w:rFonts w:ascii="Calibri" w:hAnsi="Calibri"/>
                <w:color w:val="000000"/>
                <w:sz w:val="22"/>
              </w:rPr>
              <w:t xml:space="preserve"> або тяжко хворими</w:t>
            </w:r>
            <w:r>
              <w:rPr>
                <w:rFonts w:ascii="Calibri" w:hAnsi="Calibri"/>
                <w:color w:val="000000"/>
                <w:sz w:val="22"/>
                <w:vertAlign w:val="superscript"/>
              </w:rPr>
              <w:t>15</w:t>
            </w:r>
          </w:p>
          <w:p w:rsidR="00ED665B" w:rsidRPr="00907702" w:rsidRDefault="006C7D2F" w:rsidP="008821D9">
            <w:pPr>
              <w:ind w:left="1184" w:right="278"/>
              <w:rPr>
                <w:rFonts w:ascii="Calibri" w:hAnsi="Calibri" w:cs="Calibri"/>
              </w:rPr>
            </w:pPr>
            <w:r w:rsidRPr="004C1698">
              <w:rPr>
                <w:rFonts w:ascii="Calibri" w:hAnsi="Calibri"/>
                <w:i/>
                <w:color w:val="000000"/>
                <w:sz w:val="22"/>
              </w:rPr>
              <w:t>(</w:t>
            </w:r>
            <w:r w:rsidRPr="004C1698">
              <w:rPr>
                <w:rFonts w:ascii="Calibri" w:hAnsi="Calibri"/>
                <w:b/>
                <w:i/>
                <w:color w:val="000000"/>
                <w:sz w:val="22"/>
              </w:rPr>
              <w:t xml:space="preserve">сильна </w:t>
            </w:r>
            <w:r w:rsidRPr="004C1698">
              <w:rPr>
                <w:rFonts w:ascii="Calibri" w:hAnsi="Calibri"/>
                <w:i/>
                <w:color w:val="000000"/>
                <w:sz w:val="22"/>
              </w:rPr>
              <w:t>рекомендація; помірна якість доказових даних щодо ефектів від проведених заходів)</w:t>
            </w:r>
            <w:r>
              <w:rPr>
                <w:rFonts w:ascii="Calibri" w:hAnsi="Calibri"/>
                <w:color w:val="000000"/>
                <w:sz w:val="22"/>
              </w:rPr>
              <w:t>; або</w:t>
            </w:r>
          </w:p>
        </w:tc>
      </w:tr>
      <w:tr w:rsidR="00ED665B" w:rsidRPr="00907702" w:rsidTr="004C1698">
        <w:trPr>
          <w:trHeight w:hRule="exact" w:val="1880"/>
        </w:trPr>
        <w:tc>
          <w:tcPr>
            <w:tcW w:w="9293" w:type="dxa"/>
            <w:tcBorders>
              <w:top w:val="single" w:sz="8" w:space="0" w:color="009649"/>
              <w:left w:val="nil"/>
              <w:bottom w:val="nil"/>
              <w:right w:val="nil"/>
            </w:tcBorders>
            <w:shd w:val="clear" w:color="auto" w:fill="FFFFFF"/>
            <w:vAlign w:val="bottom"/>
          </w:tcPr>
          <w:p w:rsidR="008821D9" w:rsidRPr="008821D9" w:rsidRDefault="008821D9" w:rsidP="008821D9">
            <w:pPr>
              <w:ind w:left="50"/>
              <w:rPr>
                <w:rFonts w:ascii="Calibri" w:hAnsi="Calibri" w:cs="Calibri"/>
                <w:color w:val="000000"/>
                <w:sz w:val="16"/>
                <w:szCs w:val="16"/>
                <w:u w:val="single"/>
                <w:vertAlign w:val="superscript"/>
              </w:rPr>
            </w:pPr>
            <w:r>
              <w:rPr>
                <w:rFonts w:ascii="Calibri" w:hAnsi="Calibri"/>
                <w:color w:val="000000"/>
                <w:sz w:val="16"/>
                <w:u w:val="single"/>
                <w:vertAlign w:val="superscript"/>
              </w:rPr>
              <w:tab/>
            </w:r>
            <w:r>
              <w:rPr>
                <w:rFonts w:ascii="Calibri" w:hAnsi="Calibri"/>
                <w:color w:val="000000"/>
                <w:sz w:val="16"/>
                <w:u w:val="single"/>
                <w:vertAlign w:val="superscript"/>
              </w:rPr>
              <w:tab/>
            </w:r>
            <w:r>
              <w:rPr>
                <w:rFonts w:ascii="Calibri" w:hAnsi="Calibri"/>
                <w:color w:val="000000"/>
                <w:sz w:val="16"/>
                <w:u w:val="single"/>
                <w:vertAlign w:val="superscript"/>
              </w:rPr>
              <w:tab/>
            </w:r>
          </w:p>
          <w:p w:rsidR="00ED665B" w:rsidRPr="00907702" w:rsidRDefault="006C7D2F" w:rsidP="004C1698">
            <w:pPr>
              <w:tabs>
                <w:tab w:val="left" w:pos="346"/>
              </w:tabs>
              <w:ind w:left="230" w:hanging="221"/>
              <w:jc w:val="both"/>
              <w:rPr>
                <w:rFonts w:ascii="Calibri" w:hAnsi="Calibri" w:cs="Calibri"/>
              </w:rPr>
            </w:pPr>
            <w:r>
              <w:rPr>
                <w:rFonts w:ascii="Calibri" w:hAnsi="Calibri"/>
                <w:color w:val="000000"/>
                <w:sz w:val="16"/>
                <w:vertAlign w:val="superscript"/>
              </w:rPr>
              <w:t xml:space="preserve">14 </w:t>
            </w:r>
            <w:r w:rsidR="000039A3">
              <w:rPr>
                <w:rFonts w:ascii="Calibri" w:hAnsi="Calibri"/>
                <w:color w:val="000000"/>
                <w:sz w:val="16"/>
                <w:vertAlign w:val="superscript"/>
              </w:rPr>
              <w:tab/>
            </w:r>
            <w:r>
              <w:rPr>
                <w:rFonts w:ascii="Calibri" w:hAnsi="Calibri"/>
                <w:color w:val="000000"/>
                <w:sz w:val="16"/>
              </w:rPr>
              <w:t>Для дорослих, підлітків і дітей віком від 5 років «пізня стадія ВІЛ-інфекції» визначається при числі клітин CD4 менше 200 клітин/мм</w:t>
            </w:r>
            <w:r>
              <w:rPr>
                <w:rFonts w:ascii="Calibri" w:hAnsi="Calibri"/>
                <w:color w:val="000000"/>
                <w:sz w:val="16"/>
                <w:vertAlign w:val="superscript"/>
              </w:rPr>
              <w:t>3</w:t>
            </w:r>
            <w:r>
              <w:rPr>
                <w:rFonts w:ascii="Calibri" w:hAnsi="Calibri"/>
                <w:color w:val="000000"/>
                <w:sz w:val="16"/>
              </w:rPr>
              <w:t xml:space="preserve"> або клінічній стадії 3 або 4 за класифікацією ВООЗ на момент звернення за медичною допомогою. Усі діти віком до 5 років, хворі на ВІЛ, повинні розглядатися як такі, що мають пізню стадію ВІЛ-інфекції на момент звернення за медичною допомогою.</w:t>
            </w:r>
          </w:p>
          <w:p w:rsidR="00ED665B" w:rsidRDefault="006C7D2F" w:rsidP="004C1698">
            <w:pPr>
              <w:tabs>
                <w:tab w:val="left" w:pos="346"/>
              </w:tabs>
              <w:ind w:left="230" w:hanging="221"/>
              <w:jc w:val="both"/>
              <w:rPr>
                <w:rFonts w:ascii="Calibri" w:hAnsi="Calibri"/>
                <w:color w:val="000000"/>
                <w:sz w:val="16"/>
              </w:rPr>
            </w:pPr>
            <w:r>
              <w:rPr>
                <w:rFonts w:ascii="Calibri" w:hAnsi="Calibri"/>
                <w:color w:val="000000"/>
                <w:sz w:val="16"/>
                <w:vertAlign w:val="superscript"/>
              </w:rPr>
              <w:t>15</w:t>
            </w:r>
            <w:r>
              <w:rPr>
                <w:rFonts w:ascii="Calibri" w:hAnsi="Calibri"/>
                <w:color w:val="000000"/>
                <w:sz w:val="16"/>
              </w:rPr>
              <w:tab/>
              <w:t>Статус «важко хворий» визначається основі чотирьох ознак небезпеки: частота дихання понад 30/хв., температура понад 39°С, частота серцевих скорочень понад 120/хв і неможливість ходити без допомоги.</w:t>
            </w:r>
          </w:p>
          <w:p w:rsidR="004C1698" w:rsidRPr="00907702" w:rsidRDefault="004C1698" w:rsidP="008821D9">
            <w:pPr>
              <w:tabs>
                <w:tab w:val="left" w:pos="346"/>
              </w:tabs>
              <w:ind w:left="230" w:hanging="221"/>
              <w:rPr>
                <w:rFonts w:ascii="Calibri" w:hAnsi="Calibri" w:cs="Calibri"/>
              </w:rPr>
            </w:pPr>
          </w:p>
        </w:tc>
      </w:tr>
    </w:tbl>
    <w:p w:rsidR="00ED665B" w:rsidRPr="00907702" w:rsidRDefault="00ED665B" w:rsidP="00DC2656">
      <w:pPr>
        <w:rPr>
          <w:rFonts w:ascii="Calibri" w:hAnsi="Calibri" w:cs="Calibri"/>
        </w:rPr>
        <w:sectPr w:rsidR="00ED665B" w:rsidRPr="00907702">
          <w:pgSz w:w="11904" w:h="16838"/>
          <w:pgMar w:top="1378" w:right="1320" w:bottom="1272" w:left="129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10"/>
      </w:tblGrid>
      <w:tr w:rsidR="00ED665B" w:rsidRPr="00907702" w:rsidTr="000039A3">
        <w:trPr>
          <w:trHeight w:hRule="exact" w:val="8951"/>
        </w:trPr>
        <w:tc>
          <w:tcPr>
            <w:tcW w:w="9110"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0039A3">
            <w:pPr>
              <w:spacing w:before="120"/>
              <w:ind w:left="1086" w:right="336" w:hanging="439"/>
              <w:rPr>
                <w:rFonts w:ascii="Calibri" w:hAnsi="Calibri" w:cs="Calibri"/>
              </w:rPr>
            </w:pPr>
            <w:r>
              <w:rPr>
                <w:rFonts w:ascii="Calibri" w:hAnsi="Calibri"/>
                <w:color w:val="000000"/>
                <w:sz w:val="22"/>
              </w:rPr>
              <w:lastRenderedPageBreak/>
              <w:t xml:space="preserve">1.3. </w:t>
            </w:r>
            <w:r>
              <w:rPr>
                <w:rFonts w:ascii="Calibri" w:hAnsi="Calibri"/>
                <w:color w:val="000000"/>
                <w:sz w:val="22"/>
              </w:rPr>
              <w:tab/>
              <w:t>незалежно від ознак та симптомів ТБ та кількості клітин CD4, що становить менше 200 клітин/мм</w:t>
            </w:r>
            <w:r>
              <w:rPr>
                <w:rFonts w:ascii="Calibri" w:hAnsi="Calibri"/>
                <w:color w:val="000000"/>
                <w:sz w:val="22"/>
                <w:vertAlign w:val="superscript"/>
              </w:rPr>
              <w:t>3</w:t>
            </w:r>
          </w:p>
          <w:p w:rsidR="00ED665B" w:rsidRPr="008821D9" w:rsidRDefault="006C7D2F" w:rsidP="000039A3">
            <w:pPr>
              <w:ind w:left="1072" w:right="336"/>
              <w:rPr>
                <w:rFonts w:ascii="Calibri" w:hAnsi="Calibri" w:cs="Calibri"/>
                <w:i/>
                <w:iCs/>
              </w:rPr>
            </w:pPr>
            <w:r>
              <w:rPr>
                <w:rFonts w:ascii="Calibri" w:hAnsi="Calibri"/>
                <w:i/>
                <w:color w:val="000000"/>
                <w:sz w:val="22"/>
              </w:rPr>
              <w:t>(</w:t>
            </w:r>
            <w:r>
              <w:rPr>
                <w:rFonts w:ascii="Calibri" w:hAnsi="Calibri"/>
                <w:b/>
                <w:i/>
                <w:color w:val="000000"/>
                <w:sz w:val="22"/>
              </w:rPr>
              <w:t xml:space="preserve">сильна </w:t>
            </w:r>
            <w:r>
              <w:rPr>
                <w:rFonts w:ascii="Calibri" w:hAnsi="Calibri"/>
                <w:i/>
                <w:color w:val="000000"/>
                <w:sz w:val="22"/>
              </w:rPr>
              <w:t>рекомендація; помірна якість доказових даних щодо ефектів від проведених заходів).</w:t>
            </w:r>
          </w:p>
          <w:p w:rsidR="00ED665B" w:rsidRPr="008821D9" w:rsidRDefault="006C7D2F" w:rsidP="008821D9">
            <w:pPr>
              <w:spacing w:before="120"/>
              <w:ind w:left="178" w:right="336"/>
              <w:rPr>
                <w:rFonts w:ascii="Calibri" w:hAnsi="Calibri" w:cs="Calibri"/>
                <w:b/>
                <w:bCs/>
              </w:rPr>
            </w:pPr>
            <w:r>
              <w:rPr>
                <w:rFonts w:ascii="Calibri" w:hAnsi="Calibri"/>
                <w:b/>
                <w:color w:val="000000"/>
                <w:sz w:val="22"/>
              </w:rPr>
              <w:t>В амбулаторних умовах</w:t>
            </w:r>
          </w:p>
          <w:p w:rsidR="00ED665B" w:rsidRPr="00907702" w:rsidRDefault="006C7D2F" w:rsidP="008821D9">
            <w:pPr>
              <w:tabs>
                <w:tab w:val="left" w:pos="754"/>
              </w:tabs>
              <w:spacing w:before="120"/>
              <w:ind w:left="638" w:right="336" w:hanging="461"/>
              <w:rPr>
                <w:rFonts w:ascii="Calibri" w:hAnsi="Calibri" w:cs="Calibri"/>
              </w:rPr>
            </w:pPr>
            <w:r>
              <w:rPr>
                <w:rFonts w:ascii="Calibri" w:hAnsi="Calibri"/>
                <w:color w:val="000000"/>
                <w:sz w:val="22"/>
              </w:rPr>
              <w:t>2.</w:t>
            </w:r>
            <w:r>
              <w:rPr>
                <w:rFonts w:ascii="Calibri" w:hAnsi="Calibri"/>
                <w:color w:val="000000"/>
                <w:sz w:val="22"/>
              </w:rPr>
              <w:tab/>
              <w:t>ВООЗ рекомендує використовувати LF-LAM для діагностики активної форми ТБ у ВІЛ-позитивних дорослих, підлітків та дітей:</w:t>
            </w:r>
          </w:p>
          <w:p w:rsidR="00ED665B" w:rsidRPr="00907702" w:rsidRDefault="006C7D2F" w:rsidP="000039A3">
            <w:pPr>
              <w:tabs>
                <w:tab w:val="left" w:pos="1214"/>
              </w:tabs>
              <w:spacing w:before="120"/>
              <w:ind w:left="1086" w:right="336" w:hanging="442"/>
              <w:rPr>
                <w:rFonts w:ascii="Calibri" w:hAnsi="Calibri" w:cs="Calibri"/>
              </w:rPr>
            </w:pPr>
            <w:r>
              <w:rPr>
                <w:rFonts w:ascii="Calibri" w:hAnsi="Calibri"/>
                <w:color w:val="000000"/>
                <w:sz w:val="22"/>
              </w:rPr>
              <w:t>2</w:t>
            </w:r>
            <w:r w:rsidR="001F19DE">
              <w:rPr>
                <w:rFonts w:ascii="Calibri" w:hAnsi="Calibri"/>
                <w:color w:val="000000"/>
                <w:sz w:val="22"/>
              </w:rPr>
              <w:t>.</w:t>
            </w:r>
            <w:r>
              <w:rPr>
                <w:rFonts w:ascii="Calibri" w:hAnsi="Calibri"/>
                <w:color w:val="000000"/>
                <w:sz w:val="22"/>
              </w:rPr>
              <w:t>1.</w:t>
            </w:r>
            <w:r>
              <w:rPr>
                <w:rFonts w:ascii="Calibri" w:hAnsi="Calibri"/>
                <w:color w:val="000000"/>
                <w:sz w:val="22"/>
              </w:rPr>
              <w:tab/>
              <w:t>з ознаками та симптомами ТБ (легеневого та/або позалегеневого) або важко хворих</w:t>
            </w:r>
          </w:p>
          <w:p w:rsidR="00ED665B" w:rsidRPr="0038684E" w:rsidRDefault="006C7D2F" w:rsidP="000039A3">
            <w:pPr>
              <w:ind w:left="1086" w:right="336"/>
              <w:rPr>
                <w:rFonts w:ascii="Calibri" w:hAnsi="Calibri" w:cs="Calibri"/>
                <w:i/>
                <w:iCs/>
              </w:rPr>
            </w:pPr>
            <w:r>
              <w:rPr>
                <w:rFonts w:ascii="Calibri" w:hAnsi="Calibri"/>
                <w:b/>
                <w:i/>
                <w:color w:val="000000"/>
                <w:sz w:val="22"/>
              </w:rPr>
              <w:t>(</w:t>
            </w:r>
            <w:r w:rsidRPr="001F19DE">
              <w:rPr>
                <w:rFonts w:ascii="Calibri" w:hAnsi="Calibri"/>
                <w:b/>
                <w:i/>
                <w:color w:val="000000"/>
                <w:sz w:val="22"/>
              </w:rPr>
              <w:t>умовна рекомендація</w:t>
            </w:r>
            <w:r>
              <w:rPr>
                <w:rFonts w:ascii="Calibri" w:hAnsi="Calibri"/>
                <w:i/>
                <w:color w:val="000000"/>
                <w:sz w:val="22"/>
              </w:rPr>
              <w:t>, низька якість доказових даних щодо точності тестувань); та</w:t>
            </w:r>
          </w:p>
          <w:p w:rsidR="00ED665B" w:rsidRPr="00907702" w:rsidRDefault="006C7D2F" w:rsidP="000039A3">
            <w:pPr>
              <w:tabs>
                <w:tab w:val="left" w:pos="1214"/>
              </w:tabs>
              <w:spacing w:before="120"/>
              <w:ind w:left="1044" w:right="336" w:hanging="439"/>
              <w:rPr>
                <w:rFonts w:ascii="Calibri" w:hAnsi="Calibri" w:cs="Calibri"/>
              </w:rPr>
            </w:pPr>
            <w:r>
              <w:rPr>
                <w:rFonts w:ascii="Calibri" w:hAnsi="Calibri"/>
                <w:color w:val="000000"/>
                <w:sz w:val="22"/>
              </w:rPr>
              <w:t>2</w:t>
            </w:r>
            <w:r w:rsidR="001F19DE">
              <w:rPr>
                <w:rFonts w:ascii="Calibri" w:hAnsi="Calibri"/>
                <w:color w:val="000000"/>
                <w:sz w:val="22"/>
              </w:rPr>
              <w:t>.</w:t>
            </w:r>
            <w:r>
              <w:rPr>
                <w:rFonts w:ascii="Calibri" w:hAnsi="Calibri"/>
                <w:color w:val="000000"/>
                <w:sz w:val="22"/>
              </w:rPr>
              <w:t>2.</w:t>
            </w:r>
            <w:r>
              <w:rPr>
                <w:rFonts w:ascii="Calibri" w:hAnsi="Calibri"/>
                <w:color w:val="000000"/>
                <w:sz w:val="22"/>
              </w:rPr>
              <w:tab/>
              <w:t>незалежно від ознак та симптомів ТБ та кількості клітин CD4, що становить менше 100 клітин/мм</w:t>
            </w:r>
            <w:r>
              <w:rPr>
                <w:rFonts w:ascii="Calibri" w:hAnsi="Calibri"/>
                <w:color w:val="000000"/>
                <w:sz w:val="22"/>
                <w:vertAlign w:val="superscript"/>
              </w:rPr>
              <w:t>3</w:t>
            </w:r>
          </w:p>
          <w:p w:rsidR="00ED665B" w:rsidRPr="0038684E" w:rsidRDefault="006C7D2F" w:rsidP="000039A3">
            <w:pPr>
              <w:ind w:left="1044" w:right="336"/>
              <w:rPr>
                <w:rFonts w:ascii="Calibri" w:hAnsi="Calibri" w:cs="Calibri"/>
                <w:i/>
                <w:iCs/>
              </w:rPr>
            </w:pPr>
            <w:r>
              <w:rPr>
                <w:rFonts w:ascii="Calibri" w:hAnsi="Calibri"/>
                <w:b/>
                <w:i/>
                <w:color w:val="000000"/>
                <w:sz w:val="22"/>
              </w:rPr>
              <w:t xml:space="preserve">(умовна </w:t>
            </w:r>
            <w:r>
              <w:rPr>
                <w:rFonts w:ascii="Calibri" w:hAnsi="Calibri"/>
                <w:i/>
                <w:color w:val="000000"/>
                <w:sz w:val="22"/>
              </w:rPr>
              <w:t>рекомендація, дуже низька якість доказових даних щодо точності тестувань).</w:t>
            </w:r>
          </w:p>
          <w:p w:rsidR="00ED665B" w:rsidRPr="0038684E" w:rsidRDefault="006C7D2F" w:rsidP="008821D9">
            <w:pPr>
              <w:spacing w:before="120"/>
              <w:ind w:left="178" w:right="336"/>
              <w:rPr>
                <w:rFonts w:ascii="Calibri" w:hAnsi="Calibri" w:cs="Calibri"/>
                <w:b/>
                <w:bCs/>
              </w:rPr>
            </w:pPr>
            <w:r>
              <w:rPr>
                <w:rFonts w:ascii="Calibri" w:hAnsi="Calibri"/>
                <w:b/>
                <w:color w:val="000000"/>
                <w:sz w:val="22"/>
              </w:rPr>
              <w:t>В амбулаторних умовах</w:t>
            </w:r>
          </w:p>
          <w:p w:rsidR="00ED665B" w:rsidRPr="00907702" w:rsidRDefault="006C7D2F" w:rsidP="0038684E">
            <w:pPr>
              <w:spacing w:before="120"/>
              <w:ind w:left="638" w:right="336" w:hanging="461"/>
              <w:rPr>
                <w:rFonts w:ascii="Calibri" w:hAnsi="Calibri" w:cs="Calibri"/>
              </w:rPr>
            </w:pPr>
            <w:r>
              <w:rPr>
                <w:rFonts w:ascii="Calibri" w:hAnsi="Calibri"/>
                <w:color w:val="000000"/>
                <w:sz w:val="22"/>
              </w:rPr>
              <w:t>3.</w:t>
            </w:r>
            <w:r>
              <w:rPr>
                <w:rFonts w:ascii="Calibri" w:hAnsi="Calibri"/>
                <w:color w:val="000000"/>
                <w:sz w:val="22"/>
              </w:rPr>
              <w:tab/>
              <w:t>ВООЗ рекомендує використовувати LF-LAM для діагностики активної форми ТБ у ВІЛ-позитивних дорослих, підлітків та дітей:</w:t>
            </w:r>
          </w:p>
          <w:p w:rsidR="00ED665B" w:rsidRPr="0038684E" w:rsidRDefault="006C7D2F" w:rsidP="000039A3">
            <w:pPr>
              <w:tabs>
                <w:tab w:val="left" w:pos="1214"/>
              </w:tabs>
              <w:spacing w:before="120"/>
              <w:ind w:left="1085" w:right="336" w:hanging="461"/>
              <w:rPr>
                <w:rFonts w:ascii="Calibri" w:hAnsi="Calibri" w:cs="Calibri"/>
              </w:rPr>
            </w:pPr>
            <w:r>
              <w:rPr>
                <w:rFonts w:ascii="Calibri" w:hAnsi="Calibri"/>
                <w:color w:val="000000"/>
                <w:sz w:val="22"/>
              </w:rPr>
              <w:t>3.1.</w:t>
            </w:r>
            <w:r>
              <w:rPr>
                <w:rFonts w:ascii="Calibri" w:hAnsi="Calibri"/>
                <w:color w:val="000000"/>
                <w:sz w:val="22"/>
              </w:rPr>
              <w:tab/>
              <w:t>без оцінки симптомів ТБ</w:t>
            </w:r>
          </w:p>
          <w:p w:rsidR="00ED665B" w:rsidRPr="0038684E" w:rsidRDefault="006C7D2F" w:rsidP="000039A3">
            <w:pPr>
              <w:ind w:left="1098" w:right="336" w:hanging="21"/>
              <w:rPr>
                <w:rFonts w:ascii="Calibri" w:hAnsi="Calibri" w:cs="Calibri"/>
                <w:i/>
                <w:iCs/>
              </w:rPr>
            </w:pPr>
            <w:r>
              <w:rPr>
                <w:rFonts w:ascii="Calibri" w:hAnsi="Calibri"/>
                <w:b/>
                <w:i/>
                <w:color w:val="000000"/>
                <w:sz w:val="22"/>
              </w:rPr>
              <w:t>(</w:t>
            </w:r>
            <w:r w:rsidR="000039A3">
              <w:rPr>
                <w:rFonts w:ascii="Calibri" w:hAnsi="Calibri"/>
                <w:b/>
                <w:i/>
                <w:color w:val="000000"/>
                <w:sz w:val="22"/>
              </w:rPr>
              <w:t>с</w:t>
            </w:r>
            <w:r>
              <w:rPr>
                <w:rFonts w:ascii="Calibri" w:hAnsi="Calibri"/>
                <w:b/>
                <w:i/>
                <w:color w:val="000000"/>
                <w:sz w:val="22"/>
              </w:rPr>
              <w:t xml:space="preserve">ильна </w:t>
            </w:r>
            <w:r>
              <w:rPr>
                <w:rFonts w:ascii="Calibri" w:hAnsi="Calibri"/>
                <w:i/>
                <w:color w:val="000000"/>
                <w:sz w:val="22"/>
              </w:rPr>
              <w:t>рекомендація, дуже низька якість доказових даних щодо точності тестувань);</w:t>
            </w:r>
          </w:p>
          <w:p w:rsidR="00ED665B" w:rsidRPr="00907702" w:rsidRDefault="006C7D2F" w:rsidP="000039A3">
            <w:pPr>
              <w:tabs>
                <w:tab w:val="left" w:pos="1214"/>
              </w:tabs>
              <w:spacing w:before="120"/>
              <w:ind w:left="1086" w:right="336" w:hanging="461"/>
              <w:rPr>
                <w:rFonts w:ascii="Calibri" w:hAnsi="Calibri" w:cs="Calibri"/>
              </w:rPr>
            </w:pPr>
            <w:r>
              <w:rPr>
                <w:rFonts w:ascii="Calibri" w:hAnsi="Calibri"/>
                <w:color w:val="000000"/>
                <w:sz w:val="22"/>
              </w:rPr>
              <w:t>3.2.</w:t>
            </w:r>
            <w:r>
              <w:rPr>
                <w:rFonts w:ascii="Calibri" w:hAnsi="Calibri"/>
                <w:color w:val="000000"/>
                <w:sz w:val="22"/>
              </w:rPr>
              <w:tab/>
              <w:t>без симптомів ТБ та з невідомою кількістю клітин CD4, або без симптомів ТБ та з кількістю клітин CD4, що перевищує або дорівнює 200 клітинам/мм</w:t>
            </w:r>
            <w:r>
              <w:rPr>
                <w:rFonts w:ascii="Calibri" w:hAnsi="Calibri"/>
                <w:color w:val="000000"/>
                <w:sz w:val="22"/>
                <w:vertAlign w:val="superscript"/>
              </w:rPr>
              <w:t>3</w:t>
            </w:r>
          </w:p>
          <w:p w:rsidR="00ED665B" w:rsidRPr="0038684E" w:rsidRDefault="006C7D2F" w:rsidP="000039A3">
            <w:pPr>
              <w:ind w:left="1114" w:right="336" w:hanging="21"/>
              <w:rPr>
                <w:rFonts w:ascii="Calibri" w:hAnsi="Calibri" w:cs="Calibri"/>
                <w:i/>
                <w:iCs/>
              </w:rPr>
            </w:pPr>
            <w:r>
              <w:rPr>
                <w:rFonts w:ascii="Calibri" w:hAnsi="Calibri"/>
                <w:b/>
                <w:i/>
                <w:color w:val="000000"/>
                <w:sz w:val="22"/>
              </w:rPr>
              <w:t xml:space="preserve">(сильна </w:t>
            </w:r>
            <w:r>
              <w:rPr>
                <w:rFonts w:ascii="Calibri" w:hAnsi="Calibri"/>
                <w:i/>
                <w:color w:val="000000"/>
                <w:sz w:val="22"/>
              </w:rPr>
              <w:t>рекомендація, дуже низька якість доказових даних щодо точності тестувань); та</w:t>
            </w:r>
          </w:p>
          <w:p w:rsidR="0038684E" w:rsidRDefault="006C7D2F" w:rsidP="000039A3">
            <w:pPr>
              <w:tabs>
                <w:tab w:val="left" w:pos="1214"/>
              </w:tabs>
              <w:spacing w:before="120"/>
              <w:ind w:left="1100" w:right="336" w:hanging="481"/>
              <w:rPr>
                <w:rFonts w:ascii="Calibri" w:hAnsi="Calibri" w:cs="Calibri"/>
                <w:color w:val="000000"/>
                <w:sz w:val="22"/>
                <w:szCs w:val="22"/>
                <w:vertAlign w:val="superscript"/>
              </w:rPr>
            </w:pPr>
            <w:r>
              <w:rPr>
                <w:rFonts w:ascii="Calibri" w:hAnsi="Calibri"/>
                <w:color w:val="000000"/>
                <w:sz w:val="22"/>
              </w:rPr>
              <w:t>3</w:t>
            </w:r>
            <w:r w:rsidR="001F19DE">
              <w:rPr>
                <w:rFonts w:ascii="Calibri" w:hAnsi="Calibri"/>
                <w:color w:val="000000"/>
                <w:sz w:val="22"/>
              </w:rPr>
              <w:t>.</w:t>
            </w:r>
            <w:r>
              <w:rPr>
                <w:rFonts w:ascii="Calibri" w:hAnsi="Calibri"/>
                <w:color w:val="000000"/>
                <w:sz w:val="22"/>
              </w:rPr>
              <w:t>3.</w:t>
            </w:r>
            <w:r>
              <w:rPr>
                <w:rFonts w:ascii="Calibri" w:hAnsi="Calibri"/>
                <w:color w:val="000000"/>
                <w:sz w:val="22"/>
              </w:rPr>
              <w:tab/>
              <w:t>без симптомів ТБ та з кількістю клітин CD4 100-200 клітин/мм</w:t>
            </w:r>
            <w:r>
              <w:rPr>
                <w:rFonts w:ascii="Calibri" w:hAnsi="Calibri"/>
                <w:color w:val="000000"/>
                <w:sz w:val="22"/>
                <w:vertAlign w:val="superscript"/>
              </w:rPr>
              <w:t>3</w:t>
            </w:r>
            <w:r>
              <w:rPr>
                <w:rFonts w:ascii="Calibri" w:hAnsi="Calibri"/>
                <w:color w:val="000000"/>
                <w:sz w:val="22"/>
              </w:rPr>
              <w:t>.</w:t>
            </w:r>
            <w:r>
              <w:rPr>
                <w:rFonts w:ascii="Calibri" w:hAnsi="Calibri"/>
                <w:color w:val="000000"/>
                <w:sz w:val="22"/>
                <w:vertAlign w:val="superscript"/>
              </w:rPr>
              <w:t xml:space="preserve"> </w:t>
            </w:r>
          </w:p>
          <w:p w:rsidR="00ED665B" w:rsidRPr="0038684E" w:rsidRDefault="006C7D2F" w:rsidP="000039A3">
            <w:pPr>
              <w:tabs>
                <w:tab w:val="left" w:pos="1214"/>
              </w:tabs>
              <w:ind w:left="1098" w:right="336" w:hanging="21"/>
              <w:rPr>
                <w:rFonts w:ascii="Calibri" w:hAnsi="Calibri" w:cs="Calibri"/>
                <w:i/>
                <w:iCs/>
              </w:rPr>
            </w:pPr>
            <w:r>
              <w:rPr>
                <w:rFonts w:ascii="Calibri" w:hAnsi="Calibri"/>
                <w:b/>
                <w:i/>
                <w:color w:val="000000"/>
                <w:sz w:val="22"/>
              </w:rPr>
              <w:t xml:space="preserve">(умовна </w:t>
            </w:r>
            <w:r>
              <w:rPr>
                <w:rFonts w:ascii="Calibri" w:hAnsi="Calibri"/>
                <w:i/>
                <w:color w:val="000000"/>
                <w:sz w:val="22"/>
              </w:rPr>
              <w:t>рекомендація, дуже низька якість доказових даних щодо точності тестувань).</w:t>
            </w:r>
          </w:p>
        </w:tc>
      </w:tr>
      <w:tr w:rsidR="00ED665B" w:rsidRPr="00907702" w:rsidTr="008821D9">
        <w:trPr>
          <w:trHeight w:hRule="exact" w:val="274"/>
        </w:trPr>
        <w:tc>
          <w:tcPr>
            <w:tcW w:w="9110" w:type="dxa"/>
            <w:tcBorders>
              <w:top w:val="single" w:sz="8" w:space="0" w:color="009649"/>
              <w:left w:val="nil"/>
              <w:bottom w:val="nil"/>
              <w:right w:val="nil"/>
            </w:tcBorders>
            <w:shd w:val="clear" w:color="auto" w:fill="FFFFFF"/>
          </w:tcPr>
          <w:p w:rsidR="00ED665B" w:rsidRPr="00907702" w:rsidRDefault="00ED665B" w:rsidP="00DC2656">
            <w:pPr>
              <w:rPr>
                <w:rFonts w:ascii="Calibri" w:hAnsi="Calibri" w:cs="Calibri"/>
              </w:rPr>
            </w:pPr>
          </w:p>
        </w:tc>
      </w:tr>
    </w:tbl>
    <w:p w:rsidR="00ED665B" w:rsidRPr="0038684E" w:rsidRDefault="006C7D2F" w:rsidP="00DC2656">
      <w:pPr>
        <w:spacing w:before="149"/>
        <w:rPr>
          <w:rFonts w:ascii="Calibri" w:hAnsi="Calibri" w:cs="Calibri"/>
          <w:b/>
          <w:bCs/>
        </w:rPr>
      </w:pPr>
      <w:r>
        <w:rPr>
          <w:rFonts w:ascii="Calibri" w:hAnsi="Calibri"/>
          <w:b/>
          <w:color w:val="000000"/>
          <w:sz w:val="24"/>
        </w:rPr>
        <w:t>Примітки</w:t>
      </w:r>
    </w:p>
    <w:p w:rsidR="00ED665B" w:rsidRPr="00907702" w:rsidRDefault="006C7D2F" w:rsidP="00DC2656">
      <w:pPr>
        <w:numPr>
          <w:ilvl w:val="0"/>
          <w:numId w:val="17"/>
        </w:numPr>
        <w:tabs>
          <w:tab w:val="left" w:pos="283"/>
        </w:tabs>
        <w:spacing w:before="264"/>
        <w:ind w:left="283" w:right="43" w:hanging="283"/>
        <w:jc w:val="both"/>
        <w:rPr>
          <w:rFonts w:ascii="Calibri" w:hAnsi="Calibri" w:cs="Calibri"/>
          <w:color w:val="000000"/>
          <w:sz w:val="22"/>
          <w:szCs w:val="22"/>
        </w:rPr>
      </w:pPr>
      <w:r>
        <w:rPr>
          <w:rFonts w:ascii="Calibri" w:hAnsi="Calibri"/>
          <w:color w:val="000000"/>
          <w:sz w:val="22"/>
        </w:rPr>
        <w:t>Розглянуті дані та рекомендації стосуються тільки використання AlereLAM, оскільки інші внутрішні аналізи на основі LAM не були належним чином перевірені або використані поза обмежених параметрів досліджень. Будь-який новий або загальний аналіз на основі LAM має пройти адекватну валідацію в умовах передбачуваного використання.</w:t>
      </w:r>
    </w:p>
    <w:p w:rsidR="00ED665B" w:rsidRPr="00907702" w:rsidRDefault="006C7D2F" w:rsidP="00DC2656">
      <w:pPr>
        <w:numPr>
          <w:ilvl w:val="0"/>
          <w:numId w:val="17"/>
        </w:numPr>
        <w:tabs>
          <w:tab w:val="left" w:pos="283"/>
        </w:tabs>
        <w:spacing w:before="168"/>
        <w:ind w:left="283" w:right="43" w:hanging="283"/>
        <w:jc w:val="both"/>
        <w:rPr>
          <w:rFonts w:ascii="Calibri" w:hAnsi="Calibri" w:cs="Calibri"/>
          <w:color w:val="000000"/>
          <w:sz w:val="22"/>
          <w:szCs w:val="22"/>
        </w:rPr>
      </w:pPr>
      <w:r>
        <w:rPr>
          <w:rFonts w:ascii="Calibri" w:hAnsi="Calibri"/>
          <w:color w:val="000000"/>
          <w:sz w:val="22"/>
        </w:rPr>
        <w:t>Усі пацієнти з ознаками та симптомами легеневого ТБ, у яких виділяється мокротиння, повинні надати як мінімум один зразок мокротиння для аналізу Xpert® MTB/RIF (Ultra) в якості первинного діагностичного тесту. Сюди також відносяться діти та підлітки, що живуть з ВІЛ, які можуть надати зразок мокротиння.</w:t>
      </w:r>
    </w:p>
    <w:p w:rsidR="00ED665B" w:rsidRPr="00907702" w:rsidRDefault="00ED665B" w:rsidP="00DC2656">
      <w:pPr>
        <w:numPr>
          <w:ilvl w:val="0"/>
          <w:numId w:val="17"/>
        </w:numPr>
        <w:tabs>
          <w:tab w:val="left" w:pos="283"/>
        </w:tabs>
        <w:spacing w:before="168"/>
        <w:ind w:left="283" w:right="43" w:hanging="283"/>
        <w:jc w:val="both"/>
        <w:rPr>
          <w:rFonts w:ascii="Calibri" w:hAnsi="Calibri" w:cs="Calibri"/>
          <w:color w:val="000000"/>
          <w:sz w:val="22"/>
          <w:szCs w:val="22"/>
        </w:rPr>
        <w:sectPr w:rsidR="00ED665B" w:rsidRPr="00907702">
          <w:pgSz w:w="11904" w:h="16838"/>
          <w:pgMar w:top="1440" w:right="1373" w:bottom="1186" w:left="1416" w:header="720" w:footer="720" w:gutter="0"/>
          <w:cols w:space="60"/>
          <w:noEndnote/>
        </w:sectPr>
      </w:pPr>
    </w:p>
    <w:p w:rsidR="00ED665B" w:rsidRPr="00907702" w:rsidRDefault="006C7D2F" w:rsidP="00DC2656">
      <w:pPr>
        <w:numPr>
          <w:ilvl w:val="0"/>
          <w:numId w:val="18"/>
        </w:numPr>
        <w:tabs>
          <w:tab w:val="left" w:pos="283"/>
        </w:tabs>
        <w:ind w:left="283" w:right="5" w:hanging="283"/>
        <w:jc w:val="both"/>
        <w:rPr>
          <w:rFonts w:ascii="Calibri" w:hAnsi="Calibri" w:cs="Calibri"/>
          <w:color w:val="000000"/>
          <w:sz w:val="22"/>
          <w:szCs w:val="22"/>
        </w:rPr>
      </w:pPr>
      <w:r>
        <w:rPr>
          <w:rFonts w:ascii="Calibri" w:hAnsi="Calibri"/>
          <w:color w:val="000000"/>
          <w:sz w:val="22"/>
        </w:rPr>
        <w:lastRenderedPageBreak/>
        <w:t>Ці рекомендації стосуються також підлітків та дітей, які живуть з ВІЛ, на основі узагальнення даних про дорослих, враховуючи дуже обмежені дані для цих груп населення.</w:t>
      </w:r>
    </w:p>
    <w:p w:rsidR="00ED665B" w:rsidRPr="00907702" w:rsidRDefault="006C7D2F" w:rsidP="00DC2656">
      <w:pPr>
        <w:numPr>
          <w:ilvl w:val="0"/>
          <w:numId w:val="18"/>
        </w:numPr>
        <w:tabs>
          <w:tab w:val="left" w:pos="283"/>
        </w:tabs>
        <w:spacing w:before="163"/>
        <w:ind w:left="283" w:right="5" w:hanging="283"/>
        <w:jc w:val="both"/>
        <w:rPr>
          <w:rFonts w:ascii="Calibri" w:hAnsi="Calibri" w:cs="Calibri"/>
          <w:color w:val="000000"/>
          <w:sz w:val="22"/>
          <w:szCs w:val="22"/>
        </w:rPr>
      </w:pPr>
      <w:r>
        <w:rPr>
          <w:rFonts w:ascii="Calibri" w:hAnsi="Calibri"/>
          <w:color w:val="000000"/>
          <w:sz w:val="22"/>
        </w:rPr>
        <w:t>LF-LAM слід використовувати як доповнення до клінічного судження у поєднанні з іншими тестами; він не повинен використовуватися як заміна або вибір тактики лікування.</w:t>
      </w:r>
    </w:p>
    <w:p w:rsidR="00ED665B" w:rsidRPr="0038684E" w:rsidRDefault="006C7D2F" w:rsidP="00DC2656">
      <w:pPr>
        <w:spacing w:before="235"/>
        <w:rPr>
          <w:rFonts w:ascii="Calibri" w:hAnsi="Calibri" w:cs="Calibri"/>
          <w:b/>
          <w:bCs/>
        </w:rPr>
      </w:pPr>
      <w:r>
        <w:rPr>
          <w:rFonts w:ascii="Calibri" w:hAnsi="Calibri"/>
          <w:b/>
          <w:color w:val="009649"/>
          <w:sz w:val="28"/>
        </w:rPr>
        <w:t>Опис тесту</w:t>
      </w:r>
    </w:p>
    <w:p w:rsidR="00ED665B" w:rsidRPr="00907702" w:rsidRDefault="006C7D2F" w:rsidP="00DC2656">
      <w:pPr>
        <w:spacing w:before="168"/>
        <w:ind w:right="5"/>
        <w:jc w:val="both"/>
        <w:rPr>
          <w:rFonts w:ascii="Calibri" w:hAnsi="Calibri" w:cs="Calibri"/>
        </w:rPr>
      </w:pPr>
      <w:r>
        <w:rPr>
          <w:rFonts w:ascii="Calibri" w:hAnsi="Calibri"/>
          <w:color w:val="000000"/>
          <w:sz w:val="22"/>
        </w:rPr>
        <w:t xml:space="preserve">Тест сечі LF-LAM AlereLAM – це комерційно доступний тест для діагностики активної форми ТБ в умовах стаціонару </w:t>
      </w:r>
      <w:r w:rsidRPr="00BE6F5B">
        <w:rPr>
          <w:rFonts w:ascii="Calibri" w:hAnsi="Calibri"/>
          <w:i/>
          <w:color w:val="000000"/>
          <w:sz w:val="22"/>
        </w:rPr>
        <w:t>(24)</w:t>
      </w:r>
      <w:r>
        <w:rPr>
          <w:rFonts w:ascii="Calibri" w:hAnsi="Calibri"/>
          <w:color w:val="000000"/>
          <w:sz w:val="22"/>
        </w:rPr>
        <w:t xml:space="preserve">. AlereLAM – це імуноаналіз із захопленням антигену або антитіла, який виявляє антиген LAM у сечі, LAM – ліпополісахарид, присутній у клітинних стінках мікобактерій, який звільняється від метаболічно активних або дегенеруючих бактеріальних клітин під час захворювання на ТБ </w:t>
      </w:r>
      <w:r w:rsidRPr="001F19DE">
        <w:rPr>
          <w:rFonts w:ascii="Calibri" w:hAnsi="Calibri"/>
          <w:i/>
          <w:color w:val="000000"/>
          <w:sz w:val="22"/>
        </w:rPr>
        <w:t>(24, 25)</w:t>
      </w:r>
      <w:r>
        <w:rPr>
          <w:rFonts w:ascii="Calibri" w:hAnsi="Calibri"/>
          <w:color w:val="000000"/>
          <w:sz w:val="22"/>
        </w:rPr>
        <w:t>.</w:t>
      </w:r>
    </w:p>
    <w:p w:rsidR="00ED665B" w:rsidRPr="00907702" w:rsidRDefault="006C7D2F" w:rsidP="00DC2656">
      <w:pPr>
        <w:spacing w:before="168"/>
        <w:jc w:val="both"/>
        <w:rPr>
          <w:rFonts w:ascii="Calibri" w:hAnsi="Calibri" w:cs="Calibri"/>
        </w:rPr>
      </w:pPr>
      <w:r>
        <w:rPr>
          <w:rFonts w:ascii="Calibri" w:hAnsi="Calibri"/>
          <w:color w:val="000000"/>
          <w:sz w:val="22"/>
        </w:rPr>
        <w:t xml:space="preserve">AlereLAM виконується вручну шляхом нанесення 60 мкл сечі на тест-смужку (білий тампон, позначений символами стрілок на </w:t>
      </w:r>
      <w:r>
        <w:rPr>
          <w:rFonts w:ascii="Calibri" w:hAnsi="Calibri"/>
          <w:color w:val="1B61AF"/>
          <w:sz w:val="22"/>
        </w:rPr>
        <w:t>Рис. 2.2.3a)</w:t>
      </w:r>
      <w:r>
        <w:rPr>
          <w:rFonts w:ascii="Calibri" w:hAnsi="Calibri"/>
          <w:color w:val="000000"/>
          <w:sz w:val="22"/>
        </w:rPr>
        <w:t xml:space="preserve"> та витримування за кімнатної температури протягом 25 хвилин. Потім смужку оглядають візуально, щоб відшукати видимі смуги. Інтенсивність будь-якої видимої смуги на тест-смужці оцінюють, порівнюючи її з інтенсивністю смуг на контрольній картці, що постачається виробником (як показано в прикладі на </w:t>
      </w:r>
      <w:r>
        <w:rPr>
          <w:rFonts w:ascii="Calibri" w:hAnsi="Calibri"/>
          <w:color w:val="1B61AF"/>
          <w:sz w:val="22"/>
        </w:rPr>
        <w:t>Рис. 2.2.3b</w:t>
      </w:r>
      <w:r>
        <w:rPr>
          <w:rFonts w:ascii="Calibri" w:hAnsi="Calibri"/>
          <w:color w:val="000000"/>
          <w:sz w:val="22"/>
        </w:rPr>
        <w:t>).</w:t>
      </w:r>
    </w:p>
    <w:p w:rsidR="00ED665B" w:rsidRPr="00907702" w:rsidRDefault="00ED665B" w:rsidP="00DC2656">
      <w:pPr>
        <w:spacing w:before="168"/>
        <w:jc w:val="both"/>
        <w:rPr>
          <w:rFonts w:ascii="Calibri" w:hAnsi="Calibri" w:cs="Calibri"/>
        </w:rPr>
        <w:sectPr w:rsidR="00ED665B" w:rsidRPr="00907702" w:rsidSect="0038684E">
          <w:pgSz w:w="11904" w:h="16838"/>
          <w:pgMar w:top="1339" w:right="1411" w:bottom="8647" w:left="1416" w:header="720" w:footer="720" w:gutter="0"/>
          <w:cols w:space="60"/>
          <w:noEndnote/>
        </w:sectPr>
      </w:pPr>
    </w:p>
    <w:p w:rsidR="00ED665B" w:rsidRPr="0038684E" w:rsidRDefault="0038684E" w:rsidP="00DC2656">
      <w:pPr>
        <w:rPr>
          <w:rFonts w:ascii="Calibri" w:hAnsi="Calibri" w:cs="Calibri"/>
          <w:b/>
          <w:bCs/>
          <w:color w:val="7F7F7F" w:themeColor="text1" w:themeTint="80"/>
        </w:rPr>
      </w:pPr>
      <w:r>
        <w:rPr>
          <w:rFonts w:ascii="Calibri" w:hAnsi="Calibri"/>
          <w:b/>
          <w:color w:val="7F7F7F" w:themeColor="text1" w:themeTint="80"/>
          <w:sz w:val="22"/>
        </w:rPr>
        <w:lastRenderedPageBreak/>
        <w:t>Рис. 2.2.3. Alere Determine TB LAM Ag тести (AlereLAM): (а) індивідуальна тест-смужка та (b) контрольна картка, що додається до тест-смужки для «оцінки за шкалою» результату тесту та визначення позитивності</w:t>
      </w:r>
    </w:p>
    <w:p w:rsidR="00ED665B" w:rsidRPr="00907702" w:rsidRDefault="001F19DE" w:rsidP="00DC2656">
      <w:pPr>
        <w:spacing w:before="62"/>
        <w:ind w:left="139"/>
        <w:rPr>
          <w:rFonts w:ascii="Calibri" w:hAnsi="Calibri" w:cs="Calibri"/>
        </w:rPr>
      </w:pPr>
      <w:r>
        <w:rPr>
          <w:rFonts w:ascii="Calibri" w:hAnsi="Calibri"/>
          <w:b/>
          <w:noProof/>
          <w:color w:val="000000"/>
          <w:sz w:val="24"/>
          <w:lang w:val="en-US" w:bidi="ar-SA"/>
        </w:rPr>
        <mc:AlternateContent>
          <mc:Choice Requires="wps">
            <w:drawing>
              <wp:anchor distT="0" distB="0" distL="114300" distR="114300" simplePos="0" relativeHeight="251715584" behindDoc="0" locked="0" layoutInCell="1" allowOverlap="1" wp14:anchorId="2F66127A" wp14:editId="79DFAF61">
                <wp:simplePos x="0" y="0"/>
                <wp:positionH relativeFrom="page">
                  <wp:posOffset>2368550</wp:posOffset>
                </wp:positionH>
                <wp:positionV relativeFrom="page">
                  <wp:posOffset>5086350</wp:posOffset>
                </wp:positionV>
                <wp:extent cx="2198370" cy="426085"/>
                <wp:effectExtent l="0" t="0" r="0" b="0"/>
                <wp:wrapNone/>
                <wp:docPr id="564" name="Надпись 564"/>
                <wp:cNvGraphicFramePr/>
                <a:graphic xmlns:a="http://schemas.openxmlformats.org/drawingml/2006/main">
                  <a:graphicData uri="http://schemas.microsoft.com/office/word/2010/wordprocessingShape">
                    <wps:wsp>
                      <wps:cNvSpPr txBox="1"/>
                      <wps:spPr>
                        <a:xfrm>
                          <a:off x="0" y="0"/>
                          <a:ext cx="2198370" cy="426085"/>
                        </a:xfrm>
                        <a:prstGeom prst="rect">
                          <a:avLst/>
                        </a:prstGeom>
                        <a:solidFill>
                          <a:schemeClr val="lt1"/>
                        </a:solidFill>
                        <a:ln w="6350">
                          <a:noFill/>
                        </a:ln>
                      </wps:spPr>
                      <wps:txbx>
                        <w:txbxContent>
                          <w:p w:rsidR="00BE6F5B" w:rsidRPr="001F19DE" w:rsidRDefault="00BE6F5B" w:rsidP="00B638B8">
                            <w:pPr>
                              <w:rPr>
                                <w:rFonts w:asciiTheme="minorHAnsi" w:hAnsiTheme="minorHAnsi" w:cstheme="minorHAnsi"/>
                                <w:sz w:val="16"/>
                                <w:szCs w:val="18"/>
                              </w:rPr>
                            </w:pPr>
                            <w:r w:rsidRPr="001F19DE">
                              <w:rPr>
                                <w:rFonts w:asciiTheme="minorHAnsi" w:hAnsiTheme="minorHAnsi"/>
                                <w:sz w:val="16"/>
                              </w:rPr>
                              <w:t>Тест для діагностики туберкульозу Alere Determine™ TB LAM Ag</w:t>
                            </w:r>
                          </w:p>
                          <w:p w:rsidR="00BE6F5B" w:rsidRPr="001F19DE" w:rsidRDefault="00BE6F5B" w:rsidP="00B638B8">
                            <w:pPr>
                              <w:rPr>
                                <w:rFonts w:asciiTheme="minorHAnsi" w:hAnsiTheme="minorHAnsi" w:cstheme="minorHAnsi"/>
                                <w:sz w:val="22"/>
                                <w:szCs w:val="24"/>
                              </w:rPr>
                            </w:pPr>
                            <w:r w:rsidRPr="001F19DE">
                              <w:rPr>
                                <w:rFonts w:asciiTheme="minorHAnsi" w:hAnsiTheme="minorHAnsi"/>
                                <w:sz w:val="22"/>
                              </w:rPr>
                              <w:t>Довідкова картка зі шкалою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6127A" id="Надпись 564" o:spid="_x0000_s1060" type="#_x0000_t202" style="position:absolute;left:0;text-align:left;margin-left:186.5pt;margin-top:400.5pt;width:173.1pt;height:33.5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" fillcolor="white [3201]" stroked="f" strokeweight=".5pt">
                <v:textbox inset="0,0,0,0">
                  <w:txbxContent>
                    <w:p w:rsidR="00BE6F5B" w:rsidRPr="001F19DE" w:rsidRDefault="00BE6F5B" w:rsidP="00B638B8">
                      <w:pPr>
                        <w:rPr>
                          <w:rFonts w:asciiTheme="minorHAnsi" w:hAnsiTheme="minorHAnsi" w:cstheme="minorHAnsi"/>
                          <w:sz w:val="16"/>
                          <w:szCs w:val="18"/>
                        </w:rPr>
                      </w:pPr>
                      <w:r w:rsidRPr="001F19DE">
                        <w:rPr>
                          <w:rFonts w:asciiTheme="minorHAnsi" w:hAnsiTheme="minorHAnsi"/>
                          <w:sz w:val="16"/>
                        </w:rPr>
                        <w:t>Тест для діагностики туберкульозу Alere Determine™ TB LAM Ag</w:t>
                      </w:r>
                    </w:p>
                    <w:p w:rsidR="00BE6F5B" w:rsidRPr="001F19DE" w:rsidRDefault="00BE6F5B" w:rsidP="00B638B8">
                      <w:pPr>
                        <w:rPr>
                          <w:rFonts w:asciiTheme="minorHAnsi" w:hAnsiTheme="minorHAnsi" w:cstheme="minorHAnsi"/>
                          <w:sz w:val="22"/>
                          <w:szCs w:val="24"/>
                        </w:rPr>
                      </w:pPr>
                      <w:r w:rsidRPr="001F19DE">
                        <w:rPr>
                          <w:rFonts w:asciiTheme="minorHAnsi" w:hAnsiTheme="minorHAnsi"/>
                          <w:sz w:val="22"/>
                        </w:rPr>
                        <w:t>Довідкова картка зі шкалою</w:t>
                      </w:r>
                    </w:p>
                  </w:txbxContent>
                </v:textbox>
                <w10:wrap anchorx="page" anchory="page"/>
              </v:shape>
            </w:pict>
          </mc:Fallback>
        </mc:AlternateContent>
      </w:r>
      <w:r>
        <w:rPr>
          <w:rFonts w:ascii="Calibri" w:hAnsi="Calibri"/>
          <w:b/>
          <w:noProof/>
          <w:color w:val="000000"/>
          <w:sz w:val="24"/>
          <w:lang w:val="en-US" w:bidi="ar-SA"/>
        </w:rPr>
        <mc:AlternateContent>
          <mc:Choice Requires="wps">
            <w:drawing>
              <wp:anchor distT="0" distB="0" distL="114300" distR="114300" simplePos="0" relativeHeight="251713536" behindDoc="0" locked="0" layoutInCell="1" allowOverlap="1" wp14:anchorId="294F4AE2" wp14:editId="61F875E6">
                <wp:simplePos x="0" y="0"/>
                <wp:positionH relativeFrom="page">
                  <wp:posOffset>1701800</wp:posOffset>
                </wp:positionH>
                <wp:positionV relativeFrom="page">
                  <wp:posOffset>5257800</wp:posOffset>
                </wp:positionV>
                <wp:extent cx="450850" cy="229235"/>
                <wp:effectExtent l="0" t="0" r="6350" b="0"/>
                <wp:wrapNone/>
                <wp:docPr id="563" name="Надпись 563"/>
                <wp:cNvGraphicFramePr/>
                <a:graphic xmlns:a="http://schemas.openxmlformats.org/drawingml/2006/main">
                  <a:graphicData uri="http://schemas.microsoft.com/office/word/2010/wordprocessingShape">
                    <wps:wsp>
                      <wps:cNvSpPr txBox="1"/>
                      <wps:spPr>
                        <a:xfrm>
                          <a:off x="0" y="0"/>
                          <a:ext cx="450850" cy="229235"/>
                        </a:xfrm>
                        <a:prstGeom prst="rect">
                          <a:avLst/>
                        </a:prstGeom>
                        <a:solidFill>
                          <a:srgbClr val="8C1B51"/>
                        </a:solidFill>
                        <a:ln w="6350">
                          <a:noFill/>
                        </a:ln>
                      </wps:spPr>
                      <wps:txbx>
                        <w:txbxContent>
                          <w:p w:rsidR="00BE6F5B" w:rsidRPr="001F19DE" w:rsidRDefault="00BE6F5B" w:rsidP="00B638B8">
                            <w:pPr>
                              <w:rPr>
                                <w:rFonts w:asciiTheme="minorHAnsi" w:hAnsiTheme="minorHAnsi" w:cstheme="minorHAnsi"/>
                                <w:b/>
                                <w:color w:val="F6F7FC"/>
                              </w:rPr>
                            </w:pPr>
                            <w:r w:rsidRPr="001F19DE">
                              <w:rPr>
                                <w:rFonts w:asciiTheme="minorHAnsi" w:hAnsiTheme="minorHAnsi"/>
                                <w:b/>
                                <w:color w:val="F6F7FC"/>
                                <w:sz w:val="22"/>
                              </w:rPr>
                              <w:t>Alere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4AE2" id="Надпись 563" o:spid="_x0000_s1061" type="#_x0000_t202" style="position:absolute;left:0;text-align:left;margin-left:134pt;margin-top:414pt;width:35.5pt;height:18.0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" fillcolor="#8c1b51" stroked="f" strokeweight=".5pt">
                <v:textbox inset="0,0,0,0">
                  <w:txbxContent>
                    <w:p w:rsidR="00BE6F5B" w:rsidRPr="001F19DE" w:rsidRDefault="00BE6F5B" w:rsidP="00B638B8">
                      <w:pPr>
                        <w:rPr>
                          <w:rFonts w:asciiTheme="minorHAnsi" w:hAnsiTheme="minorHAnsi" w:cstheme="minorHAnsi"/>
                          <w:b/>
                          <w:color w:val="F6F7FC"/>
                        </w:rPr>
                      </w:pPr>
                      <w:r w:rsidRPr="001F19DE">
                        <w:rPr>
                          <w:rFonts w:asciiTheme="minorHAnsi" w:hAnsiTheme="minorHAnsi"/>
                          <w:b/>
                          <w:color w:val="F6F7FC"/>
                          <w:sz w:val="22"/>
                        </w:rPr>
                        <w:t>Alere</w:t>
                      </w:r>
                    </w:p>
                  </w:txbxContent>
                </v:textbox>
                <w10:wrap anchorx="page" anchory="page"/>
              </v:shape>
            </w:pict>
          </mc:Fallback>
        </mc:AlternateContent>
      </w:r>
      <w:r>
        <w:rPr>
          <w:rFonts w:ascii="Calibri" w:hAnsi="Calibri"/>
          <w:b/>
          <w:noProof/>
          <w:color w:val="000000"/>
          <w:sz w:val="24"/>
          <w:lang w:val="en-US" w:bidi="ar-SA"/>
        </w:rPr>
        <mc:AlternateContent>
          <mc:Choice Requires="wps">
            <w:drawing>
              <wp:anchor distT="0" distB="0" distL="114300" distR="114300" simplePos="0" relativeHeight="251711488" behindDoc="0" locked="0" layoutInCell="1" allowOverlap="1" wp14:anchorId="73E8015E" wp14:editId="2689578E">
                <wp:simplePos x="0" y="0"/>
                <wp:positionH relativeFrom="page">
                  <wp:posOffset>1773141</wp:posOffset>
                </wp:positionH>
                <wp:positionV relativeFrom="page">
                  <wp:posOffset>5550010</wp:posOffset>
                </wp:positionV>
                <wp:extent cx="2790770" cy="532655"/>
                <wp:effectExtent l="0" t="0" r="0" b="1270"/>
                <wp:wrapNone/>
                <wp:docPr id="562" name="Надпись 562"/>
                <wp:cNvGraphicFramePr/>
                <a:graphic xmlns:a="http://schemas.openxmlformats.org/drawingml/2006/main">
                  <a:graphicData uri="http://schemas.microsoft.com/office/word/2010/wordprocessingShape">
                    <wps:wsp>
                      <wps:cNvSpPr txBox="1"/>
                      <wps:spPr>
                        <a:xfrm>
                          <a:off x="0" y="0"/>
                          <a:ext cx="2790770" cy="532655"/>
                        </a:xfrm>
                        <a:prstGeom prst="rect">
                          <a:avLst/>
                        </a:prstGeom>
                        <a:solidFill>
                          <a:schemeClr val="lt1"/>
                        </a:solidFill>
                        <a:ln w="6350">
                          <a:noFill/>
                        </a:ln>
                      </wps:spPr>
                      <wps:txbx>
                        <w:txbxContent>
                          <w:p w:rsidR="00BE6F5B" w:rsidRPr="001F19DE" w:rsidRDefault="00BE6F5B" w:rsidP="00B638B8">
                            <w:pPr>
                              <w:rPr>
                                <w:rFonts w:asciiTheme="minorHAnsi" w:hAnsiTheme="minorHAnsi" w:cstheme="minorHAnsi"/>
                                <w:sz w:val="12"/>
                                <w:szCs w:val="14"/>
                              </w:rPr>
                            </w:pPr>
                            <w:r w:rsidRPr="001F19DE">
                              <w:rPr>
                                <w:rFonts w:asciiTheme="minorHAnsi" w:hAnsiTheme="minorHAnsi"/>
                                <w:sz w:val="12"/>
                              </w:rPr>
                              <w:t>• Тримайте картку поруч з вікном пацієнта і читайте результат</w:t>
                            </w:r>
                          </w:p>
                          <w:p w:rsidR="00BE6F5B" w:rsidRPr="001F19DE" w:rsidRDefault="00BE6F5B" w:rsidP="00B638B8">
                            <w:pPr>
                              <w:rPr>
                                <w:rFonts w:asciiTheme="minorHAnsi" w:hAnsiTheme="minorHAnsi" w:cstheme="minorHAnsi"/>
                                <w:sz w:val="12"/>
                                <w:szCs w:val="14"/>
                              </w:rPr>
                            </w:pPr>
                            <w:r w:rsidRPr="001F19DE">
                              <w:rPr>
                                <w:rFonts w:asciiTheme="minorHAnsi" w:hAnsiTheme="minorHAnsi"/>
                                <w:sz w:val="12"/>
                              </w:rPr>
                              <w:t>• Якщо рядок результатів важко визначити, зверніться до листка-вкладишу</w:t>
                            </w:r>
                          </w:p>
                          <w:p w:rsidR="00BE6F5B" w:rsidRPr="001F19DE" w:rsidRDefault="00BE6F5B" w:rsidP="00B638B8">
                            <w:pPr>
                              <w:rPr>
                                <w:rFonts w:asciiTheme="minorHAnsi" w:hAnsiTheme="minorHAnsi" w:cstheme="minorHAnsi"/>
                                <w:sz w:val="12"/>
                                <w:szCs w:val="14"/>
                              </w:rPr>
                            </w:pPr>
                            <w:r w:rsidRPr="001F19DE">
                              <w:rPr>
                                <w:rFonts w:asciiTheme="minorHAnsi" w:hAnsiTheme="minorHAnsi"/>
                                <w:sz w:val="12"/>
                              </w:rPr>
                              <w:t>• Зберігайте картку в сумці-наборі подалі від прямого світла і тепла</w:t>
                            </w:r>
                          </w:p>
                          <w:p w:rsidR="00BE6F5B" w:rsidRPr="001F19DE" w:rsidRDefault="00BE6F5B" w:rsidP="00B638B8">
                            <w:pPr>
                              <w:rPr>
                                <w:rFonts w:asciiTheme="minorHAnsi" w:hAnsiTheme="minorHAnsi" w:cstheme="minorHAnsi"/>
                                <w:sz w:val="10"/>
                                <w:szCs w:val="12"/>
                              </w:rPr>
                            </w:pPr>
                            <w:r w:rsidRPr="001F19DE">
                              <w:rPr>
                                <w:rFonts w:asciiTheme="minorHAnsi" w:hAnsiTheme="minorHAnsi"/>
                                <w:sz w:val="12"/>
                              </w:rPr>
                              <w:t>• Не використовуйте картку після закінчення терміну придатності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8015E" id="Надпись 562" o:spid="_x0000_s1062" type="#_x0000_t202" style="position:absolute;left:0;text-align:left;margin-left:139.6pt;margin-top:437pt;width:219.75pt;height:41.9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" fillcolor="white [3201]" stroked="f" strokeweight=".5pt">
                <v:textbox inset="0,0,0,0">
                  <w:txbxContent>
                    <w:p w:rsidR="00BE6F5B" w:rsidRPr="001F19DE" w:rsidRDefault="00BE6F5B" w:rsidP="00B638B8">
                      <w:pPr>
                        <w:rPr>
                          <w:rFonts w:asciiTheme="minorHAnsi" w:hAnsiTheme="minorHAnsi" w:cstheme="minorHAnsi"/>
                          <w:sz w:val="12"/>
                          <w:szCs w:val="14"/>
                        </w:rPr>
                      </w:pPr>
                      <w:r w:rsidRPr="001F19DE">
                        <w:rPr>
                          <w:rFonts w:asciiTheme="minorHAnsi" w:hAnsiTheme="minorHAnsi"/>
                          <w:sz w:val="12"/>
                        </w:rPr>
                        <w:t>• Тримайте картку поруч з вікном пацієнта і читайте результат</w:t>
                      </w:r>
                    </w:p>
                    <w:p w:rsidR="00BE6F5B" w:rsidRPr="001F19DE" w:rsidRDefault="00BE6F5B" w:rsidP="00B638B8">
                      <w:pPr>
                        <w:rPr>
                          <w:rFonts w:asciiTheme="minorHAnsi" w:hAnsiTheme="minorHAnsi" w:cstheme="minorHAnsi"/>
                          <w:sz w:val="12"/>
                          <w:szCs w:val="14"/>
                        </w:rPr>
                      </w:pPr>
                      <w:r w:rsidRPr="001F19DE">
                        <w:rPr>
                          <w:rFonts w:asciiTheme="minorHAnsi" w:hAnsiTheme="minorHAnsi"/>
                          <w:sz w:val="12"/>
                        </w:rPr>
                        <w:t>• Якщо рядок результатів важко визначити, зверніться до листка-вкладишу</w:t>
                      </w:r>
                    </w:p>
                    <w:p w:rsidR="00BE6F5B" w:rsidRPr="001F19DE" w:rsidRDefault="00BE6F5B" w:rsidP="00B638B8">
                      <w:pPr>
                        <w:rPr>
                          <w:rFonts w:asciiTheme="minorHAnsi" w:hAnsiTheme="minorHAnsi" w:cstheme="minorHAnsi"/>
                          <w:sz w:val="12"/>
                          <w:szCs w:val="14"/>
                        </w:rPr>
                      </w:pPr>
                      <w:r w:rsidRPr="001F19DE">
                        <w:rPr>
                          <w:rFonts w:asciiTheme="minorHAnsi" w:hAnsiTheme="minorHAnsi"/>
                          <w:sz w:val="12"/>
                        </w:rPr>
                        <w:t>• Зберігайте картку в сумці-наборі подалі від прямого світла і тепла</w:t>
                      </w:r>
                    </w:p>
                    <w:p w:rsidR="00BE6F5B" w:rsidRPr="001F19DE" w:rsidRDefault="00BE6F5B" w:rsidP="00B638B8">
                      <w:pPr>
                        <w:rPr>
                          <w:rFonts w:asciiTheme="minorHAnsi" w:hAnsiTheme="minorHAnsi" w:cstheme="minorHAnsi"/>
                          <w:sz w:val="10"/>
                          <w:szCs w:val="12"/>
                        </w:rPr>
                      </w:pPr>
                      <w:r w:rsidRPr="001F19DE">
                        <w:rPr>
                          <w:rFonts w:asciiTheme="minorHAnsi" w:hAnsiTheme="minorHAnsi"/>
                          <w:sz w:val="12"/>
                        </w:rPr>
                        <w:t>• Не використовуйте картку після закінчення терміну придатності</w:t>
                      </w:r>
                    </w:p>
                  </w:txbxContent>
                </v:textbox>
                <w10:wrap anchorx="page" anchory="page"/>
              </v:shape>
            </w:pict>
          </mc:Fallback>
        </mc:AlternateContent>
      </w:r>
      <w:r>
        <w:rPr>
          <w:rFonts w:ascii="Calibri" w:hAnsi="Calibri"/>
          <w:b/>
          <w:noProof/>
          <w:color w:val="000000"/>
          <w:sz w:val="24"/>
          <w:lang w:val="en-US" w:bidi="ar-SA"/>
        </w:rPr>
        <mc:AlternateContent>
          <mc:Choice Requires="wps">
            <w:drawing>
              <wp:anchor distT="0" distB="0" distL="114300" distR="114300" simplePos="0" relativeHeight="251719680" behindDoc="0" locked="0" layoutInCell="1" allowOverlap="1" wp14:anchorId="7DF0A558" wp14:editId="14041B1B">
                <wp:simplePos x="0" y="0"/>
                <wp:positionH relativeFrom="page">
                  <wp:posOffset>3789680</wp:posOffset>
                </wp:positionH>
                <wp:positionV relativeFrom="page">
                  <wp:posOffset>6049976</wp:posOffset>
                </wp:positionV>
                <wp:extent cx="856259" cy="158567"/>
                <wp:effectExtent l="0" t="0" r="1270" b="0"/>
                <wp:wrapNone/>
                <wp:docPr id="566" name="Надпись 566"/>
                <wp:cNvGraphicFramePr/>
                <a:graphic xmlns:a="http://schemas.openxmlformats.org/drawingml/2006/main">
                  <a:graphicData uri="http://schemas.microsoft.com/office/word/2010/wordprocessingShape">
                    <wps:wsp>
                      <wps:cNvSpPr txBox="1"/>
                      <wps:spPr>
                        <a:xfrm>
                          <a:off x="0" y="0"/>
                          <a:ext cx="856259" cy="158567"/>
                        </a:xfrm>
                        <a:prstGeom prst="rect">
                          <a:avLst/>
                        </a:prstGeom>
                        <a:solidFill>
                          <a:schemeClr val="lt1"/>
                        </a:solidFill>
                        <a:ln w="6350">
                          <a:noFill/>
                        </a:ln>
                      </wps:spPr>
                      <wps:txbx>
                        <w:txbxContent>
                          <w:p w:rsidR="00BE6F5B" w:rsidRPr="001F19DE" w:rsidRDefault="00BE6F5B" w:rsidP="00B638B8">
                            <w:pPr>
                              <w:jc w:val="center"/>
                              <w:rPr>
                                <w:rFonts w:asciiTheme="minorHAnsi" w:hAnsiTheme="minorHAnsi" w:cstheme="minorHAnsi"/>
                              </w:rPr>
                            </w:pPr>
                            <w:r w:rsidRPr="001F19DE">
                              <w:rPr>
                                <w:rFonts w:asciiTheme="minorHAnsi" w:hAnsiTheme="minorHAnsi"/>
                              </w:rPr>
                              <w:t>Негативний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A558" id="Надпись 566" o:spid="_x0000_s1063" type="#_x0000_t202" style="position:absolute;left:0;text-align:left;margin-left:298.4pt;margin-top:476.4pt;width:67.4pt;height:1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" fillcolor="white [3201]" stroked="f" strokeweight=".5pt">
                <v:textbox inset="0,0,0,0">
                  <w:txbxContent>
                    <w:p w:rsidR="00BE6F5B" w:rsidRPr="001F19DE" w:rsidRDefault="00BE6F5B" w:rsidP="00B638B8">
                      <w:pPr>
                        <w:jc w:val="center"/>
                        <w:rPr>
                          <w:rFonts w:asciiTheme="minorHAnsi" w:hAnsiTheme="minorHAnsi" w:cstheme="minorHAnsi"/>
                        </w:rPr>
                      </w:pPr>
                      <w:r w:rsidRPr="001F19DE">
                        <w:rPr>
                          <w:rFonts w:asciiTheme="minorHAnsi" w:hAnsiTheme="minorHAnsi"/>
                        </w:rPr>
                        <w:t>Негативний</w:t>
                      </w:r>
                    </w:p>
                  </w:txbxContent>
                </v:textbox>
                <w10:wrap anchorx="page" anchory="page"/>
              </v:shape>
            </w:pict>
          </mc:Fallback>
        </mc:AlternateContent>
      </w:r>
      <w:r>
        <w:rPr>
          <w:rFonts w:ascii="Calibri" w:hAnsi="Calibri"/>
          <w:b/>
          <w:noProof/>
          <w:color w:val="000000"/>
          <w:sz w:val="24"/>
          <w:lang w:val="en-US" w:bidi="ar-SA"/>
        </w:rPr>
        <mc:AlternateContent>
          <mc:Choice Requires="wps">
            <w:drawing>
              <wp:anchor distT="0" distB="0" distL="114300" distR="114300" simplePos="0" relativeHeight="251717632" behindDoc="0" locked="0" layoutInCell="1" allowOverlap="1" wp14:anchorId="7C909147" wp14:editId="51225305">
                <wp:simplePos x="0" y="0"/>
                <wp:positionH relativeFrom="page">
                  <wp:posOffset>2287905</wp:posOffset>
                </wp:positionH>
                <wp:positionV relativeFrom="page">
                  <wp:posOffset>6047436</wp:posOffset>
                </wp:positionV>
                <wp:extent cx="856259" cy="158567"/>
                <wp:effectExtent l="0" t="0" r="1270" b="0"/>
                <wp:wrapNone/>
                <wp:docPr id="565" name="Надпись 565"/>
                <wp:cNvGraphicFramePr/>
                <a:graphic xmlns:a="http://schemas.openxmlformats.org/drawingml/2006/main">
                  <a:graphicData uri="http://schemas.microsoft.com/office/word/2010/wordprocessingShape">
                    <wps:wsp>
                      <wps:cNvSpPr txBox="1"/>
                      <wps:spPr>
                        <a:xfrm>
                          <a:off x="0" y="0"/>
                          <a:ext cx="856259" cy="158567"/>
                        </a:xfrm>
                        <a:prstGeom prst="rect">
                          <a:avLst/>
                        </a:prstGeom>
                        <a:solidFill>
                          <a:schemeClr val="lt1"/>
                        </a:solidFill>
                        <a:ln w="6350">
                          <a:noFill/>
                        </a:ln>
                      </wps:spPr>
                      <wps:txbx>
                        <w:txbxContent>
                          <w:p w:rsidR="00BE6F5B" w:rsidRPr="001F19DE" w:rsidRDefault="00BE6F5B" w:rsidP="00B638B8">
                            <w:pPr>
                              <w:jc w:val="center"/>
                              <w:rPr>
                                <w:rFonts w:asciiTheme="minorHAnsi" w:hAnsiTheme="minorHAnsi" w:cstheme="minorHAnsi"/>
                              </w:rPr>
                            </w:pPr>
                            <w:r w:rsidRPr="001F19DE">
                              <w:rPr>
                                <w:rFonts w:asciiTheme="minorHAnsi" w:hAnsiTheme="minorHAnsi"/>
                              </w:rPr>
                              <w:t>Позитивний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09147" id="Надпись 565" o:spid="_x0000_s1064" type="#_x0000_t202" style="position:absolute;left:0;text-align:left;margin-left:180.15pt;margin-top:476.2pt;width:67.4pt;height:12.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" fillcolor="white [3201]" stroked="f" strokeweight=".5pt">
                <v:textbox inset="0,0,0,0">
                  <w:txbxContent>
                    <w:p w:rsidR="00BE6F5B" w:rsidRPr="001F19DE" w:rsidRDefault="00BE6F5B" w:rsidP="00B638B8">
                      <w:pPr>
                        <w:jc w:val="center"/>
                        <w:rPr>
                          <w:rFonts w:asciiTheme="minorHAnsi" w:hAnsiTheme="minorHAnsi" w:cstheme="minorHAnsi"/>
                        </w:rPr>
                      </w:pPr>
                      <w:r w:rsidRPr="001F19DE">
                        <w:rPr>
                          <w:rFonts w:asciiTheme="minorHAnsi" w:hAnsiTheme="minorHAnsi"/>
                        </w:rPr>
                        <w:t>Позитивний</w:t>
                      </w:r>
                    </w:p>
                  </w:txbxContent>
                </v:textbox>
                <w10:wrap anchorx="page" anchory="page"/>
              </v:shape>
            </w:pict>
          </mc:Fallback>
        </mc:AlternateContent>
      </w:r>
      <w:r>
        <w:rPr>
          <w:rFonts w:ascii="Calibri" w:hAnsi="Calibri"/>
          <w:b/>
          <w:noProof/>
          <w:color w:val="000000"/>
          <w:sz w:val="24"/>
          <w:lang w:val="en-US" w:bidi="ar-SA"/>
        </w:rPr>
        <mc:AlternateContent>
          <mc:Choice Requires="wps">
            <w:drawing>
              <wp:anchor distT="0" distB="0" distL="114300" distR="114300" simplePos="0" relativeHeight="251709440" behindDoc="0" locked="0" layoutInCell="1" allowOverlap="1" wp14:anchorId="2CD7B4F8" wp14:editId="6A4652E0">
                <wp:simplePos x="0" y="0"/>
                <wp:positionH relativeFrom="page">
                  <wp:posOffset>5367130</wp:posOffset>
                </wp:positionH>
                <wp:positionV relativeFrom="page">
                  <wp:posOffset>3951798</wp:posOffset>
                </wp:positionV>
                <wp:extent cx="1049573" cy="381663"/>
                <wp:effectExtent l="0" t="0" r="0" b="0"/>
                <wp:wrapNone/>
                <wp:docPr id="561" name="Надпись 561"/>
                <wp:cNvGraphicFramePr/>
                <a:graphic xmlns:a="http://schemas.openxmlformats.org/drawingml/2006/main">
                  <a:graphicData uri="http://schemas.microsoft.com/office/word/2010/wordprocessingShape">
                    <wps:wsp>
                      <wps:cNvSpPr txBox="1"/>
                      <wps:spPr>
                        <a:xfrm>
                          <a:off x="0" y="0"/>
                          <a:ext cx="1049573" cy="381663"/>
                        </a:xfrm>
                        <a:prstGeom prst="rect">
                          <a:avLst/>
                        </a:prstGeom>
                        <a:solidFill>
                          <a:schemeClr val="lt1"/>
                        </a:solidFill>
                        <a:ln w="6350">
                          <a:noFill/>
                        </a:ln>
                      </wps:spPr>
                      <wps:txbx>
                        <w:txbxContent>
                          <w:p w:rsidR="00BE6F5B" w:rsidRPr="00B638B8" w:rsidRDefault="00BE6F5B" w:rsidP="00B638B8">
                            <w:pPr>
                              <w:rPr>
                                <w:rFonts w:asciiTheme="minorHAnsi" w:hAnsiTheme="minorHAnsi" w:cstheme="minorHAnsi"/>
                              </w:rPr>
                            </w:pPr>
                            <w:r>
                              <w:rPr>
                                <w:rFonts w:asciiTheme="minorHAnsi" w:hAnsiTheme="minorHAnsi"/>
                                <w:sz w:val="22"/>
                              </w:rPr>
                              <w:t>Розмістити зразок тут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B4F8" id="Надпись 561" o:spid="_x0000_s1065" type="#_x0000_t202" style="position:absolute;left:0;text-align:left;margin-left:422.6pt;margin-top:311.15pt;width:82.65pt;height:30.0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" fillcolor="white [3201]" stroked="f" strokeweight=".5pt">
                <v:textbox inset="0,0,0,0">
                  <w:txbxContent>
                    <w:p w:rsidR="00BE6F5B" w:rsidRPr="00B638B8" w:rsidRDefault="00BE6F5B" w:rsidP="00B638B8">
                      <w:pPr>
                        <w:rPr>
                          <w:rFonts w:asciiTheme="minorHAnsi" w:hAnsiTheme="minorHAnsi" w:cstheme="minorHAnsi"/>
                        </w:rPr>
                      </w:pPr>
                      <w:r>
                        <w:rPr>
                          <w:rFonts w:asciiTheme="minorHAnsi" w:hAnsiTheme="minorHAnsi"/>
                          <w:sz w:val="22"/>
                        </w:rPr>
                        <w:t>Розмістити зразок тут</w:t>
                      </w:r>
                    </w:p>
                  </w:txbxContent>
                </v:textbox>
                <w10:wrap anchorx="page" anchory="page"/>
              </v:shape>
            </w:pict>
          </mc:Fallback>
        </mc:AlternateContent>
      </w:r>
      <w:r>
        <w:rPr>
          <w:rFonts w:ascii="Calibri" w:hAnsi="Calibri"/>
          <w:b/>
          <w:noProof/>
          <w:color w:val="000000"/>
          <w:sz w:val="24"/>
          <w:lang w:val="en-US" w:bidi="ar-SA"/>
        </w:rPr>
        <mc:AlternateContent>
          <mc:Choice Requires="wps">
            <w:drawing>
              <wp:anchor distT="0" distB="0" distL="114300" distR="114300" simplePos="0" relativeHeight="251704320" behindDoc="0" locked="0" layoutInCell="1" allowOverlap="1" wp14:anchorId="26E651D7" wp14:editId="6CDE5F3F">
                <wp:simplePos x="0" y="0"/>
                <wp:positionH relativeFrom="page">
                  <wp:posOffset>5335325</wp:posOffset>
                </wp:positionH>
                <wp:positionV relativeFrom="page">
                  <wp:posOffset>3069203</wp:posOffset>
                </wp:positionV>
                <wp:extent cx="1506382" cy="254442"/>
                <wp:effectExtent l="0" t="0" r="0" b="0"/>
                <wp:wrapNone/>
                <wp:docPr id="558" name="Надпись 558"/>
                <wp:cNvGraphicFramePr/>
                <a:graphic xmlns:a="http://schemas.openxmlformats.org/drawingml/2006/main">
                  <a:graphicData uri="http://schemas.microsoft.com/office/word/2010/wordprocessingShape">
                    <wps:wsp>
                      <wps:cNvSpPr txBox="1"/>
                      <wps:spPr>
                        <a:xfrm>
                          <a:off x="0" y="0"/>
                          <a:ext cx="1506382" cy="254442"/>
                        </a:xfrm>
                        <a:prstGeom prst="rect">
                          <a:avLst/>
                        </a:prstGeom>
                        <a:solidFill>
                          <a:schemeClr val="lt1"/>
                        </a:solidFill>
                        <a:ln w="6350">
                          <a:noFill/>
                        </a:ln>
                      </wps:spPr>
                      <wps:txbx>
                        <w:txbxContent>
                          <w:p w:rsidR="00BE6F5B" w:rsidRPr="00B638B8" w:rsidRDefault="00BE6F5B" w:rsidP="00B638B8">
                            <w:pPr>
                              <w:rPr>
                                <w:rFonts w:asciiTheme="minorHAnsi" w:hAnsiTheme="minorHAnsi" w:cstheme="minorHAnsi"/>
                              </w:rPr>
                            </w:pPr>
                            <w:r>
                              <w:rPr>
                                <w:rFonts w:asciiTheme="minorHAnsi" w:hAnsiTheme="minorHAnsi"/>
                                <w:sz w:val="22"/>
                              </w:rPr>
                              <w:t>Контрольне віконце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651D7" id="Надпись 558" o:spid="_x0000_s1066" type="#_x0000_t202" style="position:absolute;left:0;text-align:left;margin-left:420.1pt;margin-top:241.65pt;width:118.6pt;height:20.0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" fillcolor="white [3201]" stroked="f" strokeweight=".5pt">
                <v:textbox inset="0,0,0,0">
                  <w:txbxContent>
                    <w:p w:rsidR="00BE6F5B" w:rsidRPr="00B638B8" w:rsidRDefault="00BE6F5B" w:rsidP="00B638B8">
                      <w:pPr>
                        <w:rPr>
                          <w:rFonts w:asciiTheme="minorHAnsi" w:hAnsiTheme="minorHAnsi" w:cstheme="minorHAnsi"/>
                        </w:rPr>
                      </w:pPr>
                      <w:r>
                        <w:rPr>
                          <w:rFonts w:asciiTheme="minorHAnsi" w:hAnsiTheme="minorHAnsi"/>
                          <w:sz w:val="22"/>
                        </w:rPr>
                        <w:t>Контрольне віконце</w:t>
                      </w:r>
                    </w:p>
                  </w:txbxContent>
                </v:textbox>
                <w10:wrap anchorx="page" anchory="page"/>
              </v:shape>
            </w:pict>
          </mc:Fallback>
        </mc:AlternateContent>
      </w:r>
      <w:r>
        <w:rPr>
          <w:rFonts w:ascii="Calibri" w:hAnsi="Calibri"/>
          <w:b/>
          <w:noProof/>
          <w:color w:val="000000"/>
          <w:sz w:val="24"/>
          <w:lang w:val="en-US" w:bidi="ar-SA"/>
        </w:rPr>
        <mc:AlternateContent>
          <mc:Choice Requires="wps">
            <w:drawing>
              <wp:anchor distT="0" distB="0" distL="114300" distR="114300" simplePos="0" relativeHeight="251707392" behindDoc="0" locked="0" layoutInCell="1" allowOverlap="1" wp14:anchorId="29F8F24B" wp14:editId="4E73EB35">
                <wp:simplePos x="0" y="0"/>
                <wp:positionH relativeFrom="page">
                  <wp:posOffset>5351228</wp:posOffset>
                </wp:positionH>
                <wp:positionV relativeFrom="page">
                  <wp:posOffset>3323644</wp:posOffset>
                </wp:positionV>
                <wp:extent cx="1506382" cy="421419"/>
                <wp:effectExtent l="0" t="0" r="0" b="0"/>
                <wp:wrapNone/>
                <wp:docPr id="560" name="Надпись 560"/>
                <wp:cNvGraphicFramePr/>
                <a:graphic xmlns:a="http://schemas.openxmlformats.org/drawingml/2006/main">
                  <a:graphicData uri="http://schemas.microsoft.com/office/word/2010/wordprocessingShape">
                    <wps:wsp>
                      <wps:cNvSpPr txBox="1"/>
                      <wps:spPr>
                        <a:xfrm>
                          <a:off x="0" y="0"/>
                          <a:ext cx="1506382" cy="421419"/>
                        </a:xfrm>
                        <a:prstGeom prst="rect">
                          <a:avLst/>
                        </a:prstGeom>
                        <a:solidFill>
                          <a:schemeClr val="lt1"/>
                        </a:solidFill>
                        <a:ln w="6350">
                          <a:noFill/>
                        </a:ln>
                      </wps:spPr>
                      <wps:txbx>
                        <w:txbxContent>
                          <w:p w:rsidR="00BE6F5B" w:rsidRPr="00B638B8" w:rsidRDefault="00BE6F5B" w:rsidP="00B638B8">
                            <w:pPr>
                              <w:rPr>
                                <w:rFonts w:asciiTheme="minorHAnsi" w:hAnsiTheme="minorHAnsi" w:cstheme="minorHAnsi"/>
                              </w:rPr>
                            </w:pPr>
                            <w:r>
                              <w:rPr>
                                <w:rFonts w:asciiTheme="minorHAnsi" w:hAnsiTheme="minorHAnsi"/>
                                <w:sz w:val="22"/>
                              </w:rPr>
                              <w:t>Віконце результату пацієнта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8F24B" id="Надпись 560" o:spid="_x0000_s1067" type="#_x0000_t202" style="position:absolute;left:0;text-align:left;margin-left:421.35pt;margin-top:261.7pt;width:118.6pt;height:33.2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" fillcolor="white [3201]" stroked="f" strokeweight=".5pt">
                <v:textbox inset="0,0,0,0">
                  <w:txbxContent>
                    <w:p w:rsidR="00BE6F5B" w:rsidRPr="00B638B8" w:rsidRDefault="00BE6F5B" w:rsidP="00B638B8">
                      <w:pPr>
                        <w:rPr>
                          <w:rFonts w:asciiTheme="minorHAnsi" w:hAnsiTheme="minorHAnsi" w:cstheme="minorHAnsi"/>
                        </w:rPr>
                      </w:pPr>
                      <w:r>
                        <w:rPr>
                          <w:rFonts w:asciiTheme="minorHAnsi" w:hAnsiTheme="minorHAnsi"/>
                          <w:sz w:val="22"/>
                        </w:rPr>
                        <w:t>Віконце результату пацієнта</w:t>
                      </w:r>
                    </w:p>
                  </w:txbxContent>
                </v:textbox>
                <w10:wrap anchorx="page" anchory="page"/>
              </v:shape>
            </w:pict>
          </mc:Fallback>
        </mc:AlternateContent>
      </w:r>
      <w:r>
        <w:rPr>
          <w:rFonts w:ascii="Calibri" w:hAnsi="Calibri"/>
          <w:b/>
          <w:noProof/>
          <w:color w:val="000000"/>
          <w:sz w:val="24"/>
          <w:lang w:val="en-US" w:bidi="ar-SA"/>
        </w:rPr>
        <mc:AlternateContent>
          <mc:Choice Requires="wps">
            <w:drawing>
              <wp:anchor distT="0" distB="0" distL="114300" distR="114300" simplePos="0" relativeHeight="251702272" behindDoc="0" locked="0" layoutInCell="1" allowOverlap="1" wp14:anchorId="5013206D" wp14:editId="08CFDD14">
                <wp:simplePos x="0" y="0"/>
                <wp:positionH relativeFrom="page">
                  <wp:posOffset>4491990</wp:posOffset>
                </wp:positionH>
                <wp:positionV relativeFrom="page">
                  <wp:posOffset>1576070</wp:posOffset>
                </wp:positionV>
                <wp:extent cx="1973828" cy="200660"/>
                <wp:effectExtent l="0" t="0" r="7620" b="8890"/>
                <wp:wrapNone/>
                <wp:docPr id="557" name="Надпись 557"/>
                <wp:cNvGraphicFramePr/>
                <a:graphic xmlns:a="http://schemas.openxmlformats.org/drawingml/2006/main">
                  <a:graphicData uri="http://schemas.microsoft.com/office/word/2010/wordprocessingShape">
                    <wps:wsp>
                      <wps:cNvSpPr txBox="1"/>
                      <wps:spPr>
                        <a:xfrm>
                          <a:off x="0" y="0"/>
                          <a:ext cx="1973828" cy="200660"/>
                        </a:xfrm>
                        <a:prstGeom prst="rect">
                          <a:avLst/>
                        </a:prstGeom>
                        <a:solidFill>
                          <a:schemeClr val="lt1"/>
                        </a:solidFill>
                        <a:ln w="6350">
                          <a:noFill/>
                        </a:ln>
                      </wps:spPr>
                      <wps:txbx>
                        <w:txbxContent>
                          <w:p w:rsidR="00BE6F5B" w:rsidRPr="00B638B8" w:rsidRDefault="00BE6F5B" w:rsidP="00B638B8">
                            <w:pPr>
                              <w:rPr>
                                <w:rFonts w:asciiTheme="minorHAnsi" w:hAnsiTheme="minorHAnsi" w:cstheme="minorHAnsi"/>
                              </w:rPr>
                            </w:pPr>
                            <w:r>
                              <w:rPr>
                                <w:rStyle w:val="A7"/>
                                <w:rFonts w:asciiTheme="minorHAnsi" w:hAnsiTheme="minorHAnsi"/>
                              </w:rPr>
                              <w:t>Індивідуальна смужка LF-LAM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206D" id="Надпись 557" o:spid="_x0000_s1068" type="#_x0000_t202" style="position:absolute;left:0;text-align:left;margin-left:353.7pt;margin-top:124.1pt;width:155.4pt;height:15.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" fillcolor="white [3201]" stroked="f" strokeweight=".5pt">
                <v:textbox inset="0,0,0,0">
                  <w:txbxContent>
                    <w:p w:rsidR="00BE6F5B" w:rsidRPr="00B638B8" w:rsidRDefault="00BE6F5B" w:rsidP="00B638B8">
                      <w:pPr>
                        <w:rPr>
                          <w:rFonts w:asciiTheme="minorHAnsi" w:hAnsiTheme="minorHAnsi" w:cstheme="minorHAnsi"/>
                        </w:rPr>
                      </w:pPr>
                      <w:r>
                        <w:rPr>
                          <w:rStyle w:val="A7"/>
                          <w:rFonts w:asciiTheme="minorHAnsi" w:hAnsiTheme="minorHAnsi"/>
                        </w:rPr>
                        <w:t>Індивідуальна смужка LF-LAM</w:t>
                      </w:r>
                    </w:p>
                  </w:txbxContent>
                </v:textbox>
                <w10:wrap anchorx="page" anchory="page"/>
              </v:shape>
            </w:pict>
          </mc:Fallback>
        </mc:AlternateContent>
      </w:r>
      <w:r w:rsidR="00B638B8">
        <w:rPr>
          <w:rFonts w:ascii="Calibri" w:hAnsi="Calibri"/>
          <w:noProof/>
          <w:lang w:val="en-US" w:bidi="ar-SA"/>
        </w:rPr>
        <w:drawing>
          <wp:inline distT="0" distB="0" distL="0" distR="0">
            <wp:extent cx="5693410" cy="5375275"/>
            <wp:effectExtent l="0" t="0" r="0" b="0"/>
            <wp:docPr id="158"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693410" cy="5375275"/>
                    </a:xfrm>
                    <a:prstGeom prst="rect">
                      <a:avLst/>
                    </a:prstGeom>
                    <a:noFill/>
                    <a:ln>
                      <a:noFill/>
                    </a:ln>
                  </pic:spPr>
                </pic:pic>
              </a:graphicData>
            </a:graphic>
          </wp:inline>
        </w:drawing>
      </w:r>
    </w:p>
    <w:p w:rsidR="00ED665B" w:rsidRPr="00907702" w:rsidRDefault="006C7D2F" w:rsidP="00DC2656">
      <w:pPr>
        <w:spacing w:before="34"/>
        <w:ind w:left="91"/>
        <w:rPr>
          <w:rFonts w:ascii="Calibri" w:hAnsi="Calibri" w:cs="Calibri"/>
        </w:rPr>
      </w:pPr>
      <w:r>
        <w:rPr>
          <w:rFonts w:ascii="Calibri" w:hAnsi="Calibri"/>
          <w:color w:val="000000"/>
          <w:sz w:val="16"/>
        </w:rPr>
        <w:t xml:space="preserve">Джерело: Відтворено з дозволу компанії «Abbott», © 2021. Усі права захищені </w:t>
      </w:r>
      <w:r>
        <w:rPr>
          <w:rFonts w:ascii="Calibri" w:hAnsi="Calibri"/>
          <w:i/>
          <w:color w:val="000000"/>
          <w:sz w:val="16"/>
        </w:rPr>
        <w:t>(24).</w:t>
      </w:r>
    </w:p>
    <w:p w:rsidR="00ED665B" w:rsidRPr="00907702" w:rsidRDefault="006C7D2F" w:rsidP="00DC2656">
      <w:pPr>
        <w:spacing w:before="418"/>
        <w:ind w:left="86" w:right="5"/>
        <w:jc w:val="both"/>
        <w:rPr>
          <w:rFonts w:ascii="Calibri" w:hAnsi="Calibri" w:cs="Calibri"/>
        </w:rPr>
      </w:pPr>
      <w:r>
        <w:rPr>
          <w:rFonts w:ascii="Calibri" w:hAnsi="Calibri"/>
          <w:color w:val="000000"/>
          <w:sz w:val="22"/>
        </w:rPr>
        <w:t>AlereLAM розглядається як діагностичний тест, який може використовуватися в поєднанні з існуючими тестами для діагностики ВІЛ-асоційованого ТБ.</w:t>
      </w:r>
    </w:p>
    <w:p w:rsidR="00ED665B" w:rsidRPr="001F19DE" w:rsidRDefault="006C7D2F" w:rsidP="00DC2656">
      <w:pPr>
        <w:spacing w:before="235"/>
        <w:ind w:left="91"/>
        <w:rPr>
          <w:rFonts w:ascii="Calibri" w:hAnsi="Calibri" w:cs="Calibri"/>
          <w:b/>
        </w:rPr>
      </w:pPr>
      <w:r w:rsidRPr="001F19DE">
        <w:rPr>
          <w:rFonts w:ascii="Calibri" w:hAnsi="Calibri"/>
          <w:b/>
          <w:color w:val="009649"/>
          <w:sz w:val="28"/>
        </w:rPr>
        <w:t xml:space="preserve">Обґрунтування </w:t>
      </w:r>
      <w:r w:rsidRPr="001F19DE">
        <w:rPr>
          <w:rFonts w:ascii="Calibri" w:hAnsi="Calibri"/>
          <w:b/>
          <w:color w:val="059864"/>
          <w:sz w:val="28"/>
        </w:rPr>
        <w:t xml:space="preserve">та </w:t>
      </w:r>
      <w:r w:rsidRPr="001F19DE">
        <w:rPr>
          <w:rFonts w:ascii="Calibri" w:hAnsi="Calibri"/>
          <w:b/>
          <w:color w:val="009649"/>
          <w:sz w:val="28"/>
        </w:rPr>
        <w:t>дані</w:t>
      </w:r>
    </w:p>
    <w:p w:rsidR="00ED665B" w:rsidRPr="00907702" w:rsidRDefault="006C7D2F" w:rsidP="00DC2656">
      <w:pPr>
        <w:spacing w:before="163"/>
        <w:ind w:left="91"/>
        <w:jc w:val="both"/>
        <w:rPr>
          <w:rFonts w:ascii="Calibri" w:hAnsi="Calibri" w:cs="Calibri"/>
        </w:rPr>
      </w:pPr>
      <w:r>
        <w:rPr>
          <w:rFonts w:ascii="Calibri" w:hAnsi="Calibri"/>
          <w:color w:val="000000"/>
          <w:sz w:val="22"/>
        </w:rPr>
        <w:t>ВООЗ замовила проведення систематичного огляду, що узагальнює наявну наукову літературу щодо точності AlereLAM для діагностики ТБ у ЛЖВ як частини процесу ВООЗ для розробки оновлених рекомендацій щодо використання аналізу AlereLAM.</w:t>
      </w:r>
    </w:p>
    <w:p w:rsidR="00ED665B" w:rsidRPr="00907702" w:rsidRDefault="006C7D2F" w:rsidP="00DC2656">
      <w:pPr>
        <w:spacing w:before="163"/>
        <w:ind w:left="101"/>
        <w:jc w:val="both"/>
        <w:rPr>
          <w:rFonts w:ascii="Calibri" w:hAnsi="Calibri" w:cs="Calibri"/>
        </w:rPr>
      </w:pPr>
      <w:r>
        <w:rPr>
          <w:rFonts w:ascii="Calibri" w:hAnsi="Calibri"/>
          <w:color w:val="000000"/>
          <w:sz w:val="22"/>
        </w:rPr>
        <w:t xml:space="preserve">Питання PICO у </w:t>
      </w:r>
      <w:r w:rsidRPr="001F19DE">
        <w:rPr>
          <w:rFonts w:ascii="Calibri" w:hAnsi="Calibri"/>
          <w:color w:val="0070C0"/>
          <w:sz w:val="22"/>
        </w:rPr>
        <w:t>Вставці 2.2.2</w:t>
      </w:r>
      <w:r>
        <w:rPr>
          <w:rFonts w:ascii="Calibri" w:hAnsi="Calibri"/>
          <w:color w:val="000000"/>
          <w:sz w:val="22"/>
        </w:rPr>
        <w:t xml:space="preserve"> були розроблені, щоб створити основу для пошуку, зберігання та аналізу даних.</w:t>
      </w:r>
    </w:p>
    <w:p w:rsidR="00ED665B" w:rsidRPr="00907702" w:rsidRDefault="00ED665B" w:rsidP="00DC2656">
      <w:pPr>
        <w:spacing w:before="163"/>
        <w:ind w:left="101"/>
        <w:jc w:val="both"/>
        <w:rPr>
          <w:rFonts w:ascii="Calibri" w:hAnsi="Calibri" w:cs="Calibri"/>
        </w:rPr>
        <w:sectPr w:rsidR="00ED665B" w:rsidRPr="00907702">
          <w:pgSz w:w="11904" w:h="16838"/>
          <w:pgMar w:top="1378" w:right="1426" w:bottom="2208" w:left="1334" w:header="720" w:footer="720" w:gutter="0"/>
          <w:cols w:space="60"/>
          <w:noEndnote/>
        </w:sectPr>
      </w:pPr>
    </w:p>
    <w:p w:rsidR="00ED665B" w:rsidRPr="00907702" w:rsidRDefault="00962BA7" w:rsidP="00962BA7">
      <w:pPr>
        <w:tabs>
          <w:tab w:val="left" w:pos="235"/>
        </w:tabs>
        <w:rPr>
          <w:rFonts w:ascii="Calibri" w:hAnsi="Calibri" w:cs="Calibri"/>
          <w:b/>
          <w:bCs/>
          <w:color w:val="059864"/>
          <w:sz w:val="22"/>
          <w:szCs w:val="22"/>
        </w:rPr>
      </w:pPr>
      <w:r>
        <w:rPr>
          <w:rFonts w:ascii="Calibri" w:hAnsi="Calibri"/>
          <w:noProof/>
          <w:lang w:val="en-US" w:bidi="ar-SA"/>
        </w:rPr>
        <w:lastRenderedPageBreak/>
        <mc:AlternateContent>
          <mc:Choice Requires="wpg">
            <w:drawing>
              <wp:anchor distT="0" distB="0" distL="114300" distR="114300" simplePos="0" relativeHeight="251700224" behindDoc="0" locked="0" layoutInCell="1" allowOverlap="1" wp14:anchorId="4F4AEFC8" wp14:editId="08DDB6E2">
                <wp:simplePos x="0" y="0"/>
                <wp:positionH relativeFrom="margin">
                  <wp:posOffset>635</wp:posOffset>
                </wp:positionH>
                <wp:positionV relativeFrom="paragraph">
                  <wp:posOffset>-423545</wp:posOffset>
                </wp:positionV>
                <wp:extent cx="5778555" cy="8191501"/>
                <wp:effectExtent l="0" t="0" r="0" b="0"/>
                <wp:wrapNone/>
                <wp:docPr id="552" name="Группа 552"/>
                <wp:cNvGraphicFramePr/>
                <a:graphic xmlns:a="http://schemas.openxmlformats.org/drawingml/2006/main">
                  <a:graphicData uri="http://schemas.microsoft.com/office/word/2010/wordprocessingGroup">
                    <wpg:wgp>
                      <wpg:cNvGrpSpPr/>
                      <wpg:grpSpPr>
                        <a:xfrm>
                          <a:off x="0" y="0"/>
                          <a:ext cx="5778555" cy="8191501"/>
                          <a:chOff x="102" y="1098"/>
                          <a:chExt cx="5779112" cy="6234981"/>
                        </a:xfrm>
                      </wpg:grpSpPr>
                      <wps:wsp>
                        <wps:cNvPr id="553" name="Прямоугольник с двумя скругленными соседними углами 553"/>
                        <wps:cNvSpPr/>
                        <wps:spPr>
                          <a:xfrm rot="5400000">
                            <a:off x="-122214" y="281506"/>
                            <a:ext cx="6181835"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Прямоугольник с двумя скругленными соседними углами 554"/>
                        <wps:cNvSpPr/>
                        <wps:spPr>
                          <a:xfrm rot="5400000">
                            <a:off x="910685" y="-750377"/>
                            <a:ext cx="294093" cy="2115260"/>
                          </a:xfrm>
                          <a:prstGeom prst="round2SameRect">
                            <a:avLst>
                              <a:gd name="adj1" fmla="val 50000"/>
                              <a:gd name="adj2" fmla="val 0"/>
                            </a:avLst>
                          </a:prstGeom>
                          <a:solidFill>
                            <a:srgbClr val="0096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Надпись 555"/>
                        <wps:cNvSpPr txBox="1"/>
                        <wps:spPr>
                          <a:xfrm>
                            <a:off x="161888" y="234396"/>
                            <a:ext cx="5029200" cy="287020"/>
                          </a:xfrm>
                          <a:prstGeom prst="rect">
                            <a:avLst/>
                          </a:prstGeom>
                          <a:noFill/>
                          <a:ln w="6350">
                            <a:noFill/>
                          </a:ln>
                        </wps:spPr>
                        <wps:txbx>
                          <w:txbxContent>
                            <w:p w:rsidR="00BE6F5B" w:rsidRPr="00A3729E" w:rsidRDefault="00BE6F5B" w:rsidP="0038684E">
                              <w:pPr>
                                <w:rPr>
                                  <w:rFonts w:asciiTheme="minorHAnsi" w:hAnsiTheme="minorHAnsi" w:cstheme="minorHAnsi"/>
                                </w:rPr>
                              </w:pPr>
                              <w:r>
                                <w:rPr>
                                  <w:rFonts w:asciiTheme="minorHAnsi" w:hAnsiTheme="minorHAnsi"/>
                                  <w:b/>
                                  <w:color w:val="FFFFFF"/>
                                  <w:sz w:val="22"/>
                                </w:rPr>
                                <w:t>Вставка 2.2.2. Питання PICO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 name="Надпись 556"/>
                        <wps:cNvSpPr txBox="1"/>
                        <wps:spPr>
                          <a:xfrm>
                            <a:off x="385144" y="570595"/>
                            <a:ext cx="5082362" cy="5665484"/>
                          </a:xfrm>
                          <a:prstGeom prst="rect">
                            <a:avLst/>
                          </a:prstGeom>
                          <a:noFill/>
                          <a:ln w="6350">
                            <a:noFill/>
                          </a:ln>
                        </wps:spPr>
                        <wps:txbx>
                          <w:txbxContent>
                            <w:p w:rsidR="00BE6F5B" w:rsidRPr="00B716E5" w:rsidRDefault="00BE6F5B" w:rsidP="001F19DE">
                              <w:pPr>
                                <w:tabs>
                                  <w:tab w:val="left" w:pos="284"/>
                                </w:tabs>
                                <w:spacing w:after="120"/>
                                <w:jc w:val="both"/>
                                <w:rPr>
                                  <w:rFonts w:ascii="Calibri" w:hAnsi="Calibri" w:cs="Calibri"/>
                                  <w:b/>
                                  <w:bCs/>
                                  <w:color w:val="000000"/>
                                </w:rPr>
                              </w:pPr>
                              <w:r>
                                <w:rPr>
                                  <w:rFonts w:ascii="Calibri" w:hAnsi="Calibri"/>
                                  <w:b/>
                                  <w:color w:val="000000"/>
                                </w:rPr>
                                <w:t>1.</w:t>
                              </w:r>
                              <w:r>
                                <w:rPr>
                                  <w:rFonts w:ascii="Calibri" w:hAnsi="Calibri"/>
                                  <w:b/>
                                  <w:color w:val="000000"/>
                                </w:rPr>
                                <w:tab/>
                                <w:t>Яка точність діагностики LF-LAM для діагностики ТБ у всіх ВІЛ-позитивних дорослих та дітей з ознаками та симптомами ТБ?</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у стаціонарних умовах (дорослі, підлітки та діти старшого віку)</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амбулаторних умовах (дорослі, підлітки та діти старшого віку)</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усіх умовах (дорослі, підлітки та діти старшого віку)</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(діти віком </w:t>
                              </w:r>
                              <w:r>
                                <w:rPr>
                                  <w:rFonts w:ascii="Calibri" w:hAnsi="Calibri"/>
                                  <w:color w:val="000000"/>
                                </w:rPr>
                                <w:sym w:font="Symbol" w:char="F0A3"/>
                              </w:r>
                              <w:r>
                                <w:rPr>
                                  <w:rFonts w:ascii="Calibri" w:hAnsi="Calibri"/>
                                  <w:color w:val="000000"/>
                                </w:rPr>
                                <w:t>5 років)</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(діти віком </w:t>
                              </w:r>
                              <w:r>
                                <w:rPr>
                                  <w:rFonts w:ascii="Calibri" w:hAnsi="Calibri"/>
                                  <w:color w:val="000000"/>
                                </w:rPr>
                                <w:sym w:font="Symbol" w:char="F0A3"/>
                              </w:r>
                              <w:r>
                                <w:rPr>
                                  <w:rFonts w:ascii="Calibri" w:hAnsi="Calibri"/>
                                  <w:color w:val="000000"/>
                                </w:rPr>
                                <w:t>5 років)</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(діти віком </w:t>
                              </w:r>
                              <w:r>
                                <w:rPr>
                                  <w:rFonts w:ascii="Calibri" w:hAnsi="Calibri"/>
                                  <w:color w:val="000000"/>
                                </w:rPr>
                                <w:sym w:font="Symbol" w:char="F0A3"/>
                              </w:r>
                              <w:r>
                                <w:rPr>
                                  <w:rFonts w:ascii="Calibri" w:hAnsi="Calibri"/>
                                  <w:color w:val="000000"/>
                                </w:rPr>
                                <w:t>5 років)</w:t>
                              </w:r>
                            </w:p>
                            <w:p w:rsidR="00BE6F5B" w:rsidRPr="00B716E5" w:rsidRDefault="00BE6F5B" w:rsidP="001F19DE">
                              <w:pPr>
                                <w:tabs>
                                  <w:tab w:val="left" w:pos="284"/>
                                </w:tabs>
                                <w:spacing w:after="120"/>
                                <w:jc w:val="both"/>
                                <w:rPr>
                                  <w:rFonts w:ascii="Calibri" w:hAnsi="Calibri" w:cs="Calibri"/>
                                  <w:b/>
                                  <w:bCs/>
                                  <w:color w:val="000000"/>
                                </w:rPr>
                              </w:pPr>
                              <w:r>
                                <w:rPr>
                                  <w:rFonts w:ascii="Calibri" w:hAnsi="Calibri"/>
                                  <w:b/>
                                  <w:color w:val="000000"/>
                                </w:rPr>
                                <w:t>2.</w:t>
                              </w:r>
                              <w:r>
                                <w:rPr>
                                  <w:rFonts w:ascii="Calibri" w:hAnsi="Calibri"/>
                                  <w:b/>
                                  <w:color w:val="000000"/>
                                </w:rPr>
                                <w:tab/>
                                <w:t>Яка точність діагностики LF-LAM для діагностики ТБ у всіх ВІЛ-позитивних дорослих та дітей, незалежно від ознак та симптомів ТБ?</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у стаціонарних умовах (дорослі, підлітки та діти старшого віку)</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амбулаторних умовах (дорослі, підлітки та діти старшого віку)</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усіх умовах (дорослі, підлітки та діти старшого віку)</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(діти віком </w:t>
                              </w:r>
                              <w:r>
                                <w:rPr>
                                  <w:rFonts w:ascii="Calibri" w:hAnsi="Calibri"/>
                                  <w:color w:val="000000"/>
                                </w:rPr>
                                <w:sym w:font="Symbol" w:char="F0A3"/>
                              </w:r>
                              <w:r>
                                <w:rPr>
                                  <w:rFonts w:ascii="Calibri" w:hAnsi="Calibri"/>
                                  <w:color w:val="000000"/>
                                </w:rPr>
                                <w:t>5 років)</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(діти віком </w:t>
                              </w:r>
                              <w:r>
                                <w:rPr>
                                  <w:rFonts w:ascii="Calibri" w:hAnsi="Calibri"/>
                                  <w:color w:val="000000"/>
                                </w:rPr>
                                <w:sym w:font="Symbol" w:char="F0A3"/>
                              </w:r>
                              <w:r>
                                <w:rPr>
                                  <w:rFonts w:ascii="Calibri" w:hAnsi="Calibri"/>
                                  <w:color w:val="000000"/>
                                </w:rPr>
                                <w:t>5 років)</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(діти віком </w:t>
                              </w:r>
                              <w:r>
                                <w:rPr>
                                  <w:rFonts w:ascii="Calibri" w:hAnsi="Calibri"/>
                                  <w:color w:val="000000"/>
                                </w:rPr>
                                <w:sym w:font="Symbol" w:char="F0A3"/>
                              </w:r>
                              <w:r>
                                <w:rPr>
                                  <w:rFonts w:ascii="Calibri" w:hAnsi="Calibri"/>
                                  <w:color w:val="000000"/>
                                </w:rPr>
                                <w:t>5 років)</w:t>
                              </w:r>
                            </w:p>
                            <w:p w:rsidR="00BE6F5B" w:rsidRPr="00B716E5" w:rsidRDefault="00BE6F5B" w:rsidP="001F19DE">
                              <w:pPr>
                                <w:tabs>
                                  <w:tab w:val="left" w:pos="284"/>
                                </w:tabs>
                                <w:spacing w:after="120"/>
                                <w:jc w:val="both"/>
                                <w:rPr>
                                  <w:rFonts w:ascii="Calibri" w:hAnsi="Calibri" w:cs="Calibri"/>
                                  <w:b/>
                                  <w:bCs/>
                                  <w:color w:val="000000"/>
                                </w:rPr>
                              </w:pPr>
                              <w:r>
                                <w:rPr>
                                  <w:rFonts w:ascii="Calibri" w:hAnsi="Calibri"/>
                                  <w:b/>
                                  <w:color w:val="000000"/>
                                </w:rPr>
                                <w:t>3.</w:t>
                              </w:r>
                              <w:r>
                                <w:rPr>
                                  <w:rFonts w:ascii="Calibri" w:hAnsi="Calibri"/>
                                  <w:b/>
                                  <w:color w:val="000000"/>
                                </w:rPr>
                                <w:tab/>
                                <w:t>Яка точність діагностики LF-LAM для діагностики ТБ у дорослих з пізньою стадією ВІЛ-інфекції, незалежно від ознак та симптомів ТБ?</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кількість клітин CD4 </w:t>
                              </w:r>
                              <w:r>
                                <w:rPr>
                                  <w:rFonts w:ascii="Calibri" w:hAnsi="Calibri"/>
                                  <w:color w:val="000000"/>
                                </w:rPr>
                                <w:sym w:font="Symbol" w:char="F0A3"/>
                              </w:r>
                              <w:r>
                                <w:rPr>
                                  <w:rFonts w:ascii="Calibri" w:hAnsi="Calibri"/>
                                  <w:color w:val="000000"/>
                                </w:rPr>
                                <w:t>200</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кількість клітин CD4 </w:t>
                              </w:r>
                              <w:r>
                                <w:rPr>
                                  <w:rFonts w:ascii="Calibri" w:hAnsi="Calibri"/>
                                  <w:color w:val="000000"/>
                                </w:rPr>
                                <w:sym w:font="Symbol" w:char="F0A3"/>
                              </w:r>
                              <w:r>
                                <w:rPr>
                                  <w:rFonts w:ascii="Calibri" w:hAnsi="Calibri"/>
                                  <w:color w:val="000000"/>
                                </w:rPr>
                                <w:t>200</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кількість клітин CD4 </w:t>
                              </w:r>
                              <w:r>
                                <w:rPr>
                                  <w:rFonts w:ascii="Calibri" w:hAnsi="Calibri"/>
                                  <w:color w:val="000000"/>
                                </w:rPr>
                                <w:sym w:font="Symbol" w:char="F0A3"/>
                              </w:r>
                              <w:r>
                                <w:rPr>
                                  <w:rFonts w:ascii="Calibri" w:hAnsi="Calibri"/>
                                  <w:color w:val="000000"/>
                                </w:rPr>
                                <w:t>200</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кількість клітин CD4 </w:t>
                              </w:r>
                              <w:r>
                                <w:rPr>
                                  <w:rFonts w:ascii="Calibri" w:hAnsi="Calibri"/>
                                  <w:color w:val="000000"/>
                                </w:rPr>
                                <w:sym w:font="Symbol" w:char="F0A3"/>
                              </w:r>
                              <w:r>
                                <w:rPr>
                                  <w:rFonts w:ascii="Calibri" w:hAnsi="Calibri"/>
                                  <w:color w:val="000000"/>
                                </w:rPr>
                                <w:t>100</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кількість клітин CD4 </w:t>
                              </w:r>
                              <w:r>
                                <w:rPr>
                                  <w:rFonts w:ascii="Calibri" w:hAnsi="Calibri"/>
                                  <w:color w:val="000000"/>
                                </w:rPr>
                                <w:sym w:font="Symbol" w:char="F0A3"/>
                              </w:r>
                              <w:r>
                                <w:rPr>
                                  <w:rFonts w:ascii="Calibri" w:hAnsi="Calibri"/>
                                  <w:color w:val="000000"/>
                                </w:rPr>
                                <w:t>100</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кількість клітин CD4 </w:t>
                              </w:r>
                              <w:r>
                                <w:rPr>
                                  <w:rFonts w:ascii="Calibri" w:hAnsi="Calibri"/>
                                  <w:color w:val="000000"/>
                                </w:rPr>
                                <w:sym w:font="Symbol" w:char="F0A3"/>
                              </w:r>
                              <w:r>
                                <w:rPr>
                                  <w:rFonts w:ascii="Calibri" w:hAnsi="Calibri"/>
                                  <w:color w:val="000000"/>
                                </w:rPr>
                                <w:t>100</w:t>
                              </w:r>
                            </w:p>
                            <w:p w:rsidR="00BE6F5B" w:rsidRPr="00B716E5" w:rsidRDefault="00BE6F5B" w:rsidP="001F19DE">
                              <w:pPr>
                                <w:tabs>
                                  <w:tab w:val="left" w:pos="284"/>
                                </w:tabs>
                                <w:spacing w:after="120"/>
                                <w:jc w:val="both"/>
                                <w:rPr>
                                  <w:rFonts w:ascii="Calibri" w:hAnsi="Calibri" w:cs="Calibri"/>
                                  <w:b/>
                                  <w:bCs/>
                                  <w:color w:val="000000"/>
                                </w:rPr>
                              </w:pPr>
                              <w:r>
                                <w:rPr>
                                  <w:rFonts w:ascii="Calibri" w:hAnsi="Calibri"/>
                                  <w:b/>
                                  <w:color w:val="000000"/>
                                </w:rPr>
                                <w:t>4.</w:t>
                              </w:r>
                              <w:r>
                                <w:rPr>
                                  <w:rFonts w:ascii="Calibri" w:hAnsi="Calibri"/>
                                  <w:b/>
                                  <w:color w:val="000000"/>
                                </w:rPr>
                                <w:tab/>
                                <w:t>Чи може використання LF-LAM у ВІЛ-позитивних дорослих зменшити смертність, пов’язану з пізньою стадією ВІЛ-інфекції?</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усіх умовах</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у стаціонарних умовах</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амбулаторних умовах</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осіб з кількістю клітин CD4 </w:t>
                              </w:r>
                              <w:r>
                                <w:rPr>
                                  <w:rFonts w:ascii="Calibri" w:hAnsi="Calibri"/>
                                  <w:color w:val="000000"/>
                                </w:rPr>
                                <w:sym w:font="Symbol" w:char="F0A3"/>
                              </w:r>
                              <w:r>
                                <w:rPr>
                                  <w:rFonts w:ascii="Calibri" w:hAnsi="Calibri"/>
                                  <w:color w:val="000000"/>
                                </w:rPr>
                                <w:t>200</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кількість клітин CD4 </w:t>
                              </w:r>
                              <w:r>
                                <w:rPr>
                                  <w:rFonts w:ascii="Calibri" w:hAnsi="Calibri"/>
                                  <w:color w:val="000000"/>
                                </w:rPr>
                                <w:sym w:font="Symbol" w:char="F0A3"/>
                              </w:r>
                              <w:r>
                                <w:rPr>
                                  <w:rFonts w:ascii="Calibri" w:hAnsi="Calibri"/>
                                  <w:color w:val="000000"/>
                                </w:rPr>
                                <w:t>200</w:t>
                              </w:r>
                            </w:p>
                            <w:p w:rsidR="00BE6F5B" w:rsidRPr="00F85B2E" w:rsidRDefault="00BE6F5B" w:rsidP="001F19DE">
                              <w:pPr>
                                <w:tabs>
                                  <w:tab w:val="left" w:pos="284"/>
                                </w:tabs>
                                <w:spacing w:after="120"/>
                                <w:jc w:val="both"/>
                                <w:rPr>
                                  <w:rFonts w:asciiTheme="minorHAnsi" w:hAnsiTheme="minorHAnsi" w:cstheme="minorHAnsi"/>
                                </w:rPr>
                              </w:pPr>
                              <w:r>
                                <w:rPr>
                                  <w:rFonts w:ascii="Calibri" w:hAnsi="Calibri"/>
                                  <w:color w:val="009649"/>
                                </w:rPr>
                                <w:t>•</w:t>
                              </w:r>
                              <w:r>
                                <w:rPr>
                                  <w:rFonts w:ascii="Calibri" w:hAnsi="Calibri"/>
                                  <w:color w:val="000000"/>
                                </w:rPr>
                                <w:tab/>
                                <w:t xml:space="preserve">в амбулаторних умовах, кількість клітин CD4 </w:t>
                              </w:r>
                              <w:r>
                                <w:rPr>
                                  <w:rFonts w:ascii="Calibri" w:hAnsi="Calibri"/>
                                  <w:color w:val="000000"/>
                                </w:rPr>
                                <w:sym w:font="Symbol" w:char="F0A3"/>
                              </w:r>
                              <w:r>
                                <w:rPr>
                                  <w:rFonts w:ascii="Calibri" w:hAnsi="Calibri"/>
                                  <w:color w:val="000000"/>
                                </w:rPr>
                                <w:t>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4AEFC8" id="Группа 552" o:spid="_x0000_s1069" style="position:absolute;margin-left:.05pt;margin-top:-33.35pt;width:455pt;height:645pt;z-index:251700224;mso-position-horizontal-relative:margin;mso-width-relative:margin;mso-height-relative:margin" coordorigin="1,10" coordsize="57791,6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">
                <v:shape id="Прямоугольник с двумя скругленными соседними углами 553" o:spid="_x0000_s1070" style="position:absolute;left:-1223;top:2814;width:61819;height:56211;rotation:90;visibility:visible;mso-wrap-style:square;v-text-anchor:middle" coordsize="6181835,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" path="m464465,l5717370,v256517,,464465,207948,464465,464465l6181835,5621020r,l,5621020r,l,464465c,207948,207948,,464465,xe" fillcolor="#c6e0ce" stroked="f" strokeweight="1pt">
                  <v:stroke joinstyle="miter"/>
                  <v:path arrowok="t" o:connecttype="custom" o:connectlocs="464465,0;5717370,0;6181835,464465;6181835,5621020;6181835,5621020;0,5621020;0,5621020;0,464465;464465,0" o:connectangles="0,0,0,0,0,0,0,0,0"/>
                </v:shape>
                <v:shape id="Прямоугольник с двумя скругленными соседними углами 554" o:spid="_x0000_s1071" style="position:absolute;left:9107;top:-7504;width:2940;height:21152;rotation:90;visibility:visible;mso-wrap-style:square;v-text-anchor:middle" coordsize="294093,211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" path="m147047,r,c228259,,294094,65835,294094,147047v,656071,-1,1312142,-1,1968213l294093,2115260,,2115260r,l,147047c,65835,65835,,147047,xe" fillcolor="#009649" stroked="f" strokeweight="1pt">
                  <v:stroke joinstyle="miter"/>
                  <v:path arrowok="t" o:connecttype="custom" o:connectlocs="147047,0;147047,0;294094,147047;294093,2115260;294093,2115260;0,2115260;0,2115260;0,147047;147047,0" o:connectangles="0,0,0,0,0,0,0,0,0"/>
                </v:shape>
                <v:shape id="Надпись 555" o:spid="_x0000_s1072" type="#_x0000_t202" style="position:absolute;left:1618;top:2343;width:50292;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23xgAAANwAAAAPAAAAZHJzL2Rvd25yZXYueG1sRI9La8Mw&#10;EITvhf4HsYXcGjkFl+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aCrtt8YAAADcAAAA&#10;DwAAAAAAAAAAAAAAAAAHAgAAZHJzL2Rvd25yZXYueG1sUEsFBgAAAAADAAMAtwAAAPoCAAAAAA==&#10;" filled="f" stroked="f" strokeweight=".5pt">
                  <v:textbox inset="0,0,0,0">
                    <w:txbxContent>
                      <w:p w:rsidR="00BE6F5B" w:rsidRPr="00A3729E" w:rsidRDefault="00BE6F5B" w:rsidP="0038684E">
                        <w:pPr>
                          <w:rPr>
                            <w:rFonts w:asciiTheme="minorHAnsi" w:hAnsiTheme="minorHAnsi" w:cstheme="minorHAnsi"/>
                          </w:rPr>
                        </w:pPr>
                        <w:r>
                          <w:rPr>
                            <w:rFonts w:asciiTheme="minorHAnsi" w:hAnsiTheme="minorHAnsi"/>
                            <w:b/>
                            <w:color w:val="FFFFFF"/>
                            <w:sz w:val="22"/>
                          </w:rPr>
                          <w:t>Вставка 2.2.2. Питання PICO</w:t>
                        </w:r>
                      </w:p>
                    </w:txbxContent>
                  </v:textbox>
                </v:shape>
                <v:shape id="Надпись 556" o:spid="_x0000_s1073" type="#_x0000_t202" style="position:absolute;left:3851;top:5705;width:50824;height:5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AxgAAANwAAAAPAAAAZHJzL2Rvd25yZXYueG1sRI9BS8NA&#10;FITvBf/D8gRv7aaFFo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mPhzwMYAAADcAAAA&#10;DwAAAAAAAAAAAAAAAAAHAgAAZHJzL2Rvd25yZXYueG1sUEsFBgAAAAADAAMAtwAAAPoCAAAAAA==&#10;" filled="f" stroked="f" strokeweight=".5pt">
                  <v:textbox inset="0,0,0,0">
                    <w:txbxContent>
                      <w:p w:rsidR="00BE6F5B" w:rsidRPr="00B716E5" w:rsidRDefault="00BE6F5B" w:rsidP="001F19DE">
                        <w:pPr>
                          <w:tabs>
                            <w:tab w:val="left" w:pos="284"/>
                          </w:tabs>
                          <w:spacing w:after="120"/>
                          <w:jc w:val="both"/>
                          <w:rPr>
                            <w:rFonts w:ascii="Calibri" w:hAnsi="Calibri" w:cs="Calibri"/>
                            <w:b/>
                            <w:bCs/>
                            <w:color w:val="000000"/>
                          </w:rPr>
                        </w:pPr>
                        <w:r>
                          <w:rPr>
                            <w:rFonts w:ascii="Calibri" w:hAnsi="Calibri"/>
                            <w:b/>
                            <w:color w:val="000000"/>
                          </w:rPr>
                          <w:t>1.</w:t>
                        </w:r>
                        <w:r>
                          <w:rPr>
                            <w:rFonts w:ascii="Calibri" w:hAnsi="Calibri"/>
                            <w:b/>
                            <w:color w:val="000000"/>
                          </w:rPr>
                          <w:tab/>
                          <w:t>Яка точність діагностики LF-LAM для діагностики ТБ у всіх ВІЛ-позитивних дорослих та дітей з ознаками та симптомами ТБ?</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у стаціонарних умовах (дорослі, підлітки та діти старшого віку)</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амбулаторних умовах (дорослі, підлітки та діти старшого віку)</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усіх умовах (дорослі, підлітки та діти старшого віку)</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(діти віком </w:t>
                        </w:r>
                        <w:r>
                          <w:rPr>
                            <w:rFonts w:ascii="Calibri" w:hAnsi="Calibri"/>
                            <w:color w:val="000000"/>
                          </w:rPr>
                          <w:sym w:font="Symbol" w:char="F0A3"/>
                        </w:r>
                        <w:r>
                          <w:rPr>
                            <w:rFonts w:ascii="Calibri" w:hAnsi="Calibri"/>
                            <w:color w:val="000000"/>
                          </w:rPr>
                          <w:t>5 років)</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(діти віком </w:t>
                        </w:r>
                        <w:r>
                          <w:rPr>
                            <w:rFonts w:ascii="Calibri" w:hAnsi="Calibri"/>
                            <w:color w:val="000000"/>
                          </w:rPr>
                          <w:sym w:font="Symbol" w:char="F0A3"/>
                        </w:r>
                        <w:r>
                          <w:rPr>
                            <w:rFonts w:ascii="Calibri" w:hAnsi="Calibri"/>
                            <w:color w:val="000000"/>
                          </w:rPr>
                          <w:t>5 років)</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(діти віком </w:t>
                        </w:r>
                        <w:r>
                          <w:rPr>
                            <w:rFonts w:ascii="Calibri" w:hAnsi="Calibri"/>
                            <w:color w:val="000000"/>
                          </w:rPr>
                          <w:sym w:font="Symbol" w:char="F0A3"/>
                        </w:r>
                        <w:r>
                          <w:rPr>
                            <w:rFonts w:ascii="Calibri" w:hAnsi="Calibri"/>
                            <w:color w:val="000000"/>
                          </w:rPr>
                          <w:t>5 років)</w:t>
                        </w:r>
                      </w:p>
                      <w:p w:rsidR="00BE6F5B" w:rsidRPr="00B716E5" w:rsidRDefault="00BE6F5B" w:rsidP="001F19DE">
                        <w:pPr>
                          <w:tabs>
                            <w:tab w:val="left" w:pos="284"/>
                          </w:tabs>
                          <w:spacing w:after="120"/>
                          <w:jc w:val="both"/>
                          <w:rPr>
                            <w:rFonts w:ascii="Calibri" w:hAnsi="Calibri" w:cs="Calibri"/>
                            <w:b/>
                            <w:bCs/>
                            <w:color w:val="000000"/>
                          </w:rPr>
                        </w:pPr>
                        <w:r>
                          <w:rPr>
                            <w:rFonts w:ascii="Calibri" w:hAnsi="Calibri"/>
                            <w:b/>
                            <w:color w:val="000000"/>
                          </w:rPr>
                          <w:t>2.</w:t>
                        </w:r>
                        <w:r>
                          <w:rPr>
                            <w:rFonts w:ascii="Calibri" w:hAnsi="Calibri"/>
                            <w:b/>
                            <w:color w:val="000000"/>
                          </w:rPr>
                          <w:tab/>
                          <w:t>Яка точність діагностики LF-LAM для діагностики ТБ у всіх ВІЛ-позитивних дорослих та дітей, незалежно від ознак та симптомів ТБ?</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у стаціонарних умовах (дорослі, підлітки та діти старшого віку)</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амбулаторних умовах (дорослі, підлітки та діти старшого віку)</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усіх умовах (дорослі, підлітки та діти старшого віку)</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(діти віком </w:t>
                        </w:r>
                        <w:r>
                          <w:rPr>
                            <w:rFonts w:ascii="Calibri" w:hAnsi="Calibri"/>
                            <w:color w:val="000000"/>
                          </w:rPr>
                          <w:sym w:font="Symbol" w:char="F0A3"/>
                        </w:r>
                        <w:r>
                          <w:rPr>
                            <w:rFonts w:ascii="Calibri" w:hAnsi="Calibri"/>
                            <w:color w:val="000000"/>
                          </w:rPr>
                          <w:t>5 років)</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(діти віком </w:t>
                        </w:r>
                        <w:r>
                          <w:rPr>
                            <w:rFonts w:ascii="Calibri" w:hAnsi="Calibri"/>
                            <w:color w:val="000000"/>
                          </w:rPr>
                          <w:sym w:font="Symbol" w:char="F0A3"/>
                        </w:r>
                        <w:r>
                          <w:rPr>
                            <w:rFonts w:ascii="Calibri" w:hAnsi="Calibri"/>
                            <w:color w:val="000000"/>
                          </w:rPr>
                          <w:t>5 років)</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(діти віком </w:t>
                        </w:r>
                        <w:r>
                          <w:rPr>
                            <w:rFonts w:ascii="Calibri" w:hAnsi="Calibri"/>
                            <w:color w:val="000000"/>
                          </w:rPr>
                          <w:sym w:font="Symbol" w:char="F0A3"/>
                        </w:r>
                        <w:r>
                          <w:rPr>
                            <w:rFonts w:ascii="Calibri" w:hAnsi="Calibri"/>
                            <w:color w:val="000000"/>
                          </w:rPr>
                          <w:t>5 років)</w:t>
                        </w:r>
                      </w:p>
                      <w:p w:rsidR="00BE6F5B" w:rsidRPr="00B716E5" w:rsidRDefault="00BE6F5B" w:rsidP="001F19DE">
                        <w:pPr>
                          <w:tabs>
                            <w:tab w:val="left" w:pos="284"/>
                          </w:tabs>
                          <w:spacing w:after="120"/>
                          <w:jc w:val="both"/>
                          <w:rPr>
                            <w:rFonts w:ascii="Calibri" w:hAnsi="Calibri" w:cs="Calibri"/>
                            <w:b/>
                            <w:bCs/>
                            <w:color w:val="000000"/>
                          </w:rPr>
                        </w:pPr>
                        <w:r>
                          <w:rPr>
                            <w:rFonts w:ascii="Calibri" w:hAnsi="Calibri"/>
                            <w:b/>
                            <w:color w:val="000000"/>
                          </w:rPr>
                          <w:t>3.</w:t>
                        </w:r>
                        <w:r>
                          <w:rPr>
                            <w:rFonts w:ascii="Calibri" w:hAnsi="Calibri"/>
                            <w:b/>
                            <w:color w:val="000000"/>
                          </w:rPr>
                          <w:tab/>
                          <w:t>Яка точність діагностики LF-LAM для діагностики ТБ у дорослих з пізньою стадією ВІЛ-інфекції, незалежно від ознак та симптомів ТБ?</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кількість клітин CD4 </w:t>
                        </w:r>
                        <w:r>
                          <w:rPr>
                            <w:rFonts w:ascii="Calibri" w:hAnsi="Calibri"/>
                            <w:color w:val="000000"/>
                          </w:rPr>
                          <w:sym w:font="Symbol" w:char="F0A3"/>
                        </w:r>
                        <w:r>
                          <w:rPr>
                            <w:rFonts w:ascii="Calibri" w:hAnsi="Calibri"/>
                            <w:color w:val="000000"/>
                          </w:rPr>
                          <w:t>200</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кількість клітин CD4 </w:t>
                        </w:r>
                        <w:r>
                          <w:rPr>
                            <w:rFonts w:ascii="Calibri" w:hAnsi="Calibri"/>
                            <w:color w:val="000000"/>
                          </w:rPr>
                          <w:sym w:font="Symbol" w:char="F0A3"/>
                        </w:r>
                        <w:r>
                          <w:rPr>
                            <w:rFonts w:ascii="Calibri" w:hAnsi="Calibri"/>
                            <w:color w:val="000000"/>
                          </w:rPr>
                          <w:t>200</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кількість клітин CD4 </w:t>
                        </w:r>
                        <w:r>
                          <w:rPr>
                            <w:rFonts w:ascii="Calibri" w:hAnsi="Calibri"/>
                            <w:color w:val="000000"/>
                          </w:rPr>
                          <w:sym w:font="Symbol" w:char="F0A3"/>
                        </w:r>
                        <w:r>
                          <w:rPr>
                            <w:rFonts w:ascii="Calibri" w:hAnsi="Calibri"/>
                            <w:color w:val="000000"/>
                          </w:rPr>
                          <w:t>200</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кількість клітин CD4 </w:t>
                        </w:r>
                        <w:r>
                          <w:rPr>
                            <w:rFonts w:ascii="Calibri" w:hAnsi="Calibri"/>
                            <w:color w:val="000000"/>
                          </w:rPr>
                          <w:sym w:font="Symbol" w:char="F0A3"/>
                        </w:r>
                        <w:r>
                          <w:rPr>
                            <w:rFonts w:ascii="Calibri" w:hAnsi="Calibri"/>
                            <w:color w:val="000000"/>
                          </w:rPr>
                          <w:t>100</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амбулаторних умовах, кількість клітин CD4 </w:t>
                        </w:r>
                        <w:r>
                          <w:rPr>
                            <w:rFonts w:ascii="Calibri" w:hAnsi="Calibri"/>
                            <w:color w:val="000000"/>
                          </w:rPr>
                          <w:sym w:font="Symbol" w:char="F0A3"/>
                        </w:r>
                        <w:r>
                          <w:rPr>
                            <w:rFonts w:ascii="Calibri" w:hAnsi="Calibri"/>
                            <w:color w:val="000000"/>
                          </w:rPr>
                          <w:t>100</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усіх умовах, кількість клітин CD4 </w:t>
                        </w:r>
                        <w:r>
                          <w:rPr>
                            <w:rFonts w:ascii="Calibri" w:hAnsi="Calibri"/>
                            <w:color w:val="000000"/>
                          </w:rPr>
                          <w:sym w:font="Symbol" w:char="F0A3"/>
                        </w:r>
                        <w:r>
                          <w:rPr>
                            <w:rFonts w:ascii="Calibri" w:hAnsi="Calibri"/>
                            <w:color w:val="000000"/>
                          </w:rPr>
                          <w:t>100</w:t>
                        </w:r>
                      </w:p>
                      <w:p w:rsidR="00BE6F5B" w:rsidRPr="00B716E5" w:rsidRDefault="00BE6F5B" w:rsidP="001F19DE">
                        <w:pPr>
                          <w:tabs>
                            <w:tab w:val="left" w:pos="284"/>
                          </w:tabs>
                          <w:spacing w:after="120"/>
                          <w:jc w:val="both"/>
                          <w:rPr>
                            <w:rFonts w:ascii="Calibri" w:hAnsi="Calibri" w:cs="Calibri"/>
                            <w:b/>
                            <w:bCs/>
                            <w:color w:val="000000"/>
                          </w:rPr>
                        </w:pPr>
                        <w:r>
                          <w:rPr>
                            <w:rFonts w:ascii="Calibri" w:hAnsi="Calibri"/>
                            <w:b/>
                            <w:color w:val="000000"/>
                          </w:rPr>
                          <w:t>4.</w:t>
                        </w:r>
                        <w:r>
                          <w:rPr>
                            <w:rFonts w:ascii="Calibri" w:hAnsi="Calibri"/>
                            <w:b/>
                            <w:color w:val="000000"/>
                          </w:rPr>
                          <w:tab/>
                          <w:t>Чи може використання LF-LAM у ВІЛ-позитивних дорослих зменшити смертність, пов’язану з пізньою стадією ВІЛ-інфекції?</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усіх умовах</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у стаціонарних умовах</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в амбулаторних умовах</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в осіб з кількістю клітин CD4 </w:t>
                        </w:r>
                        <w:r>
                          <w:rPr>
                            <w:rFonts w:ascii="Calibri" w:hAnsi="Calibri"/>
                            <w:color w:val="000000"/>
                          </w:rPr>
                          <w:sym w:font="Symbol" w:char="F0A3"/>
                        </w:r>
                        <w:r>
                          <w:rPr>
                            <w:rFonts w:ascii="Calibri" w:hAnsi="Calibri"/>
                            <w:color w:val="000000"/>
                          </w:rPr>
                          <w:t>200</w:t>
                        </w:r>
                      </w:p>
                      <w:p w:rsidR="00BE6F5B" w:rsidRPr="00962BA7" w:rsidRDefault="00BE6F5B" w:rsidP="001F19DE">
                        <w:pPr>
                          <w:tabs>
                            <w:tab w:val="left" w:pos="284"/>
                          </w:tabs>
                          <w:spacing w:after="120"/>
                          <w:jc w:val="both"/>
                          <w:rPr>
                            <w:rFonts w:ascii="Calibri" w:hAnsi="Calibri" w:cs="Calibri"/>
                            <w:color w:val="000000"/>
                          </w:rPr>
                        </w:pPr>
                        <w:r>
                          <w:rPr>
                            <w:rFonts w:ascii="Calibri" w:hAnsi="Calibri"/>
                            <w:color w:val="009649"/>
                          </w:rPr>
                          <w:t>•</w:t>
                        </w:r>
                        <w:r>
                          <w:rPr>
                            <w:rFonts w:ascii="Calibri" w:hAnsi="Calibri"/>
                            <w:color w:val="000000"/>
                          </w:rPr>
                          <w:tab/>
                          <w:t xml:space="preserve">у стаціонарних умовах, кількість клітин CD4 </w:t>
                        </w:r>
                        <w:r>
                          <w:rPr>
                            <w:rFonts w:ascii="Calibri" w:hAnsi="Calibri"/>
                            <w:color w:val="000000"/>
                          </w:rPr>
                          <w:sym w:font="Symbol" w:char="F0A3"/>
                        </w:r>
                        <w:r>
                          <w:rPr>
                            <w:rFonts w:ascii="Calibri" w:hAnsi="Calibri"/>
                            <w:color w:val="000000"/>
                          </w:rPr>
                          <w:t>200</w:t>
                        </w:r>
                      </w:p>
                      <w:p w:rsidR="00BE6F5B" w:rsidRPr="00F85B2E" w:rsidRDefault="00BE6F5B" w:rsidP="001F19DE">
                        <w:pPr>
                          <w:tabs>
                            <w:tab w:val="left" w:pos="284"/>
                          </w:tabs>
                          <w:spacing w:after="120"/>
                          <w:jc w:val="both"/>
                          <w:rPr>
                            <w:rFonts w:asciiTheme="minorHAnsi" w:hAnsiTheme="minorHAnsi" w:cstheme="minorHAnsi"/>
                          </w:rPr>
                        </w:pPr>
                        <w:r>
                          <w:rPr>
                            <w:rFonts w:ascii="Calibri" w:hAnsi="Calibri"/>
                            <w:color w:val="009649"/>
                          </w:rPr>
                          <w:t>•</w:t>
                        </w:r>
                        <w:r>
                          <w:rPr>
                            <w:rFonts w:ascii="Calibri" w:hAnsi="Calibri"/>
                            <w:color w:val="000000"/>
                          </w:rPr>
                          <w:tab/>
                          <w:t xml:space="preserve">в амбулаторних умовах, кількість клітин CD4 </w:t>
                        </w:r>
                        <w:r>
                          <w:rPr>
                            <w:rFonts w:ascii="Calibri" w:hAnsi="Calibri"/>
                            <w:color w:val="000000"/>
                          </w:rPr>
                          <w:sym w:font="Symbol" w:char="F0A3"/>
                        </w:r>
                        <w:r>
                          <w:rPr>
                            <w:rFonts w:ascii="Calibri" w:hAnsi="Calibri"/>
                            <w:color w:val="000000"/>
                          </w:rPr>
                          <w:t>200</w:t>
                        </w:r>
                      </w:p>
                    </w:txbxContent>
                  </v:textbox>
                </v:shape>
                <w10:wrap anchorx="margin"/>
              </v:group>
            </w:pict>
          </mc:Fallback>
        </mc:AlternateContent>
      </w:r>
    </w:p>
    <w:p w:rsidR="00ED665B" w:rsidRPr="00907702" w:rsidRDefault="00ED665B" w:rsidP="00DC2656">
      <w:pPr>
        <w:numPr>
          <w:ilvl w:val="0"/>
          <w:numId w:val="12"/>
        </w:numPr>
        <w:tabs>
          <w:tab w:val="left" w:pos="235"/>
        </w:tabs>
        <w:ind w:left="14"/>
        <w:rPr>
          <w:rFonts w:ascii="Calibri" w:hAnsi="Calibri" w:cs="Calibri"/>
          <w:b/>
          <w:bCs/>
          <w:color w:val="059864"/>
          <w:sz w:val="22"/>
          <w:szCs w:val="22"/>
        </w:rPr>
        <w:sectPr w:rsidR="00ED665B" w:rsidRPr="00907702">
          <w:pgSz w:w="11904" w:h="16838"/>
          <w:pgMar w:top="2347" w:right="1781" w:bottom="1546" w:left="1934" w:header="720" w:footer="720" w:gutter="0"/>
          <w:cols w:space="60"/>
          <w:noEndnote/>
        </w:sectPr>
      </w:pPr>
    </w:p>
    <w:p w:rsidR="00ED665B" w:rsidRPr="00907702" w:rsidRDefault="00B716E5" w:rsidP="00B716E5">
      <w:pPr>
        <w:spacing w:before="4800"/>
        <w:ind w:left="5" w:right="5"/>
        <w:jc w:val="both"/>
        <w:rPr>
          <w:rFonts w:ascii="Calibri" w:hAnsi="Calibri" w:cs="Calibri"/>
        </w:rPr>
      </w:pPr>
      <w:r>
        <w:rPr>
          <w:rFonts w:ascii="Calibri" w:hAnsi="Calibri"/>
          <w:noProof/>
          <w:lang w:val="en-US" w:bidi="ar-SA"/>
        </w:rPr>
        <w:lastRenderedPageBreak/>
        <mc:AlternateContent>
          <mc:Choice Requires="wpg">
            <w:drawing>
              <wp:anchor distT="0" distB="0" distL="114300" distR="114300" simplePos="0" relativeHeight="251721728" behindDoc="0" locked="0" layoutInCell="1" allowOverlap="1" wp14:anchorId="202061B8" wp14:editId="155186D8">
                <wp:simplePos x="0" y="0"/>
                <wp:positionH relativeFrom="margin">
                  <wp:posOffset>128045</wp:posOffset>
                </wp:positionH>
                <wp:positionV relativeFrom="paragraph">
                  <wp:posOffset>58927</wp:posOffset>
                </wp:positionV>
                <wp:extent cx="5620433" cy="2754823"/>
                <wp:effectExtent l="0" t="0" r="0" b="7620"/>
                <wp:wrapNone/>
                <wp:docPr id="567" name="Группа 567"/>
                <wp:cNvGraphicFramePr/>
                <a:graphic xmlns:a="http://schemas.openxmlformats.org/drawingml/2006/main">
                  <a:graphicData uri="http://schemas.microsoft.com/office/word/2010/wordprocessingGroup">
                    <wpg:wgp>
                      <wpg:cNvGrpSpPr/>
                      <wpg:grpSpPr>
                        <a:xfrm>
                          <a:off x="0" y="0"/>
                          <a:ext cx="5620433" cy="2754823"/>
                          <a:chOff x="158095" y="1831"/>
                          <a:chExt cx="5621020" cy="2096840"/>
                        </a:xfrm>
                      </wpg:grpSpPr>
                      <wps:wsp>
                        <wps:cNvPr id="568" name="Прямоугольник с двумя скругленными соседними углами 568"/>
                        <wps:cNvSpPr/>
                        <wps:spPr>
                          <a:xfrm rot="5400000">
                            <a:off x="1934920" y="-1774994"/>
                            <a:ext cx="2067370"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Надпись 571"/>
                        <wps:cNvSpPr txBox="1"/>
                        <wps:spPr>
                          <a:xfrm>
                            <a:off x="385138" y="154034"/>
                            <a:ext cx="5082362" cy="1944637"/>
                          </a:xfrm>
                          <a:prstGeom prst="rect">
                            <a:avLst/>
                          </a:prstGeom>
                          <a:noFill/>
                          <a:ln w="6350">
                            <a:noFill/>
                          </a:ln>
                        </wps:spPr>
                        <wps:txbx>
                          <w:txbxContent>
                            <w:p w:rsidR="00BE6F5B" w:rsidRPr="00B716E5" w:rsidRDefault="00BE6F5B" w:rsidP="001F19DE">
                              <w:pPr>
                                <w:tabs>
                                  <w:tab w:val="left" w:pos="284"/>
                                </w:tabs>
                                <w:spacing w:after="120"/>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в осіб з кількістю клітин CD4 ≤100</w:t>
                              </w:r>
                            </w:p>
                            <w:p w:rsidR="00BE6F5B" w:rsidRPr="00B716E5" w:rsidRDefault="00BE6F5B" w:rsidP="001F19DE">
                              <w:pPr>
                                <w:tabs>
                                  <w:tab w:val="left" w:pos="284"/>
                                </w:tabs>
                                <w:spacing w:after="120"/>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у стаціонарних умовах, кількість клітин CD4 ≤100</w:t>
                              </w:r>
                            </w:p>
                            <w:p w:rsidR="00BE6F5B" w:rsidRPr="00B716E5" w:rsidRDefault="00BE6F5B" w:rsidP="001F19DE">
                              <w:pPr>
                                <w:tabs>
                                  <w:tab w:val="left" w:pos="284"/>
                                </w:tabs>
                                <w:spacing w:after="120"/>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в амбулаторних умовах, кількість клітин CD4 ≤100</w:t>
                              </w:r>
                            </w:p>
                            <w:p w:rsidR="00BE6F5B" w:rsidRPr="00B716E5" w:rsidRDefault="00BE6F5B" w:rsidP="001F19DE">
                              <w:pPr>
                                <w:tabs>
                                  <w:tab w:val="left" w:pos="284"/>
                                </w:tabs>
                                <w:spacing w:after="120"/>
                                <w:jc w:val="both"/>
                                <w:rPr>
                                  <w:rFonts w:ascii="Calibri" w:hAnsi="Calibri" w:cs="Calibri"/>
                                  <w:b/>
                                  <w:bCs/>
                                  <w:color w:val="000000" w:themeColor="text1"/>
                                </w:rPr>
                              </w:pPr>
                              <w:r>
                                <w:rPr>
                                  <w:rFonts w:ascii="Calibri" w:hAnsi="Calibri"/>
                                  <w:b/>
                                  <w:color w:val="000000" w:themeColor="text1"/>
                                </w:rPr>
                                <w:t xml:space="preserve">5. </w:t>
                              </w:r>
                              <w:r>
                                <w:rPr>
                                  <w:rFonts w:ascii="Calibri" w:hAnsi="Calibri"/>
                                  <w:b/>
                                  <w:color w:val="000000" w:themeColor="text1"/>
                                </w:rPr>
                                <w:tab/>
                                <w:t>Додаткові питання:</w:t>
                              </w:r>
                            </w:p>
                            <w:p w:rsidR="00BE6F5B" w:rsidRPr="00B716E5" w:rsidRDefault="00BE6F5B" w:rsidP="001F19DE">
                              <w:pPr>
                                <w:tabs>
                                  <w:tab w:val="left" w:pos="284"/>
                                </w:tabs>
                                <w:spacing w:after="120"/>
                                <w:ind w:left="284" w:hanging="284"/>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Які порівняльні витрати, доступність та співвідношення витрати / ефективність від впровадження LF-LAM (AlereLAM порівняно з FujiLAM) на основі огляду опублікованої літератури та оцінок?</w:t>
                              </w:r>
                            </w:p>
                            <w:p w:rsidR="00BE6F5B" w:rsidRPr="00B716E5" w:rsidRDefault="00BE6F5B" w:rsidP="001F19DE">
                              <w:pPr>
                                <w:tabs>
                                  <w:tab w:val="left" w:pos="284"/>
                                </w:tabs>
                                <w:spacing w:after="120"/>
                                <w:ind w:left="284" w:hanging="284"/>
                                <w:jc w:val="both"/>
                                <w:rPr>
                                  <w:rFonts w:ascii="Calibri" w:hAnsi="Calibri" w:cs="Calibri"/>
                                  <w:color w:val="009649"/>
                                </w:rPr>
                              </w:pPr>
                              <w:r>
                                <w:rPr>
                                  <w:rFonts w:ascii="Calibri" w:hAnsi="Calibri"/>
                                  <w:color w:val="009649"/>
                                </w:rPr>
                                <w:t>•</w:t>
                              </w:r>
                              <w:r>
                                <w:rPr>
                                  <w:rFonts w:ascii="Calibri" w:hAnsi="Calibri"/>
                                  <w:color w:val="009649"/>
                                </w:rPr>
                                <w:tab/>
                              </w:r>
                              <w:r>
                                <w:rPr>
                                  <w:rFonts w:ascii="Calibri" w:hAnsi="Calibri"/>
                                  <w:color w:val="000000" w:themeColor="text1"/>
                                </w:rPr>
                                <w:t>Чи можливі наслідки для принципу рівності пацієнтів від впровадження LF-LAM (AlereLAM порівняно з FujiLAM) на основі огляду опублікованої літератури та оцінок?</w:t>
                              </w:r>
                            </w:p>
                            <w:p w:rsidR="00BE6F5B" w:rsidRPr="00F85B2E" w:rsidRDefault="00BE6F5B" w:rsidP="001F19DE">
                              <w:pPr>
                                <w:tabs>
                                  <w:tab w:val="left" w:pos="284"/>
                                </w:tabs>
                                <w:spacing w:after="120"/>
                                <w:ind w:left="284" w:hanging="284"/>
                                <w:jc w:val="both"/>
                                <w:rPr>
                                  <w:rFonts w:asciiTheme="minorHAnsi" w:hAnsiTheme="minorHAnsi" w:cstheme="minorHAnsi"/>
                                </w:rPr>
                              </w:pPr>
                              <w:r>
                                <w:rPr>
                                  <w:rFonts w:ascii="Calibri" w:hAnsi="Calibri"/>
                                  <w:color w:val="009649"/>
                                </w:rPr>
                                <w:t>•</w:t>
                              </w:r>
                              <w:r>
                                <w:rPr>
                                  <w:rFonts w:ascii="Calibri" w:hAnsi="Calibri"/>
                                  <w:color w:val="009649"/>
                                </w:rPr>
                                <w:tab/>
                              </w:r>
                              <w:r>
                                <w:rPr>
                                  <w:rFonts w:ascii="Calibri" w:hAnsi="Calibri"/>
                                  <w:color w:val="000000" w:themeColor="text1"/>
                                </w:rPr>
                                <w:t>Які наслідки щодо прав людини від впровадження LF-LAM на основі огляду опублікованої літератури та порівняльного аналізу двох доступних LF-LAM (AlereLAM порівняно з FujiLAM)?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2061B8" id="Группа 567" o:spid="_x0000_s1074" style="position:absolute;left:0;text-align:left;margin-left:10.1pt;margin-top:4.65pt;width:442.55pt;height:216.9pt;z-index:251721728;mso-position-horizontal-relative:margin;mso-width-relative:margin;mso-height-relative:margin" coordorigin="1580,18" coordsize="56210,2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">
                <v:shape id="Прямоугольник с двумя скругленными соседними углами 568" o:spid="_x0000_s1075" style="position:absolute;left:19349;top:-17751;width:20674;height:56211;rotation:90;visibility:visible;mso-wrap-style:square;v-text-anchor:middle" coordsize="2067370,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" path="m170827,l1896543,v94345,,170827,76482,170827,170827l2067370,5621020r,l,5621020r,l,170827c,76482,76482,,170827,xe" fillcolor="#c6e0ce" stroked="f" strokeweight="1pt">
                  <v:stroke joinstyle="miter"/>
                  <v:path arrowok="t" o:connecttype="custom" o:connectlocs="170827,0;1896543,0;2067370,170827;2067370,5621020;2067370,5621020;0,5621020;0,5621020;0,170827;170827,0" o:connectangles="0,0,0,0,0,0,0,0,0"/>
                </v:shape>
                <v:shape id="Надпись 571" o:spid="_x0000_s1076" type="#_x0000_t202" style="position:absolute;left:3851;top:1540;width:50824;height:19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" filled="f" stroked="f" strokeweight=".5pt">
                  <v:textbox inset="0,0,0,0">
                    <w:txbxContent>
                      <w:p w:rsidR="00BE6F5B" w:rsidRPr="00B716E5" w:rsidRDefault="00BE6F5B" w:rsidP="001F19DE">
                        <w:pPr>
                          <w:tabs>
                            <w:tab w:val="left" w:pos="284"/>
                          </w:tabs>
                          <w:spacing w:after="120"/>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в осіб з кількістю клітин CD4 ≤100</w:t>
                        </w:r>
                      </w:p>
                      <w:p w:rsidR="00BE6F5B" w:rsidRPr="00B716E5" w:rsidRDefault="00BE6F5B" w:rsidP="001F19DE">
                        <w:pPr>
                          <w:tabs>
                            <w:tab w:val="left" w:pos="284"/>
                          </w:tabs>
                          <w:spacing w:after="120"/>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у стаціонарних умовах, кількість клітин CD4 ≤100</w:t>
                        </w:r>
                      </w:p>
                      <w:p w:rsidR="00BE6F5B" w:rsidRPr="00B716E5" w:rsidRDefault="00BE6F5B" w:rsidP="001F19DE">
                        <w:pPr>
                          <w:tabs>
                            <w:tab w:val="left" w:pos="284"/>
                          </w:tabs>
                          <w:spacing w:after="120"/>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в амбулаторних умовах, кількість клітин CD4 ≤100</w:t>
                        </w:r>
                      </w:p>
                      <w:p w:rsidR="00BE6F5B" w:rsidRPr="00B716E5" w:rsidRDefault="00BE6F5B" w:rsidP="001F19DE">
                        <w:pPr>
                          <w:tabs>
                            <w:tab w:val="left" w:pos="284"/>
                          </w:tabs>
                          <w:spacing w:after="120"/>
                          <w:jc w:val="both"/>
                          <w:rPr>
                            <w:rFonts w:ascii="Calibri" w:hAnsi="Calibri" w:cs="Calibri"/>
                            <w:b/>
                            <w:bCs/>
                            <w:color w:val="000000" w:themeColor="text1"/>
                          </w:rPr>
                        </w:pPr>
                        <w:r>
                          <w:rPr>
                            <w:rFonts w:ascii="Calibri" w:hAnsi="Calibri"/>
                            <w:b/>
                            <w:color w:val="000000" w:themeColor="text1"/>
                          </w:rPr>
                          <w:t xml:space="preserve">5. </w:t>
                        </w:r>
                        <w:r>
                          <w:rPr>
                            <w:rFonts w:ascii="Calibri" w:hAnsi="Calibri"/>
                            <w:b/>
                            <w:color w:val="000000" w:themeColor="text1"/>
                          </w:rPr>
                          <w:tab/>
                          <w:t>Додаткові питання:</w:t>
                        </w:r>
                      </w:p>
                      <w:p w:rsidR="00BE6F5B" w:rsidRPr="00B716E5" w:rsidRDefault="00BE6F5B" w:rsidP="001F19DE">
                        <w:pPr>
                          <w:tabs>
                            <w:tab w:val="left" w:pos="284"/>
                          </w:tabs>
                          <w:spacing w:after="120"/>
                          <w:ind w:left="284" w:hanging="284"/>
                          <w:jc w:val="both"/>
                          <w:rPr>
                            <w:rFonts w:ascii="Calibri" w:hAnsi="Calibri" w:cs="Calibri"/>
                            <w:color w:val="000000" w:themeColor="text1"/>
                          </w:rPr>
                        </w:pPr>
                        <w:r>
                          <w:rPr>
                            <w:rFonts w:ascii="Calibri" w:hAnsi="Calibri"/>
                            <w:color w:val="009649"/>
                          </w:rPr>
                          <w:t>•</w:t>
                        </w:r>
                        <w:r>
                          <w:rPr>
                            <w:rFonts w:ascii="Calibri" w:hAnsi="Calibri"/>
                            <w:color w:val="009649"/>
                          </w:rPr>
                          <w:tab/>
                        </w:r>
                        <w:r>
                          <w:rPr>
                            <w:rFonts w:ascii="Calibri" w:hAnsi="Calibri"/>
                            <w:color w:val="000000" w:themeColor="text1"/>
                          </w:rPr>
                          <w:t>Які порівняльні витрати, доступність та співвідношення витрати / ефективність від впровадження LF-LAM (AlereLAM порівняно з FujiLAM) на основі огляду опублікованої літератури та оцінок?</w:t>
                        </w:r>
                      </w:p>
                      <w:p w:rsidR="00BE6F5B" w:rsidRPr="00B716E5" w:rsidRDefault="00BE6F5B" w:rsidP="001F19DE">
                        <w:pPr>
                          <w:tabs>
                            <w:tab w:val="left" w:pos="284"/>
                          </w:tabs>
                          <w:spacing w:after="120"/>
                          <w:ind w:left="284" w:hanging="284"/>
                          <w:jc w:val="both"/>
                          <w:rPr>
                            <w:rFonts w:ascii="Calibri" w:hAnsi="Calibri" w:cs="Calibri"/>
                            <w:color w:val="009649"/>
                          </w:rPr>
                        </w:pPr>
                        <w:r>
                          <w:rPr>
                            <w:rFonts w:ascii="Calibri" w:hAnsi="Calibri"/>
                            <w:color w:val="009649"/>
                          </w:rPr>
                          <w:t>•</w:t>
                        </w:r>
                        <w:r>
                          <w:rPr>
                            <w:rFonts w:ascii="Calibri" w:hAnsi="Calibri"/>
                            <w:color w:val="009649"/>
                          </w:rPr>
                          <w:tab/>
                        </w:r>
                        <w:r>
                          <w:rPr>
                            <w:rFonts w:ascii="Calibri" w:hAnsi="Calibri"/>
                            <w:color w:val="000000" w:themeColor="text1"/>
                          </w:rPr>
                          <w:t>Чи можливі наслідки для принципу рівності пацієнтів від впровадження LF-LAM (AlereLAM порівняно з FujiLAM) на основі огляду опублікованої літератури та оцінок?</w:t>
                        </w:r>
                      </w:p>
                      <w:p w:rsidR="00BE6F5B" w:rsidRPr="00F85B2E" w:rsidRDefault="00BE6F5B" w:rsidP="001F19DE">
                        <w:pPr>
                          <w:tabs>
                            <w:tab w:val="left" w:pos="284"/>
                          </w:tabs>
                          <w:spacing w:after="120"/>
                          <w:ind w:left="284" w:hanging="284"/>
                          <w:jc w:val="both"/>
                          <w:rPr>
                            <w:rFonts w:asciiTheme="minorHAnsi" w:hAnsiTheme="minorHAnsi" w:cstheme="minorHAnsi"/>
                          </w:rPr>
                        </w:pPr>
                        <w:r>
                          <w:rPr>
                            <w:rFonts w:ascii="Calibri" w:hAnsi="Calibri"/>
                            <w:color w:val="009649"/>
                          </w:rPr>
                          <w:t>•</w:t>
                        </w:r>
                        <w:r>
                          <w:rPr>
                            <w:rFonts w:ascii="Calibri" w:hAnsi="Calibri"/>
                            <w:color w:val="009649"/>
                          </w:rPr>
                          <w:tab/>
                        </w:r>
                        <w:r>
                          <w:rPr>
                            <w:rFonts w:ascii="Calibri" w:hAnsi="Calibri"/>
                            <w:color w:val="000000" w:themeColor="text1"/>
                          </w:rPr>
                          <w:t>Які наслідки щодо прав людини від впровадження LF-LAM на основі огляду опублікованої літератури та порівняльного аналізу двох доступних LF-LAM (AlereLAM порівняно з FujiLAM)?</w:t>
                        </w:r>
                      </w:p>
                    </w:txbxContent>
                  </v:textbox>
                </v:shape>
                <w10:wrap anchorx="margin"/>
              </v:group>
            </w:pict>
          </mc:Fallback>
        </mc:AlternateContent>
      </w:r>
      <w:r>
        <w:rPr>
          <w:rFonts w:ascii="Calibri" w:hAnsi="Calibri"/>
          <w:color w:val="000000"/>
          <w:sz w:val="22"/>
        </w:rPr>
        <w:t>В огляді виявлено 15 унікальних опублікованих досліджень, які оцінювали точність AlereLAM у дорослих, та інтегровано дев’ять нових досліджень, виявлених після первинних оглядів ВООЗ та Cochrane у 2015 та 2016 роках відповідно</w:t>
      </w:r>
      <w:r>
        <w:rPr>
          <w:rFonts w:ascii="Calibri" w:hAnsi="Calibri"/>
          <w:i/>
          <w:color w:val="000000"/>
          <w:sz w:val="22"/>
        </w:rPr>
        <w:t>(26, 27)</w:t>
      </w:r>
      <w:r>
        <w:rPr>
          <w:rFonts w:ascii="Calibri" w:hAnsi="Calibri"/>
          <w:color w:val="000000"/>
          <w:sz w:val="22"/>
        </w:rPr>
        <w:t>.</w:t>
      </w:r>
      <w:r>
        <w:rPr>
          <w:rFonts w:ascii="Calibri" w:hAnsi="Calibri"/>
          <w:i/>
          <w:color w:val="000000"/>
          <w:sz w:val="22"/>
        </w:rPr>
        <w:t xml:space="preserve"> </w:t>
      </w:r>
      <w:r>
        <w:rPr>
          <w:rFonts w:ascii="Calibri" w:hAnsi="Calibri"/>
          <w:color w:val="000000"/>
          <w:sz w:val="22"/>
        </w:rPr>
        <w:t>Всі дослідження, включені до систематичного огляду, проводилися у країнах із високим тягарем ТБ/ВІЛ. Про позитивні результати AlereLAM повідомлялося відповідно до оновлених рекомендацій виробника щодо інтерпретації тестів (класифіковано за шкалою від 1 до 4, залежно від інтенсивності смуги). Усі аналізи були виконані відповідно до МРС.</w:t>
      </w:r>
    </w:p>
    <w:p w:rsidR="00ED665B" w:rsidRPr="00907702" w:rsidRDefault="006C7D2F" w:rsidP="00DC2656">
      <w:pPr>
        <w:spacing w:before="168"/>
        <w:ind w:right="5"/>
        <w:jc w:val="both"/>
        <w:rPr>
          <w:rFonts w:ascii="Calibri" w:hAnsi="Calibri" w:cs="Calibri"/>
        </w:rPr>
      </w:pPr>
      <w:r>
        <w:rPr>
          <w:rFonts w:ascii="Calibri" w:hAnsi="Calibri"/>
          <w:color w:val="000000"/>
          <w:sz w:val="22"/>
        </w:rPr>
        <w:t>У 15 включених дослідженнях брали участь 6814 учасників, з яких 1761 (26%) мали ТБ. У ході восьми досліджень оцінювалася точність AlereLAM для діагностики ТБ в учасників з ознаками та симптомами ТБ; у цих дослідженнях брали участь 3449 учасників, з них 1277 (37%) хворіли на ТБ. Сім досліджень оцінювали точність AlereLAM для діагностики невибраних учасників, які мали або не мали ознак та симптомів ТБ при реєстрації; у цих дослідженнях було задіяно 3365 учасників, з яких 439 (13%) мали ТБ.</w:t>
      </w:r>
    </w:p>
    <w:p w:rsidR="00ED665B" w:rsidRPr="00907702" w:rsidRDefault="006C7D2F" w:rsidP="00DC2656">
      <w:pPr>
        <w:spacing w:before="168"/>
        <w:ind w:left="5"/>
        <w:jc w:val="both"/>
        <w:rPr>
          <w:rFonts w:ascii="Calibri" w:hAnsi="Calibri" w:cs="Calibri"/>
        </w:rPr>
      </w:pPr>
      <w:r>
        <w:rPr>
          <w:rFonts w:ascii="Calibri" w:hAnsi="Calibri"/>
          <w:color w:val="000000"/>
          <w:sz w:val="22"/>
        </w:rPr>
        <w:t>Усі дослідження проводилися в країнах з високим тягарем ТБ/ВІЛ, які були віднесені до країн з низьким або середнім рівнем доходу. Дослідження мали суттєві відмінності за такими характеристиками: досліджувана популяція («дослідження з учасниками симптоматики» та «дослідження з невибраними учасниками»), умови (стаціонарні проти амбулаторних), середня кількість клітин CD4, поширеність ТБ, включення та виключення учасників на основі можливості виробляти мокротиння, а також включення пацієнтів на основі їх обстеження на легеневий ТБ або/та позалегеневий ТБ.</w:t>
      </w:r>
    </w:p>
    <w:p w:rsidR="00ED665B" w:rsidRPr="00907702" w:rsidRDefault="006C7D2F" w:rsidP="00DC2656">
      <w:pPr>
        <w:spacing w:before="168"/>
        <w:ind w:right="14"/>
        <w:jc w:val="both"/>
        <w:rPr>
          <w:rFonts w:ascii="Calibri" w:hAnsi="Calibri" w:cs="Calibri"/>
        </w:rPr>
      </w:pPr>
      <w:r>
        <w:rPr>
          <w:rFonts w:ascii="Calibri" w:hAnsi="Calibri"/>
          <w:color w:val="000000"/>
          <w:sz w:val="22"/>
        </w:rPr>
        <w:t xml:space="preserve">Більшість досліджень повідомили, що дійсний результат AlereLAM був отриманий при першій спробі всіх тестів. Незрозумілі результати тесту (&lt;1%) були зареєстровані тільки в трьох дослідженнях </w:t>
      </w:r>
      <w:r>
        <w:rPr>
          <w:rFonts w:ascii="Calibri" w:hAnsi="Calibri"/>
          <w:i/>
          <w:color w:val="000000"/>
          <w:sz w:val="22"/>
        </w:rPr>
        <w:t>(28-30)</w:t>
      </w:r>
      <w:r>
        <w:rPr>
          <w:rFonts w:ascii="Calibri" w:hAnsi="Calibri"/>
          <w:color w:val="000000"/>
          <w:sz w:val="22"/>
        </w:rPr>
        <w:t>.</w:t>
      </w:r>
    </w:p>
    <w:p w:rsidR="00ED665B" w:rsidRPr="00907702" w:rsidRDefault="00ED665B" w:rsidP="00DC2656">
      <w:pPr>
        <w:spacing w:before="168"/>
        <w:ind w:right="14"/>
        <w:jc w:val="both"/>
        <w:rPr>
          <w:rFonts w:ascii="Calibri" w:hAnsi="Calibri" w:cs="Calibri"/>
        </w:rPr>
        <w:sectPr w:rsidR="00ED665B" w:rsidRPr="00907702">
          <w:pgSz w:w="11904" w:h="16838"/>
          <w:pgMar w:top="1627" w:right="1421" w:bottom="2429" w:left="1421" w:header="720" w:footer="720" w:gutter="0"/>
          <w:cols w:space="60"/>
          <w:noEndnote/>
        </w:sectPr>
      </w:pPr>
    </w:p>
    <w:p w:rsidR="00ED665B" w:rsidRPr="00B716E5" w:rsidRDefault="006C7D2F" w:rsidP="00DC2656">
      <w:pPr>
        <w:rPr>
          <w:rFonts w:ascii="Calibri" w:hAnsi="Calibri" w:cs="Calibri"/>
          <w:b/>
          <w:bCs/>
        </w:rPr>
      </w:pPr>
      <w:r>
        <w:rPr>
          <w:rFonts w:ascii="Calibri" w:hAnsi="Calibri"/>
          <w:b/>
          <w:color w:val="009649"/>
          <w:sz w:val="28"/>
        </w:rPr>
        <w:lastRenderedPageBreak/>
        <w:t>Підсумок результатів</w:t>
      </w:r>
    </w:p>
    <w:p w:rsidR="00ED665B" w:rsidRPr="00907702" w:rsidRDefault="006C7D2F" w:rsidP="00DC2656">
      <w:pPr>
        <w:spacing w:before="163"/>
        <w:ind w:right="5"/>
        <w:jc w:val="both"/>
        <w:rPr>
          <w:rFonts w:ascii="Calibri" w:hAnsi="Calibri" w:cs="Calibri"/>
        </w:rPr>
      </w:pPr>
      <w:r>
        <w:rPr>
          <w:rFonts w:ascii="Calibri" w:hAnsi="Calibri"/>
          <w:color w:val="000000"/>
          <w:sz w:val="22"/>
        </w:rPr>
        <w:t>Для діагностики ТБ у ВІЛ-позитивних дорослих, які мають ознаки та симптоми ТБ, діагностична точність AlereLAM така:</w:t>
      </w:r>
    </w:p>
    <w:p w:rsidR="00ED665B" w:rsidRPr="00907702" w:rsidRDefault="006C7D2F" w:rsidP="00DC2656">
      <w:pPr>
        <w:numPr>
          <w:ilvl w:val="0"/>
          <w:numId w:val="2"/>
        </w:numPr>
        <w:tabs>
          <w:tab w:val="left" w:pos="240"/>
        </w:tabs>
        <w:spacing w:before="72"/>
        <w:rPr>
          <w:rFonts w:ascii="Calibri" w:hAnsi="Calibri" w:cs="Calibri"/>
          <w:color w:val="009649"/>
          <w:sz w:val="22"/>
          <w:szCs w:val="22"/>
        </w:rPr>
      </w:pPr>
      <w:r>
        <w:rPr>
          <w:rFonts w:ascii="Calibri" w:hAnsi="Calibri"/>
          <w:color w:val="000000"/>
          <w:sz w:val="22"/>
        </w:rPr>
        <w:t xml:space="preserve">у </w:t>
      </w:r>
      <w:r w:rsidRPr="00770DB4">
        <w:rPr>
          <w:rFonts w:ascii="Calibri" w:hAnsi="Calibri"/>
          <w:i/>
          <w:color w:val="000000"/>
          <w:sz w:val="22"/>
        </w:rPr>
        <w:t>стаціонарних</w:t>
      </w:r>
      <w:r>
        <w:rPr>
          <w:rFonts w:ascii="Calibri" w:hAnsi="Calibri"/>
          <w:color w:val="000000"/>
          <w:sz w:val="22"/>
        </w:rPr>
        <w:t xml:space="preserve"> умовах чутливість становить 52% (40–64%)</w:t>
      </w:r>
      <w:r>
        <w:rPr>
          <w:rFonts w:ascii="Calibri" w:hAnsi="Calibri"/>
          <w:color w:val="000000"/>
          <w:sz w:val="22"/>
          <w:vertAlign w:val="superscript"/>
        </w:rPr>
        <w:t>16</w:t>
      </w:r>
      <w:r>
        <w:rPr>
          <w:rFonts w:ascii="Calibri" w:hAnsi="Calibri"/>
          <w:color w:val="000000"/>
          <w:sz w:val="22"/>
        </w:rPr>
        <w:t>, а специфічність – 87% (78</w:t>
      </w:r>
      <w:r w:rsidR="000039A3">
        <w:rPr>
          <w:rFonts w:ascii="Calibri" w:hAnsi="Calibri"/>
          <w:color w:val="000000"/>
          <w:sz w:val="22"/>
        </w:rPr>
        <w:t>–</w:t>
      </w:r>
      <w:r>
        <w:rPr>
          <w:rFonts w:ascii="Calibri" w:hAnsi="Calibri"/>
          <w:color w:val="000000"/>
          <w:sz w:val="22"/>
        </w:rPr>
        <w:t>93%);</w:t>
      </w:r>
    </w:p>
    <w:p w:rsidR="00ED665B" w:rsidRPr="00907702" w:rsidRDefault="006C7D2F" w:rsidP="000039A3">
      <w:pPr>
        <w:numPr>
          <w:ilvl w:val="0"/>
          <w:numId w:val="2"/>
        </w:numPr>
        <w:tabs>
          <w:tab w:val="left" w:pos="240"/>
        </w:tabs>
        <w:ind w:left="252" w:hanging="252"/>
        <w:rPr>
          <w:rFonts w:ascii="Calibri" w:hAnsi="Calibri" w:cs="Calibri"/>
          <w:color w:val="009649"/>
          <w:sz w:val="22"/>
          <w:szCs w:val="22"/>
        </w:rPr>
      </w:pPr>
      <w:r>
        <w:rPr>
          <w:rFonts w:ascii="Calibri" w:hAnsi="Calibri"/>
          <w:color w:val="000000"/>
          <w:sz w:val="22"/>
        </w:rPr>
        <w:t xml:space="preserve">в </w:t>
      </w:r>
      <w:r w:rsidRPr="00770DB4">
        <w:rPr>
          <w:rFonts w:ascii="Calibri" w:hAnsi="Calibri"/>
          <w:i/>
          <w:color w:val="000000"/>
          <w:sz w:val="22"/>
        </w:rPr>
        <w:t>амбулаторних</w:t>
      </w:r>
      <w:r>
        <w:rPr>
          <w:rFonts w:ascii="Calibri" w:hAnsi="Calibri"/>
          <w:color w:val="000000"/>
          <w:sz w:val="22"/>
        </w:rPr>
        <w:t xml:space="preserve"> умовах чутливість становить 29% (17</w:t>
      </w:r>
      <w:r w:rsidR="000039A3">
        <w:rPr>
          <w:rFonts w:ascii="Calibri" w:hAnsi="Calibri"/>
          <w:color w:val="000000"/>
          <w:sz w:val="22"/>
        </w:rPr>
        <w:t>–</w:t>
      </w:r>
      <w:r>
        <w:rPr>
          <w:rFonts w:ascii="Calibri" w:hAnsi="Calibri"/>
          <w:color w:val="000000"/>
          <w:sz w:val="22"/>
        </w:rPr>
        <w:t>47%), а специфічність – 96% (91</w:t>
      </w:r>
      <w:r w:rsidR="000039A3">
        <w:rPr>
          <w:rFonts w:ascii="Calibri" w:hAnsi="Calibri"/>
          <w:color w:val="000000"/>
          <w:sz w:val="22"/>
        </w:rPr>
        <w:t>–</w:t>
      </w:r>
      <w:r>
        <w:rPr>
          <w:rFonts w:ascii="Calibri" w:hAnsi="Calibri"/>
          <w:color w:val="000000"/>
          <w:sz w:val="22"/>
        </w:rPr>
        <w:t>99%); та</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 xml:space="preserve">в </w:t>
      </w:r>
      <w:r w:rsidRPr="00770DB4">
        <w:rPr>
          <w:rFonts w:ascii="Calibri" w:hAnsi="Calibri"/>
          <w:i/>
          <w:color w:val="000000"/>
          <w:sz w:val="22"/>
        </w:rPr>
        <w:t>усіх</w:t>
      </w:r>
      <w:r>
        <w:rPr>
          <w:rFonts w:ascii="Calibri" w:hAnsi="Calibri"/>
          <w:color w:val="000000"/>
          <w:sz w:val="22"/>
        </w:rPr>
        <w:t xml:space="preserve"> умовах чутливість становить 42% (31</w:t>
      </w:r>
      <w:r w:rsidR="000039A3">
        <w:rPr>
          <w:rFonts w:ascii="Calibri" w:hAnsi="Calibri"/>
          <w:color w:val="000000"/>
          <w:sz w:val="22"/>
        </w:rPr>
        <w:t>–</w:t>
      </w:r>
      <w:r>
        <w:rPr>
          <w:rFonts w:ascii="Calibri" w:hAnsi="Calibri"/>
          <w:color w:val="000000"/>
          <w:sz w:val="22"/>
        </w:rPr>
        <w:t>55%), а специфічність – 91% (85</w:t>
      </w:r>
      <w:r w:rsidR="000039A3">
        <w:rPr>
          <w:rFonts w:ascii="Calibri" w:hAnsi="Calibri"/>
          <w:color w:val="000000"/>
          <w:sz w:val="22"/>
        </w:rPr>
        <w:t>–</w:t>
      </w:r>
      <w:r>
        <w:rPr>
          <w:rFonts w:ascii="Calibri" w:hAnsi="Calibri"/>
          <w:color w:val="000000"/>
          <w:sz w:val="22"/>
        </w:rPr>
        <w:t>95%).</w:t>
      </w:r>
    </w:p>
    <w:p w:rsidR="00ED665B" w:rsidRPr="00907702" w:rsidRDefault="006C7D2F" w:rsidP="00DC2656">
      <w:pPr>
        <w:spacing w:before="173"/>
        <w:ind w:right="10"/>
        <w:jc w:val="both"/>
        <w:rPr>
          <w:rFonts w:ascii="Calibri" w:hAnsi="Calibri" w:cs="Calibri"/>
        </w:rPr>
      </w:pPr>
      <w:r>
        <w:rPr>
          <w:rFonts w:ascii="Calibri" w:hAnsi="Calibri"/>
          <w:color w:val="000000"/>
          <w:sz w:val="22"/>
        </w:rPr>
        <w:t>Для діагностики ТБ у ВІЛ-позитивних дорослих, незалежно від ознак та симптомів ТБ, діагностична точність AlereLAM така:</w:t>
      </w:r>
    </w:p>
    <w:p w:rsidR="00ED665B" w:rsidRPr="00907702" w:rsidRDefault="006C7D2F" w:rsidP="00DC2656">
      <w:pPr>
        <w:numPr>
          <w:ilvl w:val="0"/>
          <w:numId w:val="2"/>
        </w:numPr>
        <w:tabs>
          <w:tab w:val="left" w:pos="240"/>
        </w:tabs>
        <w:spacing w:before="86"/>
        <w:rPr>
          <w:rFonts w:ascii="Calibri" w:hAnsi="Calibri" w:cs="Calibri"/>
          <w:color w:val="009649"/>
          <w:sz w:val="22"/>
          <w:szCs w:val="22"/>
        </w:rPr>
      </w:pPr>
      <w:r>
        <w:rPr>
          <w:rFonts w:ascii="Calibri" w:hAnsi="Calibri"/>
          <w:color w:val="000000"/>
          <w:sz w:val="22"/>
        </w:rPr>
        <w:t xml:space="preserve">у </w:t>
      </w:r>
      <w:r w:rsidRPr="00770DB4">
        <w:rPr>
          <w:rFonts w:ascii="Calibri" w:hAnsi="Calibri"/>
          <w:i/>
          <w:color w:val="000000"/>
          <w:sz w:val="22"/>
        </w:rPr>
        <w:t>стаціонарних</w:t>
      </w:r>
      <w:r>
        <w:rPr>
          <w:rFonts w:ascii="Calibri" w:hAnsi="Calibri"/>
          <w:color w:val="000000"/>
          <w:sz w:val="22"/>
        </w:rPr>
        <w:t xml:space="preserve"> умовах чутливість становить 62% (41-83%), а специфічність – 84% (48-96%);</w:t>
      </w:r>
    </w:p>
    <w:p w:rsidR="00ED665B" w:rsidRPr="00907702" w:rsidRDefault="006C7D2F" w:rsidP="00770DB4">
      <w:pPr>
        <w:numPr>
          <w:ilvl w:val="0"/>
          <w:numId w:val="2"/>
        </w:numPr>
        <w:tabs>
          <w:tab w:val="left" w:pos="240"/>
        </w:tabs>
        <w:ind w:left="238" w:hanging="238"/>
        <w:rPr>
          <w:rFonts w:ascii="Calibri" w:hAnsi="Calibri" w:cs="Calibri"/>
          <w:color w:val="009649"/>
          <w:sz w:val="22"/>
          <w:szCs w:val="22"/>
        </w:rPr>
      </w:pPr>
      <w:r>
        <w:rPr>
          <w:rFonts w:ascii="Calibri" w:hAnsi="Calibri"/>
          <w:color w:val="000000"/>
          <w:sz w:val="22"/>
        </w:rPr>
        <w:t xml:space="preserve">в </w:t>
      </w:r>
      <w:r w:rsidRPr="00770DB4">
        <w:rPr>
          <w:rFonts w:ascii="Calibri" w:hAnsi="Calibri"/>
          <w:i/>
          <w:color w:val="000000"/>
          <w:sz w:val="22"/>
        </w:rPr>
        <w:t>амбулаторних</w:t>
      </w:r>
      <w:r>
        <w:rPr>
          <w:rFonts w:ascii="Calibri" w:hAnsi="Calibri"/>
          <w:color w:val="000000"/>
          <w:sz w:val="22"/>
        </w:rPr>
        <w:t xml:space="preserve"> умовах чутливість становить 31% (18-47%), а специфічність – 95% (87-99%); та</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 xml:space="preserve">в </w:t>
      </w:r>
      <w:r w:rsidRPr="00770DB4">
        <w:rPr>
          <w:rFonts w:ascii="Calibri" w:hAnsi="Calibri"/>
          <w:i/>
          <w:color w:val="000000"/>
          <w:sz w:val="22"/>
        </w:rPr>
        <w:t>усіх</w:t>
      </w:r>
      <w:r>
        <w:rPr>
          <w:rFonts w:ascii="Calibri" w:hAnsi="Calibri"/>
          <w:color w:val="000000"/>
          <w:sz w:val="22"/>
        </w:rPr>
        <w:t xml:space="preserve"> умовах чутливість становить 35% (22-50%), а специфічність – 95% (89-98%).</w:t>
      </w:r>
    </w:p>
    <w:p w:rsidR="00ED665B" w:rsidRPr="00907702" w:rsidRDefault="006C7D2F" w:rsidP="00DC2656">
      <w:pPr>
        <w:spacing w:before="163"/>
        <w:jc w:val="both"/>
        <w:rPr>
          <w:rFonts w:ascii="Calibri" w:hAnsi="Calibri" w:cs="Calibri"/>
        </w:rPr>
      </w:pPr>
      <w:r>
        <w:rPr>
          <w:rFonts w:ascii="Calibri" w:hAnsi="Calibri"/>
          <w:color w:val="000000"/>
          <w:sz w:val="22"/>
        </w:rPr>
        <w:t>Для діагностики ТБ у дорослих з пізньою стадією ВІЛ-інфекції, незалежно від ознак та симптомів ТБ, діагностична точність AlereLAM (обмежені дані) є наступною:</w:t>
      </w:r>
    </w:p>
    <w:p w:rsidR="00ED665B" w:rsidRPr="00907702" w:rsidRDefault="006C7D2F" w:rsidP="00DC2656">
      <w:pPr>
        <w:numPr>
          <w:ilvl w:val="0"/>
          <w:numId w:val="2"/>
        </w:numPr>
        <w:tabs>
          <w:tab w:val="left" w:pos="240"/>
        </w:tabs>
        <w:spacing w:before="77"/>
        <w:ind w:left="240" w:hanging="240"/>
        <w:rPr>
          <w:rFonts w:ascii="Calibri" w:hAnsi="Calibri" w:cs="Calibri"/>
          <w:color w:val="009649"/>
          <w:sz w:val="22"/>
          <w:szCs w:val="22"/>
        </w:rPr>
      </w:pPr>
      <w:r>
        <w:rPr>
          <w:rFonts w:ascii="Calibri" w:hAnsi="Calibri"/>
          <w:color w:val="000000"/>
          <w:sz w:val="22"/>
        </w:rPr>
        <w:t xml:space="preserve">у </w:t>
      </w:r>
      <w:r w:rsidRPr="00290BDD">
        <w:rPr>
          <w:rFonts w:ascii="Calibri" w:hAnsi="Calibri"/>
          <w:i/>
          <w:color w:val="000000"/>
          <w:sz w:val="22"/>
        </w:rPr>
        <w:t>стаціонарних</w:t>
      </w:r>
      <w:r>
        <w:rPr>
          <w:rFonts w:ascii="Calibri" w:hAnsi="Calibri"/>
          <w:color w:val="000000"/>
          <w:sz w:val="22"/>
        </w:rPr>
        <w:t xml:space="preserve"> умовах кількість клітин CD4 ≤200, чутливість – 64% (35–87%), а специфічність – 82% (67-93%) (одне дослідження);</w:t>
      </w:r>
    </w:p>
    <w:p w:rsidR="00ED665B" w:rsidRPr="00907702" w:rsidRDefault="006C7D2F" w:rsidP="00DC2656">
      <w:pPr>
        <w:numPr>
          <w:ilvl w:val="0"/>
          <w:numId w:val="2"/>
        </w:numPr>
        <w:tabs>
          <w:tab w:val="left" w:pos="240"/>
        </w:tabs>
        <w:ind w:left="240" w:hanging="240"/>
        <w:rPr>
          <w:rFonts w:ascii="Calibri" w:hAnsi="Calibri" w:cs="Calibri"/>
          <w:color w:val="009649"/>
          <w:sz w:val="22"/>
          <w:szCs w:val="22"/>
        </w:rPr>
      </w:pPr>
      <w:r>
        <w:rPr>
          <w:rFonts w:ascii="Calibri" w:hAnsi="Calibri"/>
          <w:color w:val="000000"/>
          <w:sz w:val="22"/>
        </w:rPr>
        <w:t xml:space="preserve">в </w:t>
      </w:r>
      <w:r w:rsidRPr="00290BDD">
        <w:rPr>
          <w:rFonts w:ascii="Calibri" w:hAnsi="Calibri"/>
          <w:i/>
          <w:color w:val="000000"/>
          <w:sz w:val="22"/>
        </w:rPr>
        <w:t>амбулаторних</w:t>
      </w:r>
      <w:r>
        <w:rPr>
          <w:rFonts w:ascii="Calibri" w:hAnsi="Calibri"/>
          <w:color w:val="000000"/>
          <w:sz w:val="22"/>
        </w:rPr>
        <w:t xml:space="preserve"> умовах кількість клітин CD4 ≤200, чутливість – 21% (8-48%), а специфічність – 96% (89-99%);</w:t>
      </w:r>
    </w:p>
    <w:p w:rsidR="00ED665B" w:rsidRPr="00907702" w:rsidRDefault="006C7D2F" w:rsidP="000039A3">
      <w:pPr>
        <w:numPr>
          <w:ilvl w:val="0"/>
          <w:numId w:val="2"/>
        </w:numPr>
        <w:tabs>
          <w:tab w:val="left" w:pos="240"/>
        </w:tabs>
        <w:ind w:left="252" w:hanging="252"/>
        <w:rPr>
          <w:rFonts w:ascii="Calibri" w:hAnsi="Calibri" w:cs="Calibri"/>
          <w:color w:val="009649"/>
          <w:sz w:val="22"/>
          <w:szCs w:val="22"/>
        </w:rPr>
      </w:pPr>
      <w:r>
        <w:rPr>
          <w:rFonts w:ascii="Calibri" w:hAnsi="Calibri"/>
          <w:color w:val="000000"/>
          <w:sz w:val="22"/>
        </w:rPr>
        <w:t xml:space="preserve">в </w:t>
      </w:r>
      <w:r w:rsidRPr="00290BDD">
        <w:rPr>
          <w:rFonts w:ascii="Calibri" w:hAnsi="Calibri"/>
          <w:i/>
          <w:color w:val="000000"/>
          <w:sz w:val="22"/>
        </w:rPr>
        <w:t>усіх</w:t>
      </w:r>
      <w:r>
        <w:rPr>
          <w:rFonts w:ascii="Calibri" w:hAnsi="Calibri"/>
          <w:color w:val="000000"/>
          <w:sz w:val="22"/>
        </w:rPr>
        <w:t xml:space="preserve"> умовах кількість клітин CD4 ≤200, чутливість – 26% (9-56%), а специфічність – 96% (87-98%);</w:t>
      </w:r>
    </w:p>
    <w:p w:rsidR="00ED665B" w:rsidRPr="00907702" w:rsidRDefault="006C7D2F" w:rsidP="00DC2656">
      <w:pPr>
        <w:numPr>
          <w:ilvl w:val="0"/>
          <w:numId w:val="2"/>
        </w:numPr>
        <w:tabs>
          <w:tab w:val="left" w:pos="240"/>
        </w:tabs>
        <w:ind w:left="240" w:hanging="240"/>
        <w:rPr>
          <w:rFonts w:ascii="Calibri" w:hAnsi="Calibri" w:cs="Calibri"/>
          <w:color w:val="009649"/>
          <w:sz w:val="22"/>
          <w:szCs w:val="22"/>
        </w:rPr>
      </w:pPr>
      <w:r>
        <w:rPr>
          <w:rFonts w:ascii="Calibri" w:hAnsi="Calibri"/>
          <w:color w:val="000000"/>
          <w:sz w:val="22"/>
        </w:rPr>
        <w:t xml:space="preserve">у </w:t>
      </w:r>
      <w:r w:rsidRPr="00290BDD">
        <w:rPr>
          <w:rFonts w:ascii="Calibri" w:hAnsi="Calibri"/>
          <w:i/>
          <w:color w:val="000000"/>
          <w:sz w:val="22"/>
        </w:rPr>
        <w:t>стаціонарних</w:t>
      </w:r>
      <w:r>
        <w:rPr>
          <w:rFonts w:ascii="Calibri" w:hAnsi="Calibri"/>
          <w:color w:val="000000"/>
          <w:sz w:val="22"/>
        </w:rPr>
        <w:t xml:space="preserve"> умовах кількість клітин CD4 ≤100, чутливість – 57% (33-79%), а специфічність – 90% (69-97%);</w:t>
      </w:r>
    </w:p>
    <w:p w:rsidR="00ED665B" w:rsidRPr="00907702" w:rsidRDefault="006C7D2F" w:rsidP="00DC2656">
      <w:pPr>
        <w:numPr>
          <w:ilvl w:val="0"/>
          <w:numId w:val="2"/>
        </w:numPr>
        <w:tabs>
          <w:tab w:val="left" w:pos="240"/>
        </w:tabs>
        <w:ind w:left="240" w:hanging="240"/>
        <w:rPr>
          <w:rFonts w:ascii="Calibri" w:hAnsi="Calibri" w:cs="Calibri"/>
          <w:color w:val="009649"/>
          <w:sz w:val="22"/>
          <w:szCs w:val="22"/>
        </w:rPr>
      </w:pPr>
      <w:r>
        <w:rPr>
          <w:rFonts w:ascii="Calibri" w:hAnsi="Calibri"/>
          <w:color w:val="000000"/>
          <w:sz w:val="22"/>
        </w:rPr>
        <w:t xml:space="preserve">в </w:t>
      </w:r>
      <w:r w:rsidRPr="00290BDD">
        <w:rPr>
          <w:rFonts w:ascii="Calibri" w:hAnsi="Calibri"/>
          <w:i/>
          <w:color w:val="000000"/>
          <w:sz w:val="22"/>
        </w:rPr>
        <w:t>амбулаторних</w:t>
      </w:r>
      <w:r>
        <w:rPr>
          <w:rFonts w:ascii="Calibri" w:hAnsi="Calibri"/>
          <w:color w:val="000000"/>
          <w:sz w:val="22"/>
        </w:rPr>
        <w:t xml:space="preserve"> умовах кількість клітин CD4 ≤100, чутливість – 40% (20-64%), а специфічність – 87% (68-94%); а</w:t>
      </w:r>
    </w:p>
    <w:p w:rsidR="00ED665B" w:rsidRPr="00907702" w:rsidRDefault="006C7D2F" w:rsidP="000039A3">
      <w:pPr>
        <w:numPr>
          <w:ilvl w:val="0"/>
          <w:numId w:val="2"/>
        </w:numPr>
        <w:tabs>
          <w:tab w:val="left" w:pos="240"/>
        </w:tabs>
        <w:ind w:left="252" w:hanging="252"/>
        <w:rPr>
          <w:rFonts w:ascii="Calibri" w:hAnsi="Calibri" w:cs="Calibri"/>
          <w:color w:val="009649"/>
          <w:sz w:val="22"/>
          <w:szCs w:val="22"/>
        </w:rPr>
      </w:pPr>
      <w:r>
        <w:rPr>
          <w:rFonts w:ascii="Calibri" w:hAnsi="Calibri"/>
          <w:color w:val="000000"/>
          <w:sz w:val="22"/>
        </w:rPr>
        <w:t xml:space="preserve">в </w:t>
      </w:r>
      <w:r w:rsidRPr="000039A3">
        <w:rPr>
          <w:rFonts w:ascii="Calibri" w:hAnsi="Calibri"/>
          <w:i/>
          <w:color w:val="000000"/>
          <w:sz w:val="22"/>
        </w:rPr>
        <w:t>усіх</w:t>
      </w:r>
      <w:r>
        <w:rPr>
          <w:rFonts w:ascii="Calibri" w:hAnsi="Calibri"/>
          <w:color w:val="000000"/>
          <w:sz w:val="22"/>
        </w:rPr>
        <w:t xml:space="preserve"> умовах кількість клітин CD4 ≤100, чутливість – 47% (30-64%), а специфічність – 90% (77-96%).</w:t>
      </w:r>
    </w:p>
    <w:p w:rsidR="00ED665B" w:rsidRPr="00907702" w:rsidRDefault="006C7D2F" w:rsidP="00DC2656">
      <w:pPr>
        <w:spacing w:before="163"/>
        <w:jc w:val="both"/>
        <w:rPr>
          <w:rFonts w:ascii="Calibri" w:hAnsi="Calibri" w:cs="Calibri"/>
        </w:rPr>
      </w:pPr>
      <w:r>
        <w:rPr>
          <w:rFonts w:ascii="Calibri" w:hAnsi="Calibri"/>
          <w:color w:val="000000"/>
          <w:sz w:val="22"/>
        </w:rPr>
        <w:t>Для діагностики ТБ у ВІЛ-позитивних дітей діагностична точність AlereLAM (обмежені дані) є наступною:</w:t>
      </w:r>
    </w:p>
    <w:p w:rsidR="000039A3" w:rsidRDefault="006C7D2F" w:rsidP="00B716E5">
      <w:pPr>
        <w:tabs>
          <w:tab w:val="left" w:pos="240"/>
        </w:tabs>
        <w:spacing w:before="82"/>
        <w:ind w:left="240" w:hanging="240"/>
        <w:rPr>
          <w:rFonts w:ascii="Calibri" w:hAnsi="Calibri"/>
          <w:color w:val="000000"/>
          <w:sz w:val="22"/>
        </w:rPr>
      </w:pPr>
      <w:r>
        <w:rPr>
          <w:rFonts w:ascii="Calibri" w:hAnsi="Calibri"/>
          <w:color w:val="009649"/>
          <w:sz w:val="22"/>
        </w:rPr>
        <w:t>•</w:t>
      </w:r>
      <w:r>
        <w:rPr>
          <w:rFonts w:ascii="Calibri" w:hAnsi="Calibri"/>
          <w:color w:val="009649"/>
          <w:sz w:val="22"/>
        </w:rPr>
        <w:tab/>
      </w:r>
      <w:r>
        <w:rPr>
          <w:rFonts w:ascii="Calibri" w:hAnsi="Calibri"/>
          <w:color w:val="000000"/>
          <w:sz w:val="22"/>
        </w:rPr>
        <w:t xml:space="preserve">в </w:t>
      </w:r>
      <w:r w:rsidRPr="000039A3">
        <w:rPr>
          <w:rFonts w:ascii="Calibri" w:hAnsi="Calibri"/>
          <w:i/>
          <w:color w:val="000000"/>
          <w:sz w:val="22"/>
        </w:rPr>
        <w:t>усіх</w:t>
      </w:r>
      <w:r>
        <w:rPr>
          <w:rFonts w:ascii="Calibri" w:hAnsi="Calibri"/>
          <w:color w:val="000000"/>
          <w:sz w:val="22"/>
        </w:rPr>
        <w:t xml:space="preserve"> умовах, зокрема для всіх дітей, в ході індивідуальних досліджень показники чутливості та специфічності були: </w:t>
      </w:r>
    </w:p>
    <w:p w:rsidR="000039A3" w:rsidRDefault="006C7D2F" w:rsidP="000039A3">
      <w:pPr>
        <w:tabs>
          <w:tab w:val="left" w:pos="851"/>
        </w:tabs>
        <w:spacing w:before="82"/>
        <w:ind w:left="523" w:hanging="240"/>
        <w:rPr>
          <w:rFonts w:ascii="Calibri" w:hAnsi="Calibri"/>
          <w:color w:val="000000"/>
          <w:sz w:val="22"/>
        </w:rPr>
      </w:pPr>
      <w:r>
        <w:rPr>
          <w:rFonts w:ascii="Calibri" w:hAnsi="Calibri"/>
          <w:color w:val="009649"/>
          <w:sz w:val="22"/>
        </w:rPr>
        <w:t xml:space="preserve">– </w:t>
      </w:r>
      <w:r>
        <w:rPr>
          <w:rFonts w:ascii="Calibri" w:hAnsi="Calibri"/>
          <w:color w:val="000000"/>
          <w:sz w:val="22"/>
        </w:rPr>
        <w:t xml:space="preserve">42% (15–72%) та 94% (73–100%) (одне дослідження, проведене в амбулаторних умовах); </w:t>
      </w:r>
    </w:p>
    <w:p w:rsidR="000039A3" w:rsidRDefault="006C7D2F" w:rsidP="000039A3">
      <w:pPr>
        <w:tabs>
          <w:tab w:val="left" w:pos="851"/>
        </w:tabs>
        <w:spacing w:before="82"/>
        <w:ind w:left="523" w:hanging="240"/>
        <w:rPr>
          <w:rFonts w:ascii="Calibri" w:hAnsi="Calibri"/>
          <w:color w:val="000000"/>
          <w:sz w:val="22"/>
        </w:rPr>
      </w:pPr>
      <w:r>
        <w:rPr>
          <w:rFonts w:ascii="Calibri" w:hAnsi="Calibri"/>
          <w:color w:val="009649"/>
          <w:sz w:val="22"/>
        </w:rPr>
        <w:t xml:space="preserve">– </w:t>
      </w:r>
      <w:r>
        <w:rPr>
          <w:rFonts w:ascii="Calibri" w:hAnsi="Calibri"/>
          <w:color w:val="000000"/>
          <w:sz w:val="22"/>
        </w:rPr>
        <w:t xml:space="preserve">56% (21–86%) та 95% (90–98%) (одне дослідження, проведене у стаціонарних умовах); і </w:t>
      </w:r>
    </w:p>
    <w:p w:rsidR="00ED665B" w:rsidRPr="00907702" w:rsidRDefault="006C7D2F" w:rsidP="000039A3">
      <w:pPr>
        <w:tabs>
          <w:tab w:val="left" w:pos="851"/>
        </w:tabs>
        <w:spacing w:before="82"/>
        <w:ind w:left="523" w:hanging="240"/>
        <w:rPr>
          <w:rFonts w:ascii="Calibri" w:hAnsi="Calibri" w:cs="Calibri"/>
        </w:rPr>
      </w:pPr>
      <w:r>
        <w:rPr>
          <w:rFonts w:ascii="Calibri" w:hAnsi="Calibri"/>
          <w:color w:val="009649"/>
          <w:sz w:val="22"/>
        </w:rPr>
        <w:t xml:space="preserve">– </w:t>
      </w:r>
      <w:r>
        <w:rPr>
          <w:rFonts w:ascii="Calibri" w:hAnsi="Calibri"/>
          <w:color w:val="000000"/>
          <w:sz w:val="22"/>
        </w:rPr>
        <w:t>43% (23–66%) та 80% (69–88%) (одне дослідження, проведене як у стаціонарних, так і в амбулаторних умовах).</w:t>
      </w:r>
    </w:p>
    <w:p w:rsidR="00ED665B" w:rsidRPr="00907702" w:rsidRDefault="006C7D2F" w:rsidP="00DC2656">
      <w:pPr>
        <w:spacing w:before="163"/>
        <w:ind w:right="5"/>
        <w:jc w:val="both"/>
        <w:rPr>
          <w:rFonts w:ascii="Calibri" w:hAnsi="Calibri" w:cs="Calibri"/>
        </w:rPr>
      </w:pPr>
      <w:r>
        <w:rPr>
          <w:rFonts w:ascii="Calibri" w:hAnsi="Calibri"/>
          <w:color w:val="000000"/>
          <w:sz w:val="22"/>
        </w:rPr>
        <w:t>Для використання AlereLAM для зниження смертності, пов’язаної з пізньою стадією ВІЛ-інфекції (два рандомізовані дослідження):</w:t>
      </w:r>
    </w:p>
    <w:p w:rsidR="00ED665B" w:rsidRPr="00907702" w:rsidRDefault="006C7D2F" w:rsidP="00DC2656">
      <w:pPr>
        <w:numPr>
          <w:ilvl w:val="0"/>
          <w:numId w:val="2"/>
        </w:numPr>
        <w:tabs>
          <w:tab w:val="left" w:pos="240"/>
        </w:tabs>
        <w:spacing w:before="125"/>
        <w:rPr>
          <w:rFonts w:ascii="Calibri" w:hAnsi="Calibri" w:cs="Calibri"/>
          <w:color w:val="009649"/>
          <w:sz w:val="22"/>
          <w:szCs w:val="22"/>
        </w:rPr>
      </w:pPr>
      <w:r>
        <w:rPr>
          <w:rFonts w:ascii="Calibri" w:hAnsi="Calibri"/>
          <w:color w:val="000000"/>
          <w:sz w:val="22"/>
        </w:rPr>
        <w:t>об'єднаний коефіцієнт ризику для смертності становив 0,85 (0,76-0,94); та</w:t>
      </w:r>
    </w:p>
    <w:p w:rsidR="00ED665B" w:rsidRPr="00907702" w:rsidRDefault="006C7D2F" w:rsidP="00DC2656">
      <w:pPr>
        <w:numPr>
          <w:ilvl w:val="0"/>
          <w:numId w:val="2"/>
        </w:numPr>
        <w:tabs>
          <w:tab w:val="left" w:pos="240"/>
        </w:tabs>
        <w:spacing w:before="58"/>
        <w:rPr>
          <w:rFonts w:ascii="Calibri" w:hAnsi="Calibri" w:cs="Calibri"/>
          <w:color w:val="009649"/>
          <w:sz w:val="22"/>
          <w:szCs w:val="22"/>
        </w:rPr>
      </w:pPr>
      <w:r>
        <w:rPr>
          <w:rFonts w:ascii="Calibri" w:hAnsi="Calibri"/>
          <w:color w:val="000000"/>
          <w:sz w:val="22"/>
        </w:rPr>
        <w:t>абсолютний ефект був на 35 менше смертей на 1000 (від 14 до 55 менше) (PICO 4).</w:t>
      </w:r>
    </w:p>
    <w:p w:rsidR="00ED665B" w:rsidRPr="00907702" w:rsidRDefault="006C7D2F" w:rsidP="00DC2656">
      <w:pPr>
        <w:spacing w:before="182"/>
        <w:ind w:right="5"/>
        <w:jc w:val="both"/>
        <w:rPr>
          <w:rFonts w:ascii="Calibri" w:hAnsi="Calibri" w:cs="Calibri"/>
        </w:rPr>
      </w:pPr>
      <w:r>
        <w:rPr>
          <w:rFonts w:ascii="Calibri" w:hAnsi="Calibri"/>
          <w:sz w:val="22"/>
        </w:rPr>
        <w:t xml:space="preserve">У </w:t>
      </w:r>
      <w:r>
        <w:rPr>
          <w:rFonts w:ascii="Calibri" w:hAnsi="Calibri"/>
          <w:color w:val="1B61AF"/>
          <w:sz w:val="22"/>
        </w:rPr>
        <w:t>Таблиці 2.2.2</w:t>
      </w:r>
      <w:r>
        <w:rPr>
          <w:rFonts w:ascii="Calibri" w:hAnsi="Calibri"/>
          <w:sz w:val="22"/>
        </w:rPr>
        <w:t xml:space="preserve"> </w:t>
      </w:r>
      <w:r>
        <w:rPr>
          <w:rFonts w:ascii="Calibri" w:hAnsi="Calibri"/>
          <w:color w:val="000000"/>
          <w:sz w:val="22"/>
        </w:rPr>
        <w:t>представлені об’єднані результати чутливості та специфічності для AlereLAM щодо МРС, згрупованого за популяцією дослідження, діагностики ТБ серед «симптоматичних учасників» та діагностики ТБ серед «невибраних учасників”.</w:t>
      </w:r>
    </w:p>
    <w:p w:rsidR="00B716E5" w:rsidRPr="00B716E5" w:rsidRDefault="00B716E5" w:rsidP="00290BDD">
      <w:pPr>
        <w:spacing w:before="240"/>
        <w:rPr>
          <w:rFonts w:ascii="Calibri" w:hAnsi="Calibri" w:cs="Calibri"/>
          <w:color w:val="000000"/>
          <w:sz w:val="16"/>
          <w:szCs w:val="16"/>
          <w:u w:val="single"/>
          <w:vertAlign w:val="superscript"/>
        </w:rPr>
      </w:pPr>
      <w:r>
        <w:rPr>
          <w:rFonts w:ascii="Calibri" w:hAnsi="Calibri"/>
          <w:color w:val="000000"/>
          <w:sz w:val="16"/>
          <w:u w:val="single"/>
          <w:vertAlign w:val="superscript"/>
        </w:rPr>
        <w:tab/>
      </w:r>
      <w:r>
        <w:rPr>
          <w:rFonts w:ascii="Calibri" w:hAnsi="Calibri"/>
          <w:color w:val="000000"/>
          <w:sz w:val="16"/>
          <w:u w:val="single"/>
          <w:vertAlign w:val="superscript"/>
        </w:rPr>
        <w:tab/>
      </w:r>
      <w:r>
        <w:rPr>
          <w:rFonts w:ascii="Calibri" w:hAnsi="Calibri"/>
          <w:color w:val="000000"/>
          <w:sz w:val="16"/>
          <w:u w:val="single"/>
          <w:vertAlign w:val="superscript"/>
        </w:rPr>
        <w:tab/>
      </w:r>
    </w:p>
    <w:p w:rsidR="00ED665B" w:rsidRPr="00907702" w:rsidRDefault="006C7D2F" w:rsidP="00B716E5">
      <w:pPr>
        <w:rPr>
          <w:rFonts w:ascii="Calibri" w:hAnsi="Calibri" w:cs="Calibri"/>
        </w:rPr>
      </w:pPr>
      <w:r>
        <w:rPr>
          <w:rFonts w:ascii="Calibri" w:hAnsi="Calibri"/>
          <w:color w:val="000000"/>
          <w:sz w:val="16"/>
          <w:vertAlign w:val="superscript"/>
        </w:rPr>
        <w:t>16</w:t>
      </w:r>
      <w:r>
        <w:rPr>
          <w:rFonts w:ascii="Calibri" w:hAnsi="Calibri"/>
          <w:color w:val="000000"/>
          <w:sz w:val="16"/>
        </w:rPr>
        <w:t xml:space="preserve"> Цифри в дужках показали 95% достовірний інтервал (CrI).</w:t>
      </w:r>
    </w:p>
    <w:p w:rsidR="00ED665B" w:rsidRPr="00907702" w:rsidRDefault="00ED665B" w:rsidP="00DC2656">
      <w:pPr>
        <w:spacing w:before="595"/>
        <w:rPr>
          <w:rFonts w:ascii="Calibri" w:hAnsi="Calibri" w:cs="Calibri"/>
        </w:rPr>
        <w:sectPr w:rsidR="00ED665B" w:rsidRPr="00907702">
          <w:pgSz w:w="11904" w:h="16838"/>
          <w:pgMar w:top="1378" w:right="1416" w:bottom="1378" w:left="1416" w:header="720" w:footer="720" w:gutter="0"/>
          <w:cols w:space="60"/>
          <w:noEndnote/>
        </w:sectPr>
      </w:pPr>
    </w:p>
    <w:tbl>
      <w:tblPr>
        <w:tblW w:w="14020" w:type="dxa"/>
        <w:tblInd w:w="40" w:type="dxa"/>
        <w:tblLayout w:type="fixed"/>
        <w:tblCellMar>
          <w:left w:w="40" w:type="dxa"/>
          <w:right w:w="40" w:type="dxa"/>
        </w:tblCellMar>
        <w:tblLook w:val="0000" w:firstRow="0" w:lastRow="0" w:firstColumn="0" w:lastColumn="0" w:noHBand="0" w:noVBand="0"/>
      </w:tblPr>
      <w:tblGrid>
        <w:gridCol w:w="1344"/>
        <w:gridCol w:w="1584"/>
        <w:gridCol w:w="1579"/>
        <w:gridCol w:w="1584"/>
        <w:gridCol w:w="1584"/>
        <w:gridCol w:w="1579"/>
        <w:gridCol w:w="1584"/>
        <w:gridCol w:w="1584"/>
        <w:gridCol w:w="1598"/>
      </w:tblGrid>
      <w:tr w:rsidR="00ED665B" w:rsidRPr="00B716E5" w:rsidTr="00290BDD">
        <w:trPr>
          <w:trHeight w:hRule="exact" w:val="470"/>
        </w:trPr>
        <w:tc>
          <w:tcPr>
            <w:tcW w:w="14020" w:type="dxa"/>
            <w:gridSpan w:val="9"/>
            <w:tcBorders>
              <w:top w:val="nil"/>
              <w:left w:val="nil"/>
              <w:bottom w:val="single" w:sz="8" w:space="0" w:color="009649"/>
              <w:right w:val="nil"/>
            </w:tcBorders>
            <w:shd w:val="clear" w:color="auto" w:fill="FFFFFF"/>
          </w:tcPr>
          <w:p w:rsidR="00ED665B" w:rsidRPr="00B716E5" w:rsidRDefault="006C7D2F" w:rsidP="00DC2656">
            <w:pPr>
              <w:rPr>
                <w:rFonts w:ascii="Calibri" w:hAnsi="Calibri" w:cs="Calibri"/>
                <w:b/>
                <w:bCs/>
              </w:rPr>
            </w:pPr>
            <w:bookmarkStart w:id="17" w:name="bookmark21"/>
            <w:r>
              <w:rPr>
                <w:rFonts w:ascii="Calibri" w:hAnsi="Calibri"/>
                <w:b/>
                <w:color w:val="636466"/>
                <w:sz w:val="24"/>
              </w:rPr>
              <w:lastRenderedPageBreak/>
              <w:t>Т</w:t>
            </w:r>
            <w:bookmarkEnd w:id="17"/>
            <w:r>
              <w:rPr>
                <w:rFonts w:ascii="Calibri" w:hAnsi="Calibri"/>
                <w:b/>
                <w:color w:val="636466"/>
                <w:sz w:val="24"/>
              </w:rPr>
              <w:t>аблиця 2.2.2. AlereLAM об’єднана чутливість і специфічність для діагностики ТБ в залежності від досліджуваної популяції</w:t>
            </w:r>
          </w:p>
        </w:tc>
      </w:tr>
      <w:tr w:rsidR="00290BDD" w:rsidRPr="00B716E5" w:rsidTr="00290BDD">
        <w:trPr>
          <w:trHeight w:val="510"/>
        </w:trPr>
        <w:tc>
          <w:tcPr>
            <w:tcW w:w="1344" w:type="dxa"/>
            <w:vMerge w:val="restart"/>
            <w:tcBorders>
              <w:top w:val="single" w:sz="8" w:space="0" w:color="009649"/>
              <w:left w:val="single" w:sz="8" w:space="0" w:color="009649"/>
              <w:right w:val="single" w:sz="8" w:space="0" w:color="009649"/>
            </w:tcBorders>
            <w:shd w:val="clear" w:color="auto" w:fill="27A86A"/>
            <w:vAlign w:val="center"/>
          </w:tcPr>
          <w:p w:rsidR="00290BDD" w:rsidRPr="00B716E5" w:rsidRDefault="00290BDD" w:rsidP="00B716E5">
            <w:pPr>
              <w:rPr>
                <w:rFonts w:ascii="Calibri" w:hAnsi="Calibri" w:cs="Calibri"/>
                <w:b/>
                <w:bCs/>
              </w:rPr>
            </w:pPr>
            <w:r>
              <w:rPr>
                <w:rFonts w:ascii="Calibri" w:hAnsi="Calibri"/>
                <w:b/>
                <w:color w:val="000000"/>
              </w:rPr>
              <w:t>Тип аналізу</w:t>
            </w:r>
          </w:p>
        </w:tc>
        <w:tc>
          <w:tcPr>
            <w:tcW w:w="6331" w:type="dxa"/>
            <w:gridSpan w:val="4"/>
            <w:tcBorders>
              <w:top w:val="single" w:sz="8" w:space="0" w:color="009649"/>
              <w:left w:val="single" w:sz="8" w:space="0" w:color="009649"/>
              <w:bottom w:val="single" w:sz="8" w:space="0" w:color="009649"/>
              <w:right w:val="single" w:sz="8" w:space="0" w:color="009649"/>
            </w:tcBorders>
            <w:shd w:val="clear" w:color="auto" w:fill="27A86A"/>
            <w:vAlign w:val="center"/>
          </w:tcPr>
          <w:p w:rsidR="00290BDD" w:rsidRPr="00B716E5" w:rsidRDefault="00290BDD" w:rsidP="00B716E5">
            <w:pPr>
              <w:jc w:val="center"/>
              <w:rPr>
                <w:rFonts w:ascii="Calibri" w:hAnsi="Calibri" w:cs="Calibri"/>
                <w:b/>
                <w:bCs/>
              </w:rPr>
            </w:pPr>
            <w:r>
              <w:rPr>
                <w:rFonts w:ascii="Calibri" w:hAnsi="Calibri"/>
                <w:b/>
                <w:color w:val="000000"/>
              </w:rPr>
              <w:t>Симптоматичні учасники</w:t>
            </w:r>
          </w:p>
        </w:tc>
        <w:tc>
          <w:tcPr>
            <w:tcW w:w="6345" w:type="dxa"/>
            <w:gridSpan w:val="4"/>
            <w:tcBorders>
              <w:top w:val="single" w:sz="8" w:space="0" w:color="009649"/>
              <w:left w:val="single" w:sz="8" w:space="0" w:color="009649"/>
              <w:bottom w:val="single" w:sz="8" w:space="0" w:color="009649"/>
              <w:right w:val="single" w:sz="8" w:space="0" w:color="009649"/>
            </w:tcBorders>
            <w:shd w:val="clear" w:color="auto" w:fill="27A86A"/>
            <w:vAlign w:val="center"/>
          </w:tcPr>
          <w:p w:rsidR="00290BDD" w:rsidRPr="00B716E5" w:rsidRDefault="00290BDD" w:rsidP="00B716E5">
            <w:pPr>
              <w:jc w:val="center"/>
              <w:rPr>
                <w:rFonts w:ascii="Calibri" w:hAnsi="Calibri" w:cs="Calibri"/>
                <w:b/>
                <w:bCs/>
              </w:rPr>
            </w:pPr>
            <w:r>
              <w:rPr>
                <w:rFonts w:ascii="Calibri" w:hAnsi="Calibri"/>
                <w:b/>
                <w:color w:val="000000"/>
              </w:rPr>
              <w:t>Невибрані учасники</w:t>
            </w:r>
          </w:p>
        </w:tc>
      </w:tr>
      <w:tr w:rsidR="00290BDD" w:rsidRPr="00B716E5" w:rsidTr="00290BDD">
        <w:trPr>
          <w:trHeight w:val="510"/>
        </w:trPr>
        <w:tc>
          <w:tcPr>
            <w:tcW w:w="1344" w:type="dxa"/>
            <w:vMerge/>
            <w:tcBorders>
              <w:left w:val="single" w:sz="8" w:space="0" w:color="009649"/>
              <w:bottom w:val="single" w:sz="8" w:space="0" w:color="009649"/>
              <w:right w:val="single" w:sz="8" w:space="0" w:color="009649"/>
            </w:tcBorders>
            <w:shd w:val="clear" w:color="auto" w:fill="FFFFFF"/>
            <w:vAlign w:val="center"/>
          </w:tcPr>
          <w:p w:rsidR="00290BDD" w:rsidRPr="00B716E5" w:rsidRDefault="00290BDD" w:rsidP="00B716E5">
            <w:pPr>
              <w:rPr>
                <w:rFonts w:ascii="Calibri" w:hAnsi="Calibri" w:cs="Calibri"/>
                <w:b/>
                <w:bCs/>
              </w:rPr>
            </w:pPr>
          </w:p>
        </w:tc>
        <w:tc>
          <w:tcPr>
            <w:tcW w:w="1584"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jc w:val="center"/>
              <w:rPr>
                <w:rFonts w:ascii="Calibri" w:hAnsi="Calibri" w:cs="Calibri"/>
                <w:b/>
                <w:bCs/>
              </w:rPr>
            </w:pPr>
            <w:r>
              <w:rPr>
                <w:rFonts w:ascii="Calibri" w:hAnsi="Calibri"/>
                <w:b/>
                <w:color w:val="000000"/>
              </w:rPr>
              <w:t>Дослідження (загальна кількість учасників)</w:t>
            </w:r>
          </w:p>
        </w:tc>
        <w:tc>
          <w:tcPr>
            <w:tcW w:w="1579"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jc w:val="center"/>
              <w:rPr>
                <w:rFonts w:ascii="Calibri" w:hAnsi="Calibri" w:cs="Calibri"/>
                <w:b/>
                <w:bCs/>
              </w:rPr>
            </w:pPr>
            <w:r>
              <w:rPr>
                <w:rFonts w:ascii="Calibri" w:hAnsi="Calibri"/>
                <w:b/>
                <w:color w:val="000000"/>
              </w:rPr>
              <w:t>Учасники з ТБ</w:t>
            </w:r>
          </w:p>
        </w:tc>
        <w:tc>
          <w:tcPr>
            <w:tcW w:w="1584"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ind w:firstLine="158"/>
              <w:jc w:val="center"/>
              <w:rPr>
                <w:rFonts w:ascii="Calibri" w:hAnsi="Calibri" w:cs="Calibri"/>
                <w:b/>
                <w:bCs/>
              </w:rPr>
            </w:pPr>
            <w:r>
              <w:rPr>
                <w:rFonts w:ascii="Calibri" w:hAnsi="Calibri"/>
                <w:b/>
                <w:color w:val="000000"/>
              </w:rPr>
              <w:t>Об'єднана чутливість (95% CrI)</w:t>
            </w:r>
          </w:p>
        </w:tc>
        <w:tc>
          <w:tcPr>
            <w:tcW w:w="1584"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ind w:firstLine="154"/>
              <w:jc w:val="center"/>
              <w:rPr>
                <w:rFonts w:ascii="Calibri" w:hAnsi="Calibri" w:cs="Calibri"/>
                <w:b/>
                <w:bCs/>
              </w:rPr>
            </w:pPr>
            <w:r>
              <w:rPr>
                <w:rFonts w:ascii="Calibri" w:hAnsi="Calibri"/>
                <w:b/>
                <w:color w:val="000000"/>
              </w:rPr>
              <w:t>Об'єднана специфічність (95% CrI)</w:t>
            </w:r>
          </w:p>
        </w:tc>
        <w:tc>
          <w:tcPr>
            <w:tcW w:w="1579"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jc w:val="center"/>
              <w:rPr>
                <w:rFonts w:ascii="Calibri" w:hAnsi="Calibri" w:cs="Calibri"/>
                <w:b/>
                <w:bCs/>
              </w:rPr>
            </w:pPr>
            <w:r>
              <w:rPr>
                <w:rFonts w:ascii="Calibri" w:hAnsi="Calibri"/>
                <w:b/>
                <w:color w:val="000000"/>
              </w:rPr>
              <w:t>Дослідження (загальна кількість учасників)</w:t>
            </w:r>
          </w:p>
        </w:tc>
        <w:tc>
          <w:tcPr>
            <w:tcW w:w="1584"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jc w:val="center"/>
              <w:rPr>
                <w:rFonts w:ascii="Calibri" w:hAnsi="Calibri" w:cs="Calibri"/>
                <w:b/>
                <w:bCs/>
              </w:rPr>
            </w:pPr>
            <w:r>
              <w:rPr>
                <w:rFonts w:ascii="Calibri" w:hAnsi="Calibri"/>
                <w:b/>
                <w:color w:val="000000"/>
              </w:rPr>
              <w:t>Учасники з ТБ</w:t>
            </w:r>
          </w:p>
        </w:tc>
        <w:tc>
          <w:tcPr>
            <w:tcW w:w="1584"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jc w:val="center"/>
              <w:rPr>
                <w:rFonts w:ascii="Calibri" w:hAnsi="Calibri" w:cs="Calibri"/>
                <w:b/>
                <w:bCs/>
              </w:rPr>
            </w:pPr>
            <w:r>
              <w:rPr>
                <w:rFonts w:ascii="Calibri" w:hAnsi="Calibri"/>
                <w:b/>
                <w:color w:val="000000"/>
              </w:rPr>
              <w:t>Об'єднана чутливість (95% CrI)</w:t>
            </w:r>
          </w:p>
        </w:tc>
        <w:tc>
          <w:tcPr>
            <w:tcW w:w="1598"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ind w:firstLine="134"/>
              <w:jc w:val="center"/>
              <w:rPr>
                <w:rFonts w:ascii="Calibri" w:hAnsi="Calibri" w:cs="Calibri"/>
                <w:b/>
                <w:bCs/>
              </w:rPr>
            </w:pPr>
            <w:r>
              <w:rPr>
                <w:rFonts w:ascii="Calibri" w:hAnsi="Calibri"/>
                <w:b/>
                <w:color w:val="000000"/>
              </w:rPr>
              <w:t>Об'єднана специфічність (95% CrI)</w:t>
            </w:r>
          </w:p>
        </w:tc>
      </w:tr>
      <w:tr w:rsidR="00ED665B" w:rsidRPr="00907702" w:rsidTr="00290BDD">
        <w:trPr>
          <w:trHeight w:val="510"/>
        </w:trPr>
        <w:tc>
          <w:tcPr>
            <w:tcW w:w="1344" w:type="dxa"/>
            <w:tcBorders>
              <w:top w:val="single" w:sz="8" w:space="0" w:color="009649"/>
              <w:left w:val="nil"/>
              <w:bottom w:val="single" w:sz="8" w:space="0" w:color="009649"/>
              <w:right w:val="nil"/>
            </w:tcBorders>
            <w:shd w:val="clear" w:color="auto" w:fill="FFFFFF"/>
            <w:vAlign w:val="center"/>
          </w:tcPr>
          <w:p w:rsidR="00ED665B" w:rsidRPr="00B716E5" w:rsidRDefault="006C7D2F" w:rsidP="00B716E5">
            <w:pPr>
              <w:rPr>
                <w:rFonts w:ascii="Calibri" w:hAnsi="Calibri" w:cs="Calibri"/>
                <w:b/>
                <w:bCs/>
              </w:rPr>
            </w:pPr>
            <w:r>
              <w:rPr>
                <w:rFonts w:ascii="Calibri" w:hAnsi="Calibri"/>
                <w:b/>
                <w:color w:val="000000"/>
              </w:rPr>
              <w:t>Сумарна похибка</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8 досліджень </w:t>
            </w:r>
          </w:p>
          <w:p w:rsidR="00ED665B" w:rsidRPr="00907702" w:rsidRDefault="006C7D2F" w:rsidP="00B716E5">
            <w:pPr>
              <w:jc w:val="center"/>
              <w:rPr>
                <w:rFonts w:ascii="Calibri" w:hAnsi="Calibri" w:cs="Calibri"/>
              </w:rPr>
            </w:pPr>
            <w:r>
              <w:rPr>
                <w:rFonts w:ascii="Calibri" w:hAnsi="Calibri"/>
                <w:color w:val="000000"/>
              </w:rPr>
              <w:t>(3449)</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58"/>
              <w:jc w:val="center"/>
              <w:rPr>
                <w:rFonts w:ascii="Calibri" w:hAnsi="Calibri" w:cs="Calibri"/>
                <w:color w:val="000000"/>
              </w:rPr>
            </w:pPr>
            <w:r>
              <w:rPr>
                <w:rFonts w:ascii="Calibri" w:hAnsi="Calibri"/>
                <w:color w:val="000000"/>
              </w:rPr>
              <w:t xml:space="preserve">1277 </w:t>
            </w:r>
          </w:p>
          <w:p w:rsidR="00ED665B" w:rsidRPr="00907702" w:rsidRDefault="006C7D2F" w:rsidP="00B716E5">
            <w:pPr>
              <w:ind w:firstLine="58"/>
              <w:jc w:val="center"/>
              <w:rPr>
                <w:rFonts w:ascii="Calibri" w:hAnsi="Calibri" w:cs="Calibri"/>
              </w:rPr>
            </w:pPr>
            <w:r>
              <w:rPr>
                <w:rFonts w:ascii="Calibri" w:hAnsi="Calibri"/>
                <w:color w:val="000000"/>
              </w:rPr>
              <w:t>(37%)</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26"/>
              <w:jc w:val="center"/>
              <w:rPr>
                <w:rFonts w:ascii="Calibri" w:hAnsi="Calibri" w:cs="Calibri"/>
                <w:color w:val="000000"/>
              </w:rPr>
            </w:pPr>
            <w:r>
              <w:rPr>
                <w:rFonts w:ascii="Calibri" w:hAnsi="Calibri"/>
                <w:color w:val="000000"/>
              </w:rPr>
              <w:t xml:space="preserve">42% </w:t>
            </w:r>
          </w:p>
          <w:p w:rsidR="00ED665B" w:rsidRPr="00907702" w:rsidRDefault="006C7D2F" w:rsidP="00B716E5">
            <w:pPr>
              <w:ind w:firstLine="226"/>
              <w:jc w:val="center"/>
              <w:rPr>
                <w:rFonts w:ascii="Calibri" w:hAnsi="Calibri" w:cs="Calibri"/>
              </w:rPr>
            </w:pPr>
            <w:r>
              <w:rPr>
                <w:rFonts w:ascii="Calibri" w:hAnsi="Calibri"/>
                <w:color w:val="000000"/>
              </w:rPr>
              <w:t>(31-55%)</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30"/>
              <w:jc w:val="center"/>
              <w:rPr>
                <w:rFonts w:ascii="Calibri" w:hAnsi="Calibri" w:cs="Calibri"/>
                <w:color w:val="000000"/>
              </w:rPr>
            </w:pPr>
            <w:r>
              <w:rPr>
                <w:rFonts w:ascii="Calibri" w:hAnsi="Calibri"/>
                <w:color w:val="000000"/>
              </w:rPr>
              <w:t xml:space="preserve">91% </w:t>
            </w:r>
          </w:p>
          <w:p w:rsidR="00ED665B" w:rsidRPr="00907702" w:rsidRDefault="006C7D2F" w:rsidP="00B716E5">
            <w:pPr>
              <w:ind w:firstLine="230"/>
              <w:jc w:val="center"/>
              <w:rPr>
                <w:rFonts w:ascii="Calibri" w:hAnsi="Calibri" w:cs="Calibri"/>
              </w:rPr>
            </w:pPr>
            <w:r>
              <w:rPr>
                <w:rFonts w:ascii="Calibri" w:hAnsi="Calibri"/>
                <w:color w:val="000000"/>
              </w:rPr>
              <w:t>(85-95%)</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7 досліджень </w:t>
            </w:r>
          </w:p>
          <w:p w:rsidR="00ED665B" w:rsidRPr="00907702" w:rsidRDefault="006C7D2F" w:rsidP="00B716E5">
            <w:pPr>
              <w:jc w:val="center"/>
              <w:rPr>
                <w:rFonts w:ascii="Calibri" w:hAnsi="Calibri" w:cs="Calibri"/>
              </w:rPr>
            </w:pPr>
            <w:r>
              <w:rPr>
                <w:rFonts w:ascii="Calibri" w:hAnsi="Calibri"/>
                <w:color w:val="000000"/>
              </w:rPr>
              <w:t>(3365)</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432 </w:t>
            </w:r>
          </w:p>
          <w:p w:rsidR="00ED665B" w:rsidRPr="00907702" w:rsidRDefault="006C7D2F" w:rsidP="00B716E5">
            <w:pPr>
              <w:jc w:val="center"/>
              <w:rPr>
                <w:rFonts w:ascii="Calibri" w:hAnsi="Calibri" w:cs="Calibri"/>
              </w:rPr>
            </w:pPr>
            <w:r>
              <w:rPr>
                <w:rFonts w:ascii="Calibri" w:hAnsi="Calibri"/>
                <w:color w:val="000000"/>
              </w:rPr>
              <w:t>(13%)</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35% </w:t>
            </w:r>
          </w:p>
          <w:p w:rsidR="00ED665B" w:rsidRPr="00907702" w:rsidRDefault="006C7D2F" w:rsidP="00B716E5">
            <w:pPr>
              <w:jc w:val="center"/>
              <w:rPr>
                <w:rFonts w:ascii="Calibri" w:hAnsi="Calibri" w:cs="Calibri"/>
              </w:rPr>
            </w:pPr>
            <w:r>
              <w:rPr>
                <w:rFonts w:ascii="Calibri" w:hAnsi="Calibri"/>
                <w:color w:val="000000"/>
              </w:rPr>
              <w:t>(22-50%)</w:t>
            </w:r>
          </w:p>
        </w:tc>
        <w:tc>
          <w:tcPr>
            <w:tcW w:w="1598" w:type="dxa"/>
            <w:tcBorders>
              <w:top w:val="single" w:sz="8" w:space="0" w:color="009649"/>
              <w:left w:val="nil"/>
              <w:bottom w:val="single" w:sz="8" w:space="0" w:color="009649"/>
              <w:right w:val="nil"/>
            </w:tcBorders>
            <w:shd w:val="clear" w:color="auto" w:fill="FFFFFF"/>
            <w:vAlign w:val="center"/>
          </w:tcPr>
          <w:p w:rsidR="00B716E5" w:rsidRDefault="006C7D2F" w:rsidP="00290BDD">
            <w:pPr>
              <w:jc w:val="center"/>
              <w:rPr>
                <w:rFonts w:ascii="Calibri" w:hAnsi="Calibri" w:cs="Calibri"/>
                <w:color w:val="000000"/>
              </w:rPr>
            </w:pPr>
            <w:r>
              <w:rPr>
                <w:rFonts w:ascii="Calibri" w:hAnsi="Calibri"/>
                <w:color w:val="000000"/>
              </w:rPr>
              <w:t>95%</w:t>
            </w:r>
          </w:p>
          <w:p w:rsidR="00ED665B" w:rsidRPr="00907702" w:rsidRDefault="006C7D2F" w:rsidP="00290BDD">
            <w:pPr>
              <w:jc w:val="center"/>
              <w:rPr>
                <w:rFonts w:ascii="Calibri" w:hAnsi="Calibri" w:cs="Calibri"/>
              </w:rPr>
            </w:pPr>
            <w:r>
              <w:rPr>
                <w:rFonts w:ascii="Calibri" w:hAnsi="Calibri"/>
                <w:color w:val="000000"/>
              </w:rPr>
              <w:t>(89-98%)</w:t>
            </w:r>
          </w:p>
        </w:tc>
      </w:tr>
      <w:tr w:rsidR="00ED665B" w:rsidRPr="00907702" w:rsidTr="00290BDD">
        <w:trPr>
          <w:trHeight w:val="510"/>
        </w:trPr>
        <w:tc>
          <w:tcPr>
            <w:tcW w:w="14020" w:type="dxa"/>
            <w:gridSpan w:val="9"/>
            <w:tcBorders>
              <w:top w:val="single" w:sz="8" w:space="0" w:color="009649"/>
              <w:left w:val="nil"/>
              <w:bottom w:val="single" w:sz="8" w:space="0" w:color="009649"/>
              <w:right w:val="nil"/>
            </w:tcBorders>
            <w:shd w:val="clear" w:color="auto" w:fill="7ABE94"/>
            <w:vAlign w:val="center"/>
          </w:tcPr>
          <w:p w:rsidR="00ED665B" w:rsidRPr="00B716E5" w:rsidRDefault="006C7D2F" w:rsidP="00B716E5">
            <w:pPr>
              <w:rPr>
                <w:rFonts w:ascii="Calibri" w:hAnsi="Calibri" w:cs="Calibri"/>
                <w:b/>
                <w:bCs/>
              </w:rPr>
            </w:pPr>
            <w:r>
              <w:rPr>
                <w:rFonts w:ascii="Calibri" w:hAnsi="Calibri"/>
                <w:b/>
                <w:color w:val="000000"/>
              </w:rPr>
              <w:t>В умовах</w:t>
            </w:r>
          </w:p>
        </w:tc>
      </w:tr>
      <w:tr w:rsidR="00ED665B" w:rsidRPr="00907702" w:rsidTr="00290BDD">
        <w:trPr>
          <w:trHeight w:val="510"/>
        </w:trPr>
        <w:tc>
          <w:tcPr>
            <w:tcW w:w="1344" w:type="dxa"/>
            <w:tcBorders>
              <w:top w:val="single" w:sz="8" w:space="0" w:color="009649"/>
              <w:left w:val="nil"/>
              <w:bottom w:val="single" w:sz="8" w:space="0" w:color="009649"/>
              <w:right w:val="nil"/>
            </w:tcBorders>
            <w:shd w:val="clear" w:color="auto" w:fill="FFFFFF"/>
            <w:vAlign w:val="center"/>
          </w:tcPr>
          <w:p w:rsidR="00ED665B" w:rsidRPr="00B716E5" w:rsidRDefault="006C7D2F" w:rsidP="00B716E5">
            <w:pPr>
              <w:rPr>
                <w:rFonts w:ascii="Calibri" w:hAnsi="Calibri" w:cs="Calibri"/>
                <w:b/>
                <w:bCs/>
              </w:rPr>
            </w:pPr>
            <w:r>
              <w:rPr>
                <w:rFonts w:ascii="Calibri" w:hAnsi="Calibri"/>
                <w:b/>
                <w:color w:val="000000"/>
              </w:rPr>
              <w:t>стаціонару</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6 досліджень </w:t>
            </w:r>
          </w:p>
          <w:p w:rsidR="00ED665B" w:rsidRPr="00907702" w:rsidRDefault="006C7D2F" w:rsidP="00B716E5">
            <w:pPr>
              <w:jc w:val="center"/>
              <w:rPr>
                <w:rFonts w:ascii="Calibri" w:hAnsi="Calibri" w:cs="Calibri"/>
              </w:rPr>
            </w:pPr>
            <w:r>
              <w:rPr>
                <w:rFonts w:ascii="Calibri" w:hAnsi="Calibri"/>
                <w:color w:val="000000"/>
              </w:rPr>
              <w:t>(2253)</w:t>
            </w:r>
          </w:p>
        </w:tc>
        <w:tc>
          <w:tcPr>
            <w:tcW w:w="1579"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868</w:t>
            </w:r>
          </w:p>
          <w:p w:rsidR="00ED665B" w:rsidRPr="00907702" w:rsidRDefault="006C7D2F" w:rsidP="00B716E5">
            <w:pPr>
              <w:jc w:val="center"/>
              <w:rPr>
                <w:rFonts w:ascii="Calibri" w:hAnsi="Calibri" w:cs="Calibri"/>
              </w:rPr>
            </w:pPr>
            <w:r>
              <w:rPr>
                <w:rFonts w:ascii="Calibri" w:hAnsi="Calibri"/>
                <w:color w:val="000000"/>
              </w:rPr>
              <w:t>(39%)</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40"/>
              <w:jc w:val="center"/>
              <w:rPr>
                <w:rFonts w:ascii="Calibri" w:hAnsi="Calibri" w:cs="Calibri"/>
                <w:color w:val="000000"/>
              </w:rPr>
            </w:pPr>
            <w:r>
              <w:rPr>
                <w:rFonts w:ascii="Calibri" w:hAnsi="Calibri"/>
                <w:color w:val="000000"/>
              </w:rPr>
              <w:t xml:space="preserve">52% </w:t>
            </w:r>
          </w:p>
          <w:p w:rsidR="00ED665B" w:rsidRPr="00907702" w:rsidRDefault="006C7D2F" w:rsidP="00B716E5">
            <w:pPr>
              <w:ind w:firstLine="240"/>
              <w:jc w:val="center"/>
              <w:rPr>
                <w:rFonts w:ascii="Calibri" w:hAnsi="Calibri" w:cs="Calibri"/>
              </w:rPr>
            </w:pPr>
            <w:r>
              <w:rPr>
                <w:rFonts w:ascii="Calibri" w:hAnsi="Calibri"/>
                <w:color w:val="000000"/>
              </w:rPr>
              <w:t>(40-64%)</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30"/>
              <w:jc w:val="center"/>
              <w:rPr>
                <w:rFonts w:ascii="Calibri" w:hAnsi="Calibri" w:cs="Calibri"/>
                <w:color w:val="000000"/>
              </w:rPr>
            </w:pPr>
            <w:r>
              <w:rPr>
                <w:rFonts w:ascii="Calibri" w:hAnsi="Calibri"/>
                <w:color w:val="000000"/>
              </w:rPr>
              <w:t xml:space="preserve">87% </w:t>
            </w:r>
          </w:p>
          <w:p w:rsidR="00ED665B" w:rsidRPr="00907702" w:rsidRDefault="006C7D2F" w:rsidP="00B716E5">
            <w:pPr>
              <w:ind w:firstLine="230"/>
              <w:jc w:val="center"/>
              <w:rPr>
                <w:rFonts w:ascii="Calibri" w:hAnsi="Calibri" w:cs="Calibri"/>
              </w:rPr>
            </w:pPr>
            <w:r>
              <w:rPr>
                <w:rFonts w:ascii="Calibri" w:hAnsi="Calibri"/>
                <w:color w:val="000000"/>
              </w:rPr>
              <w:t>(78-93%)</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3 дослідження </w:t>
            </w:r>
          </w:p>
          <w:p w:rsidR="00ED665B" w:rsidRPr="00907702" w:rsidRDefault="006C7D2F" w:rsidP="00B716E5">
            <w:pPr>
              <w:jc w:val="center"/>
              <w:rPr>
                <w:rFonts w:ascii="Calibri" w:hAnsi="Calibri" w:cs="Calibri"/>
              </w:rPr>
            </w:pPr>
            <w:r>
              <w:rPr>
                <w:rFonts w:ascii="Calibri" w:hAnsi="Calibri"/>
                <w:color w:val="000000"/>
              </w:rPr>
              <w:t>(537)</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159 </w:t>
            </w:r>
          </w:p>
          <w:p w:rsidR="00ED665B" w:rsidRPr="00907702" w:rsidRDefault="006C7D2F" w:rsidP="00B716E5">
            <w:pPr>
              <w:jc w:val="center"/>
              <w:rPr>
                <w:rFonts w:ascii="Calibri" w:hAnsi="Calibri" w:cs="Calibri"/>
              </w:rPr>
            </w:pPr>
            <w:r>
              <w:rPr>
                <w:rFonts w:ascii="Calibri" w:hAnsi="Calibri"/>
                <w:color w:val="000000"/>
              </w:rPr>
              <w:t>(30%)</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62% </w:t>
            </w:r>
          </w:p>
          <w:p w:rsidR="00ED665B" w:rsidRPr="00907702" w:rsidRDefault="006C7D2F" w:rsidP="00B716E5">
            <w:pPr>
              <w:jc w:val="center"/>
              <w:rPr>
                <w:rFonts w:ascii="Calibri" w:hAnsi="Calibri" w:cs="Calibri"/>
              </w:rPr>
            </w:pPr>
            <w:r>
              <w:rPr>
                <w:rFonts w:ascii="Calibri" w:hAnsi="Calibri"/>
                <w:color w:val="000000"/>
              </w:rPr>
              <w:t>(41-83%)</w:t>
            </w:r>
          </w:p>
        </w:tc>
        <w:tc>
          <w:tcPr>
            <w:tcW w:w="1598" w:type="dxa"/>
            <w:tcBorders>
              <w:top w:val="single" w:sz="8" w:space="0" w:color="009649"/>
              <w:left w:val="nil"/>
              <w:bottom w:val="single" w:sz="8" w:space="0" w:color="009649"/>
              <w:right w:val="nil"/>
            </w:tcBorders>
            <w:shd w:val="clear" w:color="auto" w:fill="FFFFFF"/>
            <w:vAlign w:val="center"/>
          </w:tcPr>
          <w:p w:rsidR="00B716E5" w:rsidRDefault="006C7D2F" w:rsidP="00290BDD">
            <w:pPr>
              <w:jc w:val="center"/>
              <w:rPr>
                <w:rFonts w:ascii="Calibri" w:hAnsi="Calibri" w:cs="Calibri"/>
                <w:color w:val="000000"/>
              </w:rPr>
            </w:pPr>
            <w:r>
              <w:rPr>
                <w:rFonts w:ascii="Calibri" w:hAnsi="Calibri"/>
                <w:color w:val="000000"/>
              </w:rPr>
              <w:t>84%</w:t>
            </w:r>
          </w:p>
          <w:p w:rsidR="00ED665B" w:rsidRPr="00907702" w:rsidRDefault="006C7D2F" w:rsidP="00290BDD">
            <w:pPr>
              <w:jc w:val="center"/>
              <w:rPr>
                <w:rFonts w:ascii="Calibri" w:hAnsi="Calibri" w:cs="Calibri"/>
              </w:rPr>
            </w:pPr>
            <w:r>
              <w:rPr>
                <w:rFonts w:ascii="Calibri" w:hAnsi="Calibri"/>
                <w:color w:val="000000"/>
              </w:rPr>
              <w:t>(48-96%)</w:t>
            </w:r>
          </w:p>
        </w:tc>
      </w:tr>
      <w:tr w:rsidR="00ED665B" w:rsidRPr="00907702" w:rsidTr="00290BDD">
        <w:trPr>
          <w:trHeight w:val="510"/>
        </w:trPr>
        <w:tc>
          <w:tcPr>
            <w:tcW w:w="1344" w:type="dxa"/>
            <w:tcBorders>
              <w:top w:val="single" w:sz="8" w:space="0" w:color="009649"/>
              <w:left w:val="nil"/>
              <w:bottom w:val="single" w:sz="8" w:space="0" w:color="009649"/>
              <w:right w:val="nil"/>
            </w:tcBorders>
            <w:shd w:val="clear" w:color="auto" w:fill="FFFFFF"/>
            <w:vAlign w:val="center"/>
          </w:tcPr>
          <w:p w:rsidR="00ED665B" w:rsidRPr="00B716E5" w:rsidRDefault="006C7D2F" w:rsidP="00B716E5">
            <w:pPr>
              <w:rPr>
                <w:rFonts w:ascii="Calibri" w:hAnsi="Calibri" w:cs="Calibri"/>
                <w:b/>
                <w:bCs/>
              </w:rPr>
            </w:pPr>
            <w:r>
              <w:rPr>
                <w:rFonts w:ascii="Calibri" w:hAnsi="Calibri"/>
                <w:b/>
                <w:color w:val="000000"/>
              </w:rPr>
              <w:t>Амбулаторне</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4 дослідження </w:t>
            </w:r>
          </w:p>
          <w:p w:rsidR="00ED665B" w:rsidRPr="00907702" w:rsidRDefault="006C7D2F" w:rsidP="00B716E5">
            <w:pPr>
              <w:jc w:val="center"/>
              <w:rPr>
                <w:rFonts w:ascii="Calibri" w:hAnsi="Calibri" w:cs="Calibri"/>
              </w:rPr>
            </w:pPr>
            <w:r>
              <w:rPr>
                <w:rFonts w:ascii="Calibri" w:hAnsi="Calibri"/>
                <w:color w:val="000000"/>
              </w:rPr>
              <w:t>(1196)</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96"/>
              <w:jc w:val="center"/>
              <w:rPr>
                <w:rFonts w:ascii="Calibri" w:hAnsi="Calibri" w:cs="Calibri"/>
                <w:color w:val="000000"/>
              </w:rPr>
            </w:pPr>
            <w:r>
              <w:rPr>
                <w:rFonts w:ascii="Calibri" w:hAnsi="Calibri"/>
                <w:color w:val="000000"/>
              </w:rPr>
              <w:t xml:space="preserve">409 </w:t>
            </w:r>
          </w:p>
          <w:p w:rsidR="00ED665B" w:rsidRPr="00907702" w:rsidRDefault="006C7D2F" w:rsidP="00B716E5">
            <w:pPr>
              <w:ind w:firstLine="96"/>
              <w:jc w:val="center"/>
              <w:rPr>
                <w:rFonts w:ascii="Calibri" w:hAnsi="Calibri" w:cs="Calibri"/>
              </w:rPr>
            </w:pPr>
            <w:r>
              <w:rPr>
                <w:rFonts w:ascii="Calibri" w:hAnsi="Calibri"/>
                <w:color w:val="000000"/>
              </w:rPr>
              <w:t>(34%)</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35"/>
              <w:jc w:val="center"/>
              <w:rPr>
                <w:rFonts w:ascii="Calibri" w:hAnsi="Calibri" w:cs="Calibri"/>
                <w:color w:val="000000"/>
              </w:rPr>
            </w:pPr>
            <w:r>
              <w:rPr>
                <w:rFonts w:ascii="Calibri" w:hAnsi="Calibri"/>
                <w:color w:val="000000"/>
              </w:rPr>
              <w:t>29%</w:t>
            </w:r>
          </w:p>
          <w:p w:rsidR="00ED665B" w:rsidRPr="00907702" w:rsidRDefault="006C7D2F" w:rsidP="00B716E5">
            <w:pPr>
              <w:ind w:firstLine="235"/>
              <w:jc w:val="center"/>
              <w:rPr>
                <w:rFonts w:ascii="Calibri" w:hAnsi="Calibri" w:cs="Calibri"/>
              </w:rPr>
            </w:pPr>
            <w:r>
              <w:rPr>
                <w:rFonts w:ascii="Calibri" w:hAnsi="Calibri"/>
                <w:color w:val="000000"/>
              </w:rPr>
              <w:t>(17-47%)</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30"/>
              <w:jc w:val="center"/>
              <w:rPr>
                <w:rFonts w:ascii="Calibri" w:hAnsi="Calibri" w:cs="Calibri"/>
                <w:color w:val="000000"/>
              </w:rPr>
            </w:pPr>
            <w:r>
              <w:rPr>
                <w:rFonts w:ascii="Calibri" w:hAnsi="Calibri"/>
                <w:color w:val="000000"/>
              </w:rPr>
              <w:t xml:space="preserve">96% </w:t>
            </w:r>
          </w:p>
          <w:p w:rsidR="00ED665B" w:rsidRPr="00907702" w:rsidRDefault="006C7D2F" w:rsidP="00B716E5">
            <w:pPr>
              <w:ind w:firstLine="230"/>
              <w:jc w:val="center"/>
              <w:rPr>
                <w:rFonts w:ascii="Calibri" w:hAnsi="Calibri" w:cs="Calibri"/>
              </w:rPr>
            </w:pPr>
            <w:r>
              <w:rPr>
                <w:rFonts w:ascii="Calibri" w:hAnsi="Calibri"/>
                <w:color w:val="000000"/>
              </w:rPr>
              <w:t>(91-99%)</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6 досліджень </w:t>
            </w:r>
          </w:p>
          <w:p w:rsidR="00ED665B" w:rsidRPr="00907702" w:rsidRDefault="006C7D2F" w:rsidP="00B716E5">
            <w:pPr>
              <w:jc w:val="center"/>
              <w:rPr>
                <w:rFonts w:ascii="Calibri" w:hAnsi="Calibri" w:cs="Calibri"/>
              </w:rPr>
            </w:pPr>
            <w:r>
              <w:rPr>
                <w:rFonts w:ascii="Calibri" w:hAnsi="Calibri"/>
                <w:color w:val="000000"/>
              </w:rPr>
              <w:t>(2828)</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273 </w:t>
            </w:r>
          </w:p>
          <w:p w:rsidR="00ED665B" w:rsidRPr="00907702" w:rsidRDefault="006C7D2F" w:rsidP="00B716E5">
            <w:pPr>
              <w:jc w:val="center"/>
              <w:rPr>
                <w:rFonts w:ascii="Calibri" w:hAnsi="Calibri" w:cs="Calibri"/>
              </w:rPr>
            </w:pPr>
            <w:r>
              <w:rPr>
                <w:rFonts w:ascii="Calibri" w:hAnsi="Calibri"/>
                <w:color w:val="000000"/>
              </w:rPr>
              <w:t>(10%)</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31% </w:t>
            </w:r>
          </w:p>
          <w:p w:rsidR="00ED665B" w:rsidRPr="00907702" w:rsidRDefault="006C7D2F" w:rsidP="00B716E5">
            <w:pPr>
              <w:jc w:val="center"/>
              <w:rPr>
                <w:rFonts w:ascii="Calibri" w:hAnsi="Calibri" w:cs="Calibri"/>
              </w:rPr>
            </w:pPr>
            <w:r>
              <w:rPr>
                <w:rFonts w:ascii="Calibri" w:hAnsi="Calibri"/>
                <w:color w:val="000000"/>
              </w:rPr>
              <w:t>(18-47%)</w:t>
            </w:r>
          </w:p>
        </w:tc>
        <w:tc>
          <w:tcPr>
            <w:tcW w:w="1598" w:type="dxa"/>
            <w:tcBorders>
              <w:top w:val="single" w:sz="8" w:space="0" w:color="009649"/>
              <w:left w:val="nil"/>
              <w:bottom w:val="single" w:sz="8" w:space="0" w:color="009649"/>
              <w:right w:val="nil"/>
            </w:tcBorders>
            <w:shd w:val="clear" w:color="auto" w:fill="FFFFFF"/>
            <w:vAlign w:val="center"/>
          </w:tcPr>
          <w:p w:rsidR="00B716E5" w:rsidRDefault="006C7D2F" w:rsidP="00290BDD">
            <w:pPr>
              <w:jc w:val="center"/>
              <w:rPr>
                <w:rFonts w:ascii="Calibri" w:hAnsi="Calibri" w:cs="Calibri"/>
                <w:color w:val="000000"/>
              </w:rPr>
            </w:pPr>
            <w:r>
              <w:rPr>
                <w:rFonts w:ascii="Calibri" w:hAnsi="Calibri"/>
                <w:color w:val="000000"/>
              </w:rPr>
              <w:t xml:space="preserve">95% </w:t>
            </w:r>
          </w:p>
          <w:p w:rsidR="00ED665B" w:rsidRPr="00907702" w:rsidRDefault="006C7D2F" w:rsidP="00290BDD">
            <w:pPr>
              <w:jc w:val="center"/>
              <w:rPr>
                <w:rFonts w:ascii="Calibri" w:hAnsi="Calibri" w:cs="Calibri"/>
              </w:rPr>
            </w:pPr>
            <w:r>
              <w:rPr>
                <w:rFonts w:ascii="Calibri" w:hAnsi="Calibri"/>
                <w:color w:val="000000"/>
              </w:rPr>
              <w:t>(87-99%)</w:t>
            </w:r>
          </w:p>
        </w:tc>
      </w:tr>
      <w:tr w:rsidR="00ED665B" w:rsidRPr="00B716E5" w:rsidTr="00290BDD">
        <w:trPr>
          <w:trHeight w:val="510"/>
        </w:trPr>
        <w:tc>
          <w:tcPr>
            <w:tcW w:w="14020" w:type="dxa"/>
            <w:gridSpan w:val="9"/>
            <w:tcBorders>
              <w:top w:val="single" w:sz="8" w:space="0" w:color="009649"/>
              <w:left w:val="nil"/>
              <w:bottom w:val="single" w:sz="8" w:space="0" w:color="009649"/>
              <w:right w:val="nil"/>
            </w:tcBorders>
            <w:shd w:val="clear" w:color="auto" w:fill="7ABE94"/>
            <w:vAlign w:val="center"/>
          </w:tcPr>
          <w:p w:rsidR="00ED665B" w:rsidRPr="00B716E5" w:rsidRDefault="006C7D2F" w:rsidP="00B716E5">
            <w:pPr>
              <w:rPr>
                <w:rFonts w:ascii="Calibri" w:hAnsi="Calibri" w:cs="Calibri"/>
                <w:b/>
                <w:bCs/>
              </w:rPr>
            </w:pPr>
            <w:r>
              <w:rPr>
                <w:rFonts w:ascii="Calibri" w:hAnsi="Calibri"/>
                <w:b/>
                <w:color w:val="000000"/>
              </w:rPr>
              <w:t>За кількістю клітин CD4</w:t>
            </w:r>
          </w:p>
        </w:tc>
      </w:tr>
      <w:tr w:rsidR="00ED665B" w:rsidRPr="00907702" w:rsidTr="00290BDD">
        <w:trPr>
          <w:trHeight w:val="510"/>
        </w:trPr>
        <w:tc>
          <w:tcPr>
            <w:tcW w:w="1344" w:type="dxa"/>
            <w:tcBorders>
              <w:top w:val="single" w:sz="8" w:space="0" w:color="009649"/>
              <w:left w:val="nil"/>
              <w:bottom w:val="single" w:sz="8" w:space="0" w:color="009649"/>
              <w:right w:val="nil"/>
            </w:tcBorders>
            <w:shd w:val="clear" w:color="auto" w:fill="FFFFFF"/>
            <w:vAlign w:val="center"/>
          </w:tcPr>
          <w:p w:rsidR="00ED665B" w:rsidRPr="00B716E5" w:rsidRDefault="006C7D2F" w:rsidP="00B716E5">
            <w:pPr>
              <w:rPr>
                <w:rFonts w:ascii="Calibri" w:hAnsi="Calibri" w:cs="Calibri"/>
                <w:b/>
                <w:bCs/>
              </w:rPr>
            </w:pPr>
            <w:r>
              <w:rPr>
                <w:rFonts w:ascii="Calibri" w:hAnsi="Calibri"/>
                <w:b/>
                <w:color w:val="000000"/>
              </w:rPr>
              <w:t>CD4&gt;200</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3 дослідження </w:t>
            </w:r>
          </w:p>
          <w:p w:rsidR="00ED665B" w:rsidRPr="00907702" w:rsidRDefault="006C7D2F" w:rsidP="00B716E5">
            <w:pPr>
              <w:jc w:val="center"/>
              <w:rPr>
                <w:rFonts w:ascii="Calibri" w:hAnsi="Calibri" w:cs="Calibri"/>
              </w:rPr>
            </w:pPr>
            <w:r>
              <w:rPr>
                <w:rFonts w:ascii="Calibri" w:hAnsi="Calibri"/>
                <w:color w:val="000000"/>
              </w:rPr>
              <w:t>(738)</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120"/>
              <w:jc w:val="center"/>
              <w:rPr>
                <w:rFonts w:ascii="Calibri" w:hAnsi="Calibri" w:cs="Calibri"/>
                <w:color w:val="000000"/>
              </w:rPr>
            </w:pPr>
            <w:r>
              <w:rPr>
                <w:rFonts w:ascii="Calibri" w:hAnsi="Calibri"/>
                <w:color w:val="000000"/>
              </w:rPr>
              <w:t xml:space="preserve">163 </w:t>
            </w:r>
          </w:p>
          <w:p w:rsidR="00ED665B" w:rsidRPr="00907702" w:rsidRDefault="006C7D2F" w:rsidP="00B716E5">
            <w:pPr>
              <w:ind w:firstLine="120"/>
              <w:jc w:val="center"/>
              <w:rPr>
                <w:rFonts w:ascii="Calibri" w:hAnsi="Calibri" w:cs="Calibri"/>
              </w:rPr>
            </w:pPr>
            <w:r>
              <w:rPr>
                <w:rFonts w:ascii="Calibri" w:hAnsi="Calibri"/>
                <w:color w:val="000000"/>
              </w:rPr>
              <w:t>(22%)</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187"/>
              <w:jc w:val="center"/>
              <w:rPr>
                <w:rFonts w:ascii="Calibri" w:hAnsi="Calibri" w:cs="Calibri"/>
                <w:color w:val="000000"/>
              </w:rPr>
            </w:pPr>
            <w:r>
              <w:rPr>
                <w:rFonts w:ascii="Calibri" w:hAnsi="Calibri"/>
                <w:color w:val="000000"/>
              </w:rPr>
              <w:t xml:space="preserve">16% </w:t>
            </w:r>
          </w:p>
          <w:p w:rsidR="00ED665B" w:rsidRPr="00907702" w:rsidRDefault="006C7D2F" w:rsidP="00B716E5">
            <w:pPr>
              <w:ind w:firstLine="187"/>
              <w:jc w:val="center"/>
              <w:rPr>
                <w:rFonts w:ascii="Calibri" w:hAnsi="Calibri" w:cs="Calibri"/>
              </w:rPr>
            </w:pPr>
            <w:r>
              <w:rPr>
                <w:rFonts w:ascii="Calibri" w:hAnsi="Calibri"/>
                <w:color w:val="000000"/>
              </w:rPr>
              <w:t>(8-31%)</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30"/>
              <w:jc w:val="center"/>
              <w:rPr>
                <w:rFonts w:ascii="Calibri" w:hAnsi="Calibri" w:cs="Calibri"/>
                <w:color w:val="000000"/>
              </w:rPr>
            </w:pPr>
            <w:r>
              <w:rPr>
                <w:rFonts w:ascii="Calibri" w:hAnsi="Calibri"/>
                <w:color w:val="000000"/>
              </w:rPr>
              <w:t xml:space="preserve">94% </w:t>
            </w:r>
          </w:p>
          <w:p w:rsidR="00ED665B" w:rsidRPr="00907702" w:rsidRDefault="006C7D2F" w:rsidP="00B716E5">
            <w:pPr>
              <w:ind w:firstLine="230"/>
              <w:jc w:val="center"/>
              <w:rPr>
                <w:rFonts w:ascii="Calibri" w:hAnsi="Calibri" w:cs="Calibri"/>
              </w:rPr>
            </w:pPr>
            <w:r>
              <w:rPr>
                <w:rFonts w:ascii="Calibri" w:hAnsi="Calibri"/>
                <w:color w:val="000000"/>
              </w:rPr>
              <w:t>(81-97%)</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vertAlign w:val="superscript"/>
              </w:rPr>
            </w:pPr>
            <w:r>
              <w:rPr>
                <w:rFonts w:ascii="Calibri" w:hAnsi="Calibri"/>
                <w:color w:val="000000"/>
              </w:rPr>
              <w:t>1 дослідження</w:t>
            </w:r>
            <w:r>
              <w:rPr>
                <w:rFonts w:ascii="Calibri" w:hAnsi="Calibri"/>
                <w:color w:val="000000"/>
                <w:vertAlign w:val="superscript"/>
              </w:rPr>
              <w:t>a</w:t>
            </w:r>
          </w:p>
          <w:p w:rsidR="00ED665B" w:rsidRPr="00907702" w:rsidRDefault="006C7D2F" w:rsidP="00B716E5">
            <w:pPr>
              <w:jc w:val="center"/>
              <w:rPr>
                <w:rFonts w:ascii="Calibri" w:hAnsi="Calibri" w:cs="Calibri"/>
              </w:rPr>
            </w:pPr>
            <w:r>
              <w:rPr>
                <w:rFonts w:ascii="Calibri" w:hAnsi="Calibri"/>
                <w:color w:val="000000"/>
                <w:vertAlign w:val="superscript"/>
              </w:rPr>
              <w:t xml:space="preserve"> </w:t>
            </w:r>
            <w:r>
              <w:rPr>
                <w:rFonts w:ascii="Calibri" w:hAnsi="Calibri"/>
                <w:color w:val="000000"/>
              </w:rPr>
              <w:t>(156)</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11 </w:t>
            </w:r>
          </w:p>
          <w:p w:rsidR="00ED665B" w:rsidRPr="00907702" w:rsidRDefault="006C7D2F" w:rsidP="00B716E5">
            <w:pPr>
              <w:jc w:val="center"/>
              <w:rPr>
                <w:rFonts w:ascii="Calibri" w:hAnsi="Calibri" w:cs="Calibri"/>
              </w:rPr>
            </w:pPr>
            <w:r>
              <w:rPr>
                <w:rFonts w:ascii="Calibri" w:hAnsi="Calibri"/>
                <w:color w:val="000000"/>
              </w:rPr>
              <w:t>(7%)</w:t>
            </w:r>
          </w:p>
        </w:tc>
        <w:tc>
          <w:tcPr>
            <w:tcW w:w="1584"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Не застосовується</w:t>
            </w:r>
          </w:p>
        </w:tc>
        <w:tc>
          <w:tcPr>
            <w:tcW w:w="1598" w:type="dxa"/>
            <w:tcBorders>
              <w:top w:val="single" w:sz="8" w:space="0" w:color="009649"/>
              <w:left w:val="nil"/>
              <w:bottom w:val="single" w:sz="8" w:space="0" w:color="009649"/>
              <w:right w:val="nil"/>
            </w:tcBorders>
            <w:shd w:val="clear" w:color="auto" w:fill="FFFFFF"/>
            <w:vAlign w:val="center"/>
          </w:tcPr>
          <w:p w:rsidR="00ED665B" w:rsidRPr="00907702" w:rsidRDefault="006C7D2F" w:rsidP="00290BDD">
            <w:pPr>
              <w:jc w:val="center"/>
              <w:rPr>
                <w:rFonts w:ascii="Calibri" w:hAnsi="Calibri" w:cs="Calibri"/>
              </w:rPr>
            </w:pPr>
            <w:r>
              <w:rPr>
                <w:rFonts w:ascii="Calibri" w:hAnsi="Calibri"/>
                <w:color w:val="000000"/>
              </w:rPr>
              <w:t>Не застосовується</w:t>
            </w:r>
          </w:p>
        </w:tc>
      </w:tr>
      <w:tr w:rsidR="00ED665B" w:rsidRPr="00907702" w:rsidTr="00290BDD">
        <w:trPr>
          <w:trHeight w:val="510"/>
        </w:trPr>
        <w:tc>
          <w:tcPr>
            <w:tcW w:w="1344" w:type="dxa"/>
            <w:tcBorders>
              <w:top w:val="single" w:sz="8" w:space="0" w:color="009649"/>
              <w:left w:val="nil"/>
              <w:bottom w:val="single" w:sz="8" w:space="0" w:color="009649"/>
              <w:right w:val="nil"/>
            </w:tcBorders>
            <w:shd w:val="clear" w:color="auto" w:fill="FFFFFF"/>
            <w:vAlign w:val="center"/>
          </w:tcPr>
          <w:p w:rsidR="00ED665B" w:rsidRPr="00B716E5" w:rsidRDefault="006C7D2F" w:rsidP="00290BDD">
            <w:pPr>
              <w:rPr>
                <w:rFonts w:ascii="Calibri" w:hAnsi="Calibri" w:cs="Calibri"/>
                <w:b/>
                <w:bCs/>
              </w:rPr>
            </w:pPr>
            <w:r>
              <w:rPr>
                <w:rFonts w:ascii="Calibri" w:hAnsi="Calibri"/>
                <w:b/>
                <w:color w:val="000000"/>
              </w:rPr>
              <w:t xml:space="preserve">CD4 </w:t>
            </w:r>
            <w:r w:rsidR="00290BDD">
              <w:rPr>
                <w:rFonts w:ascii="Calibri" w:hAnsi="Calibri" w:cs="Calibri"/>
                <w:b/>
                <w:color w:val="000000"/>
              </w:rPr>
              <w:t>≤</w:t>
            </w:r>
            <w:r>
              <w:rPr>
                <w:rFonts w:ascii="Calibri" w:hAnsi="Calibri"/>
                <w:b/>
                <w:color w:val="000000"/>
              </w:rPr>
              <w:t>200</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4 дослідження </w:t>
            </w:r>
          </w:p>
          <w:p w:rsidR="00ED665B" w:rsidRPr="00907702" w:rsidRDefault="006C7D2F" w:rsidP="00B716E5">
            <w:pPr>
              <w:jc w:val="center"/>
              <w:rPr>
                <w:rFonts w:ascii="Calibri" w:hAnsi="Calibri" w:cs="Calibri"/>
              </w:rPr>
            </w:pPr>
            <w:r>
              <w:rPr>
                <w:rFonts w:ascii="Calibri" w:hAnsi="Calibri"/>
                <w:color w:val="000000"/>
              </w:rPr>
              <w:t>(1825)</w:t>
            </w:r>
          </w:p>
        </w:tc>
        <w:tc>
          <w:tcPr>
            <w:tcW w:w="1579"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722</w:t>
            </w:r>
          </w:p>
          <w:p w:rsidR="00ED665B" w:rsidRPr="00907702" w:rsidRDefault="006C7D2F" w:rsidP="00B716E5">
            <w:pPr>
              <w:jc w:val="center"/>
              <w:rPr>
                <w:rFonts w:ascii="Calibri" w:hAnsi="Calibri" w:cs="Calibri"/>
              </w:rPr>
            </w:pPr>
            <w:r>
              <w:rPr>
                <w:rFonts w:ascii="Calibri" w:hAnsi="Calibri"/>
                <w:color w:val="000000"/>
              </w:rPr>
              <w:t>(40%)</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26"/>
              <w:jc w:val="center"/>
              <w:rPr>
                <w:rFonts w:ascii="Calibri" w:hAnsi="Calibri" w:cs="Calibri"/>
                <w:color w:val="000000"/>
              </w:rPr>
            </w:pPr>
            <w:r>
              <w:rPr>
                <w:rFonts w:ascii="Calibri" w:hAnsi="Calibri"/>
                <w:color w:val="000000"/>
              </w:rPr>
              <w:t xml:space="preserve">45% </w:t>
            </w:r>
          </w:p>
          <w:p w:rsidR="00ED665B" w:rsidRPr="00907702" w:rsidRDefault="006C7D2F" w:rsidP="00B716E5">
            <w:pPr>
              <w:ind w:firstLine="226"/>
              <w:jc w:val="center"/>
              <w:rPr>
                <w:rFonts w:ascii="Calibri" w:hAnsi="Calibri" w:cs="Calibri"/>
              </w:rPr>
            </w:pPr>
            <w:r>
              <w:rPr>
                <w:rFonts w:ascii="Calibri" w:hAnsi="Calibri"/>
                <w:color w:val="000000"/>
              </w:rPr>
              <w:t>(31-61%)</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30"/>
              <w:jc w:val="center"/>
              <w:rPr>
                <w:rFonts w:ascii="Calibri" w:hAnsi="Calibri" w:cs="Calibri"/>
                <w:color w:val="000000"/>
              </w:rPr>
            </w:pPr>
            <w:r>
              <w:rPr>
                <w:rFonts w:ascii="Calibri" w:hAnsi="Calibri"/>
                <w:color w:val="000000"/>
              </w:rPr>
              <w:t xml:space="preserve">89% </w:t>
            </w:r>
          </w:p>
          <w:p w:rsidR="00ED665B" w:rsidRPr="00907702" w:rsidRDefault="006C7D2F" w:rsidP="00B716E5">
            <w:pPr>
              <w:ind w:firstLine="230"/>
              <w:jc w:val="center"/>
              <w:rPr>
                <w:rFonts w:ascii="Calibri" w:hAnsi="Calibri" w:cs="Calibri"/>
              </w:rPr>
            </w:pPr>
            <w:r>
              <w:rPr>
                <w:rFonts w:ascii="Calibri" w:hAnsi="Calibri"/>
                <w:color w:val="000000"/>
              </w:rPr>
              <w:t>(77-94%)</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2 дослідження </w:t>
            </w:r>
          </w:p>
          <w:p w:rsidR="00ED665B" w:rsidRPr="00907702" w:rsidRDefault="006C7D2F" w:rsidP="00B716E5">
            <w:pPr>
              <w:jc w:val="center"/>
              <w:rPr>
                <w:rFonts w:ascii="Calibri" w:hAnsi="Calibri" w:cs="Calibri"/>
              </w:rPr>
            </w:pPr>
            <w:r>
              <w:rPr>
                <w:rFonts w:ascii="Calibri" w:hAnsi="Calibri"/>
                <w:color w:val="000000"/>
              </w:rPr>
              <w:t>(706)</w:t>
            </w:r>
          </w:p>
        </w:tc>
        <w:tc>
          <w:tcPr>
            <w:tcW w:w="1584"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82</w:t>
            </w:r>
          </w:p>
          <w:p w:rsidR="00ED665B" w:rsidRPr="00907702" w:rsidRDefault="006C7D2F" w:rsidP="00B716E5">
            <w:pPr>
              <w:jc w:val="center"/>
              <w:rPr>
                <w:rFonts w:ascii="Calibri" w:hAnsi="Calibri" w:cs="Calibri"/>
              </w:rPr>
            </w:pPr>
            <w:r>
              <w:rPr>
                <w:rFonts w:ascii="Calibri" w:hAnsi="Calibri"/>
                <w:color w:val="000000"/>
              </w:rPr>
              <w:t>(12%)</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26% </w:t>
            </w:r>
          </w:p>
          <w:p w:rsidR="00ED665B" w:rsidRPr="00907702" w:rsidRDefault="006C7D2F" w:rsidP="00B716E5">
            <w:pPr>
              <w:jc w:val="center"/>
              <w:rPr>
                <w:rFonts w:ascii="Calibri" w:hAnsi="Calibri" w:cs="Calibri"/>
              </w:rPr>
            </w:pPr>
            <w:r>
              <w:rPr>
                <w:rFonts w:ascii="Calibri" w:hAnsi="Calibri"/>
                <w:color w:val="000000"/>
              </w:rPr>
              <w:t>(9-56%)</w:t>
            </w:r>
          </w:p>
        </w:tc>
        <w:tc>
          <w:tcPr>
            <w:tcW w:w="1598" w:type="dxa"/>
            <w:tcBorders>
              <w:top w:val="single" w:sz="8" w:space="0" w:color="009649"/>
              <w:left w:val="nil"/>
              <w:bottom w:val="single" w:sz="8" w:space="0" w:color="009649"/>
              <w:right w:val="nil"/>
            </w:tcBorders>
            <w:shd w:val="clear" w:color="auto" w:fill="FFFFFF"/>
            <w:vAlign w:val="center"/>
          </w:tcPr>
          <w:p w:rsidR="00B716E5" w:rsidRDefault="006C7D2F" w:rsidP="00290BDD">
            <w:pPr>
              <w:jc w:val="center"/>
              <w:rPr>
                <w:rFonts w:ascii="Calibri" w:hAnsi="Calibri" w:cs="Calibri"/>
                <w:color w:val="000000"/>
              </w:rPr>
            </w:pPr>
            <w:r>
              <w:rPr>
                <w:rFonts w:ascii="Calibri" w:hAnsi="Calibri"/>
                <w:color w:val="000000"/>
              </w:rPr>
              <w:t>96%</w:t>
            </w:r>
          </w:p>
          <w:p w:rsidR="00ED665B" w:rsidRPr="00907702" w:rsidRDefault="006C7D2F" w:rsidP="00290BDD">
            <w:pPr>
              <w:jc w:val="center"/>
              <w:rPr>
                <w:rFonts w:ascii="Calibri" w:hAnsi="Calibri" w:cs="Calibri"/>
              </w:rPr>
            </w:pPr>
            <w:r>
              <w:rPr>
                <w:rFonts w:ascii="Calibri" w:hAnsi="Calibri"/>
                <w:color w:val="000000"/>
              </w:rPr>
              <w:t>(87-98%)</w:t>
            </w:r>
          </w:p>
        </w:tc>
      </w:tr>
      <w:tr w:rsidR="00ED665B" w:rsidRPr="00907702" w:rsidTr="00290BDD">
        <w:trPr>
          <w:trHeight w:val="510"/>
        </w:trPr>
        <w:tc>
          <w:tcPr>
            <w:tcW w:w="1344" w:type="dxa"/>
            <w:tcBorders>
              <w:top w:val="single" w:sz="8" w:space="0" w:color="009649"/>
              <w:left w:val="nil"/>
              <w:bottom w:val="single" w:sz="8" w:space="0" w:color="009649"/>
              <w:right w:val="nil"/>
            </w:tcBorders>
            <w:shd w:val="clear" w:color="auto" w:fill="FFFFFF"/>
            <w:vAlign w:val="center"/>
          </w:tcPr>
          <w:p w:rsidR="00ED665B" w:rsidRPr="00B716E5" w:rsidRDefault="006C7D2F" w:rsidP="00B716E5">
            <w:pPr>
              <w:rPr>
                <w:rFonts w:ascii="Calibri" w:hAnsi="Calibri" w:cs="Calibri"/>
                <w:b/>
                <w:bCs/>
              </w:rPr>
            </w:pPr>
            <w:r>
              <w:rPr>
                <w:rFonts w:ascii="Calibri" w:hAnsi="Calibri"/>
                <w:b/>
                <w:color w:val="000000"/>
              </w:rPr>
              <w:t>CD4&gt;100</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4 дослідження </w:t>
            </w:r>
          </w:p>
          <w:p w:rsidR="00ED665B" w:rsidRPr="00907702" w:rsidRDefault="006C7D2F" w:rsidP="00B716E5">
            <w:pPr>
              <w:jc w:val="center"/>
              <w:rPr>
                <w:rFonts w:ascii="Calibri" w:hAnsi="Calibri" w:cs="Calibri"/>
              </w:rPr>
            </w:pPr>
            <w:r>
              <w:rPr>
                <w:rFonts w:ascii="Calibri" w:hAnsi="Calibri"/>
                <w:color w:val="000000"/>
              </w:rPr>
              <w:t>(1519)</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96"/>
              <w:jc w:val="center"/>
              <w:rPr>
                <w:rFonts w:ascii="Calibri" w:hAnsi="Calibri" w:cs="Calibri"/>
                <w:color w:val="000000"/>
              </w:rPr>
            </w:pPr>
            <w:r>
              <w:rPr>
                <w:rFonts w:ascii="Calibri" w:hAnsi="Calibri"/>
                <w:color w:val="000000"/>
              </w:rPr>
              <w:t xml:space="preserve">425 </w:t>
            </w:r>
          </w:p>
          <w:p w:rsidR="00ED665B" w:rsidRPr="00907702" w:rsidRDefault="006C7D2F" w:rsidP="00B716E5">
            <w:pPr>
              <w:ind w:firstLine="96"/>
              <w:jc w:val="center"/>
              <w:rPr>
                <w:rFonts w:ascii="Calibri" w:hAnsi="Calibri" w:cs="Calibri"/>
              </w:rPr>
            </w:pPr>
            <w:r>
              <w:rPr>
                <w:rFonts w:ascii="Calibri" w:hAnsi="Calibri"/>
                <w:color w:val="000000"/>
              </w:rPr>
              <w:t>(28%)</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50"/>
              <w:jc w:val="center"/>
              <w:rPr>
                <w:rFonts w:ascii="Calibri" w:hAnsi="Calibri" w:cs="Calibri"/>
                <w:color w:val="000000"/>
              </w:rPr>
            </w:pPr>
            <w:r>
              <w:rPr>
                <w:rFonts w:ascii="Calibri" w:hAnsi="Calibri"/>
                <w:color w:val="000000"/>
              </w:rPr>
              <w:t xml:space="preserve">17% </w:t>
            </w:r>
          </w:p>
          <w:p w:rsidR="00ED665B" w:rsidRPr="00907702" w:rsidRDefault="006C7D2F" w:rsidP="00B716E5">
            <w:pPr>
              <w:ind w:firstLine="250"/>
              <w:jc w:val="center"/>
              <w:rPr>
                <w:rFonts w:ascii="Calibri" w:hAnsi="Calibri" w:cs="Calibri"/>
              </w:rPr>
            </w:pPr>
            <w:r>
              <w:rPr>
                <w:rFonts w:ascii="Calibri" w:hAnsi="Calibri"/>
                <w:color w:val="000000"/>
              </w:rPr>
              <w:t>(10-27%)</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30"/>
              <w:jc w:val="center"/>
              <w:rPr>
                <w:rFonts w:ascii="Calibri" w:hAnsi="Calibri" w:cs="Calibri"/>
                <w:color w:val="000000"/>
              </w:rPr>
            </w:pPr>
            <w:r>
              <w:rPr>
                <w:rFonts w:ascii="Calibri" w:hAnsi="Calibri"/>
                <w:color w:val="000000"/>
              </w:rPr>
              <w:t xml:space="preserve">95% </w:t>
            </w:r>
          </w:p>
          <w:p w:rsidR="00ED665B" w:rsidRPr="00907702" w:rsidRDefault="006C7D2F" w:rsidP="00B716E5">
            <w:pPr>
              <w:ind w:firstLine="230"/>
              <w:jc w:val="center"/>
              <w:rPr>
                <w:rFonts w:ascii="Calibri" w:hAnsi="Calibri" w:cs="Calibri"/>
              </w:rPr>
            </w:pPr>
            <w:r>
              <w:rPr>
                <w:rFonts w:ascii="Calibri" w:hAnsi="Calibri"/>
                <w:color w:val="000000"/>
              </w:rPr>
              <w:t>(89-98%)</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4 дослідження </w:t>
            </w:r>
          </w:p>
          <w:p w:rsidR="00ED665B" w:rsidRPr="00907702" w:rsidRDefault="006C7D2F" w:rsidP="00B716E5">
            <w:pPr>
              <w:jc w:val="center"/>
              <w:rPr>
                <w:rFonts w:ascii="Calibri" w:hAnsi="Calibri" w:cs="Calibri"/>
              </w:rPr>
            </w:pPr>
            <w:r>
              <w:rPr>
                <w:rFonts w:ascii="Calibri" w:hAnsi="Calibri"/>
                <w:color w:val="000000"/>
              </w:rPr>
              <w:t>(952)</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115 </w:t>
            </w:r>
          </w:p>
          <w:p w:rsidR="00ED665B" w:rsidRPr="00907702" w:rsidRDefault="006C7D2F" w:rsidP="00B716E5">
            <w:pPr>
              <w:jc w:val="center"/>
              <w:rPr>
                <w:rFonts w:ascii="Calibri" w:hAnsi="Calibri" w:cs="Calibri"/>
              </w:rPr>
            </w:pPr>
            <w:r>
              <w:rPr>
                <w:rFonts w:ascii="Calibri" w:hAnsi="Calibri"/>
                <w:color w:val="000000"/>
              </w:rPr>
              <w:t>(12%)</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20% </w:t>
            </w:r>
          </w:p>
          <w:p w:rsidR="00ED665B" w:rsidRPr="00907702" w:rsidRDefault="006C7D2F" w:rsidP="00B716E5">
            <w:pPr>
              <w:jc w:val="center"/>
              <w:rPr>
                <w:rFonts w:ascii="Calibri" w:hAnsi="Calibri" w:cs="Calibri"/>
              </w:rPr>
            </w:pPr>
            <w:r>
              <w:rPr>
                <w:rFonts w:ascii="Calibri" w:hAnsi="Calibri"/>
                <w:color w:val="000000"/>
              </w:rPr>
              <w:t>(10-35%)</w:t>
            </w:r>
          </w:p>
        </w:tc>
        <w:tc>
          <w:tcPr>
            <w:tcW w:w="1598" w:type="dxa"/>
            <w:tcBorders>
              <w:top w:val="single" w:sz="8" w:space="0" w:color="009649"/>
              <w:left w:val="nil"/>
              <w:bottom w:val="single" w:sz="8" w:space="0" w:color="009649"/>
              <w:right w:val="nil"/>
            </w:tcBorders>
            <w:shd w:val="clear" w:color="auto" w:fill="FFFFFF"/>
            <w:vAlign w:val="center"/>
          </w:tcPr>
          <w:p w:rsidR="00B716E5" w:rsidRDefault="006C7D2F" w:rsidP="00290BDD">
            <w:pPr>
              <w:jc w:val="center"/>
              <w:rPr>
                <w:rFonts w:ascii="Calibri" w:hAnsi="Calibri" w:cs="Calibri"/>
                <w:color w:val="000000"/>
              </w:rPr>
            </w:pPr>
            <w:r>
              <w:rPr>
                <w:rFonts w:ascii="Calibri" w:hAnsi="Calibri"/>
                <w:color w:val="000000"/>
              </w:rPr>
              <w:t xml:space="preserve">98% </w:t>
            </w:r>
          </w:p>
          <w:p w:rsidR="00ED665B" w:rsidRPr="00907702" w:rsidRDefault="006C7D2F" w:rsidP="00290BDD">
            <w:pPr>
              <w:jc w:val="center"/>
              <w:rPr>
                <w:rFonts w:ascii="Calibri" w:hAnsi="Calibri" w:cs="Calibri"/>
              </w:rPr>
            </w:pPr>
            <w:r>
              <w:rPr>
                <w:rFonts w:ascii="Calibri" w:hAnsi="Calibri"/>
                <w:color w:val="000000"/>
              </w:rPr>
              <w:t>(95-99%)</w:t>
            </w:r>
          </w:p>
        </w:tc>
      </w:tr>
      <w:tr w:rsidR="00ED665B" w:rsidRPr="00907702" w:rsidTr="00290BDD">
        <w:trPr>
          <w:trHeight w:val="510"/>
        </w:trPr>
        <w:tc>
          <w:tcPr>
            <w:tcW w:w="1344" w:type="dxa"/>
            <w:tcBorders>
              <w:top w:val="single" w:sz="8" w:space="0" w:color="009649"/>
              <w:left w:val="nil"/>
              <w:bottom w:val="single" w:sz="8" w:space="0" w:color="009649"/>
              <w:right w:val="nil"/>
            </w:tcBorders>
            <w:shd w:val="clear" w:color="auto" w:fill="FFFFFF"/>
            <w:vAlign w:val="center"/>
          </w:tcPr>
          <w:p w:rsidR="00ED665B" w:rsidRPr="00B716E5" w:rsidRDefault="006C7D2F" w:rsidP="00290BDD">
            <w:pPr>
              <w:rPr>
                <w:rFonts w:ascii="Calibri" w:hAnsi="Calibri" w:cs="Calibri"/>
                <w:b/>
                <w:bCs/>
              </w:rPr>
            </w:pPr>
            <w:r>
              <w:rPr>
                <w:rFonts w:ascii="Calibri" w:hAnsi="Calibri"/>
                <w:b/>
                <w:color w:val="000000"/>
              </w:rPr>
              <w:t xml:space="preserve">CD4 </w:t>
            </w:r>
            <w:r w:rsidR="00290BDD">
              <w:rPr>
                <w:rFonts w:ascii="Calibri" w:hAnsi="Calibri" w:cs="Calibri"/>
                <w:b/>
                <w:color w:val="000000"/>
              </w:rPr>
              <w:t>≤</w:t>
            </w:r>
            <w:r>
              <w:rPr>
                <w:rFonts w:ascii="Calibri" w:hAnsi="Calibri"/>
                <w:b/>
                <w:color w:val="000000"/>
              </w:rPr>
              <w:t>100</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4 дослідження </w:t>
            </w:r>
          </w:p>
          <w:p w:rsidR="00ED665B" w:rsidRPr="00907702" w:rsidRDefault="006C7D2F" w:rsidP="00B716E5">
            <w:pPr>
              <w:jc w:val="center"/>
              <w:rPr>
                <w:rFonts w:ascii="Calibri" w:hAnsi="Calibri" w:cs="Calibri"/>
              </w:rPr>
            </w:pPr>
            <w:r>
              <w:rPr>
                <w:rFonts w:ascii="Calibri" w:hAnsi="Calibri"/>
                <w:color w:val="000000"/>
              </w:rPr>
              <w:t>(1239)</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110"/>
              <w:jc w:val="center"/>
              <w:rPr>
                <w:rFonts w:ascii="Calibri" w:hAnsi="Calibri" w:cs="Calibri"/>
                <w:color w:val="000000"/>
              </w:rPr>
            </w:pPr>
            <w:r>
              <w:rPr>
                <w:rFonts w:ascii="Calibri" w:hAnsi="Calibri"/>
                <w:color w:val="000000"/>
              </w:rPr>
              <w:t xml:space="preserve">512 </w:t>
            </w:r>
          </w:p>
          <w:p w:rsidR="00ED665B" w:rsidRPr="00907702" w:rsidRDefault="006C7D2F" w:rsidP="00B716E5">
            <w:pPr>
              <w:ind w:firstLine="110"/>
              <w:jc w:val="center"/>
              <w:rPr>
                <w:rFonts w:ascii="Calibri" w:hAnsi="Calibri" w:cs="Calibri"/>
              </w:rPr>
            </w:pPr>
            <w:r>
              <w:rPr>
                <w:rFonts w:ascii="Calibri" w:hAnsi="Calibri"/>
                <w:color w:val="000000"/>
              </w:rPr>
              <w:t>(41%)</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40"/>
              <w:jc w:val="center"/>
              <w:rPr>
                <w:rFonts w:ascii="Calibri" w:hAnsi="Calibri" w:cs="Calibri"/>
                <w:color w:val="000000"/>
              </w:rPr>
            </w:pPr>
            <w:r>
              <w:rPr>
                <w:rFonts w:ascii="Calibri" w:hAnsi="Calibri"/>
                <w:color w:val="000000"/>
              </w:rPr>
              <w:t xml:space="preserve">54% </w:t>
            </w:r>
          </w:p>
          <w:p w:rsidR="00ED665B" w:rsidRPr="00907702" w:rsidRDefault="006C7D2F" w:rsidP="00B716E5">
            <w:pPr>
              <w:ind w:firstLine="240"/>
              <w:jc w:val="center"/>
              <w:rPr>
                <w:rFonts w:ascii="Calibri" w:hAnsi="Calibri" w:cs="Calibri"/>
              </w:rPr>
            </w:pPr>
            <w:r>
              <w:rPr>
                <w:rFonts w:ascii="Calibri" w:hAnsi="Calibri"/>
                <w:color w:val="000000"/>
              </w:rPr>
              <w:t>(38-69%)</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30"/>
              <w:jc w:val="center"/>
              <w:rPr>
                <w:rFonts w:ascii="Calibri" w:hAnsi="Calibri" w:cs="Calibri"/>
                <w:color w:val="000000"/>
              </w:rPr>
            </w:pPr>
            <w:r>
              <w:rPr>
                <w:rFonts w:ascii="Calibri" w:hAnsi="Calibri"/>
                <w:color w:val="000000"/>
              </w:rPr>
              <w:t xml:space="preserve">88% </w:t>
            </w:r>
          </w:p>
          <w:p w:rsidR="00ED665B" w:rsidRPr="00907702" w:rsidRDefault="006C7D2F" w:rsidP="00B716E5">
            <w:pPr>
              <w:ind w:firstLine="230"/>
              <w:jc w:val="center"/>
              <w:rPr>
                <w:rFonts w:ascii="Calibri" w:hAnsi="Calibri" w:cs="Calibri"/>
              </w:rPr>
            </w:pPr>
            <w:r>
              <w:rPr>
                <w:rFonts w:ascii="Calibri" w:hAnsi="Calibri"/>
                <w:color w:val="000000"/>
              </w:rPr>
              <w:t>(77-94%)</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3 дослідження </w:t>
            </w:r>
          </w:p>
          <w:p w:rsidR="00ED665B" w:rsidRPr="00907702" w:rsidRDefault="006C7D2F" w:rsidP="00B716E5">
            <w:pPr>
              <w:jc w:val="center"/>
              <w:rPr>
                <w:rFonts w:ascii="Calibri" w:hAnsi="Calibri" w:cs="Calibri"/>
              </w:rPr>
            </w:pPr>
            <w:r>
              <w:rPr>
                <w:rFonts w:ascii="Calibri" w:hAnsi="Calibri"/>
                <w:color w:val="000000"/>
              </w:rPr>
              <w:t>(417)</w:t>
            </w:r>
          </w:p>
        </w:tc>
        <w:tc>
          <w:tcPr>
            <w:tcW w:w="1584"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130</w:t>
            </w:r>
          </w:p>
          <w:p w:rsidR="00ED665B" w:rsidRPr="00907702" w:rsidRDefault="006C7D2F" w:rsidP="00B716E5">
            <w:pPr>
              <w:jc w:val="center"/>
              <w:rPr>
                <w:rFonts w:ascii="Calibri" w:hAnsi="Calibri" w:cs="Calibri"/>
              </w:rPr>
            </w:pPr>
            <w:r>
              <w:rPr>
                <w:rFonts w:ascii="Calibri" w:hAnsi="Calibri"/>
                <w:color w:val="000000"/>
              </w:rPr>
              <w:t>(31%)</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47% </w:t>
            </w:r>
          </w:p>
          <w:p w:rsidR="00ED665B" w:rsidRPr="00907702" w:rsidRDefault="006C7D2F" w:rsidP="00B716E5">
            <w:pPr>
              <w:jc w:val="center"/>
              <w:rPr>
                <w:rFonts w:ascii="Calibri" w:hAnsi="Calibri" w:cs="Calibri"/>
              </w:rPr>
            </w:pPr>
            <w:r>
              <w:rPr>
                <w:rFonts w:ascii="Calibri" w:hAnsi="Calibri"/>
                <w:color w:val="000000"/>
              </w:rPr>
              <w:t>(40-64%)</w:t>
            </w:r>
          </w:p>
        </w:tc>
        <w:tc>
          <w:tcPr>
            <w:tcW w:w="1598" w:type="dxa"/>
            <w:tcBorders>
              <w:top w:val="single" w:sz="8" w:space="0" w:color="009649"/>
              <w:left w:val="nil"/>
              <w:bottom w:val="single" w:sz="8" w:space="0" w:color="009649"/>
              <w:right w:val="nil"/>
            </w:tcBorders>
            <w:shd w:val="clear" w:color="auto" w:fill="FFFFFF"/>
            <w:vAlign w:val="center"/>
          </w:tcPr>
          <w:p w:rsidR="00B716E5" w:rsidRDefault="006C7D2F" w:rsidP="00290BDD">
            <w:pPr>
              <w:jc w:val="center"/>
              <w:rPr>
                <w:rFonts w:ascii="Calibri" w:hAnsi="Calibri" w:cs="Calibri"/>
                <w:color w:val="000000"/>
              </w:rPr>
            </w:pPr>
            <w:r>
              <w:rPr>
                <w:rFonts w:ascii="Calibri" w:hAnsi="Calibri"/>
                <w:color w:val="000000"/>
              </w:rPr>
              <w:t xml:space="preserve">90% </w:t>
            </w:r>
          </w:p>
          <w:p w:rsidR="00ED665B" w:rsidRPr="00907702" w:rsidRDefault="006C7D2F" w:rsidP="00290BDD">
            <w:pPr>
              <w:jc w:val="center"/>
              <w:rPr>
                <w:rFonts w:ascii="Calibri" w:hAnsi="Calibri" w:cs="Calibri"/>
              </w:rPr>
            </w:pPr>
            <w:r>
              <w:rPr>
                <w:rFonts w:ascii="Calibri" w:hAnsi="Calibri"/>
                <w:color w:val="000000"/>
              </w:rPr>
              <w:t>(77-96%)</w:t>
            </w:r>
          </w:p>
        </w:tc>
      </w:tr>
      <w:tr w:rsidR="00ED665B" w:rsidRPr="00907702" w:rsidTr="00290BDD">
        <w:trPr>
          <w:trHeight w:val="510"/>
        </w:trPr>
        <w:tc>
          <w:tcPr>
            <w:tcW w:w="1344" w:type="dxa"/>
            <w:tcBorders>
              <w:top w:val="single" w:sz="8" w:space="0" w:color="009649"/>
              <w:left w:val="nil"/>
              <w:bottom w:val="single" w:sz="8" w:space="0" w:color="009649"/>
              <w:right w:val="nil"/>
            </w:tcBorders>
            <w:shd w:val="clear" w:color="auto" w:fill="FFFFFF"/>
            <w:vAlign w:val="center"/>
          </w:tcPr>
          <w:p w:rsidR="00ED665B" w:rsidRPr="00B716E5" w:rsidRDefault="006C7D2F" w:rsidP="00B716E5">
            <w:pPr>
              <w:rPr>
                <w:rFonts w:ascii="Calibri" w:hAnsi="Calibri" w:cs="Calibri"/>
                <w:b/>
                <w:bCs/>
              </w:rPr>
            </w:pPr>
            <w:r>
              <w:rPr>
                <w:rFonts w:ascii="Calibri" w:hAnsi="Calibri"/>
                <w:b/>
                <w:color w:val="000000"/>
              </w:rPr>
              <w:t>CD4 101-200</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4 дослідження </w:t>
            </w:r>
          </w:p>
          <w:p w:rsidR="00ED665B" w:rsidRPr="00907702" w:rsidRDefault="006C7D2F" w:rsidP="00B716E5">
            <w:pPr>
              <w:jc w:val="center"/>
              <w:rPr>
                <w:rFonts w:ascii="Calibri" w:hAnsi="Calibri" w:cs="Calibri"/>
              </w:rPr>
            </w:pPr>
            <w:r>
              <w:rPr>
                <w:rFonts w:ascii="Calibri" w:hAnsi="Calibri"/>
                <w:color w:val="000000"/>
              </w:rPr>
              <w:t>(586)</w:t>
            </w:r>
          </w:p>
        </w:tc>
        <w:tc>
          <w:tcPr>
            <w:tcW w:w="1579"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210</w:t>
            </w:r>
          </w:p>
          <w:p w:rsidR="00ED665B" w:rsidRPr="00907702" w:rsidRDefault="006C7D2F" w:rsidP="00B716E5">
            <w:pPr>
              <w:jc w:val="center"/>
              <w:rPr>
                <w:rFonts w:ascii="Calibri" w:hAnsi="Calibri" w:cs="Calibri"/>
              </w:rPr>
            </w:pPr>
            <w:r>
              <w:rPr>
                <w:rFonts w:ascii="Calibri" w:hAnsi="Calibri"/>
                <w:color w:val="000000"/>
              </w:rPr>
              <w:t>(36%)</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35"/>
              <w:jc w:val="center"/>
              <w:rPr>
                <w:rFonts w:ascii="Calibri" w:hAnsi="Calibri" w:cs="Calibri"/>
                <w:color w:val="000000"/>
              </w:rPr>
            </w:pPr>
            <w:r>
              <w:rPr>
                <w:rFonts w:ascii="Calibri" w:hAnsi="Calibri"/>
                <w:color w:val="000000"/>
              </w:rPr>
              <w:t xml:space="preserve">24% </w:t>
            </w:r>
          </w:p>
          <w:p w:rsidR="00ED665B" w:rsidRPr="00907702" w:rsidRDefault="006C7D2F" w:rsidP="00B716E5">
            <w:pPr>
              <w:ind w:firstLine="235"/>
              <w:jc w:val="center"/>
              <w:rPr>
                <w:rFonts w:ascii="Calibri" w:hAnsi="Calibri" w:cs="Calibri"/>
              </w:rPr>
            </w:pPr>
            <w:r>
              <w:rPr>
                <w:rFonts w:ascii="Calibri" w:hAnsi="Calibri"/>
                <w:color w:val="000000"/>
              </w:rPr>
              <w:t>(14-38%)</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30"/>
              <w:jc w:val="center"/>
              <w:rPr>
                <w:rFonts w:ascii="Calibri" w:hAnsi="Calibri" w:cs="Calibri"/>
                <w:color w:val="000000"/>
              </w:rPr>
            </w:pPr>
            <w:r>
              <w:rPr>
                <w:rFonts w:ascii="Calibri" w:hAnsi="Calibri"/>
                <w:color w:val="000000"/>
              </w:rPr>
              <w:t xml:space="preserve">90% </w:t>
            </w:r>
          </w:p>
          <w:p w:rsidR="00ED665B" w:rsidRPr="00907702" w:rsidRDefault="006C7D2F" w:rsidP="00B716E5">
            <w:pPr>
              <w:ind w:firstLine="230"/>
              <w:jc w:val="center"/>
              <w:rPr>
                <w:rFonts w:ascii="Calibri" w:hAnsi="Calibri" w:cs="Calibri"/>
              </w:rPr>
            </w:pPr>
            <w:r>
              <w:rPr>
                <w:rFonts w:ascii="Calibri" w:hAnsi="Calibri"/>
                <w:color w:val="000000"/>
              </w:rPr>
              <w:t>(77-96%)</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vertAlign w:val="superscript"/>
              </w:rPr>
            </w:pPr>
            <w:r>
              <w:rPr>
                <w:rFonts w:ascii="Calibri" w:hAnsi="Calibri"/>
                <w:color w:val="000000"/>
              </w:rPr>
              <w:t>1 дослідження</w:t>
            </w:r>
            <w:r>
              <w:rPr>
                <w:rFonts w:ascii="Calibri" w:hAnsi="Calibri"/>
                <w:color w:val="000000"/>
                <w:vertAlign w:val="superscript"/>
              </w:rPr>
              <w:t xml:space="preserve">b </w:t>
            </w:r>
          </w:p>
          <w:p w:rsidR="00ED665B" w:rsidRPr="00907702" w:rsidRDefault="006C7D2F" w:rsidP="00B716E5">
            <w:pPr>
              <w:jc w:val="center"/>
              <w:rPr>
                <w:rFonts w:ascii="Calibri" w:hAnsi="Calibri" w:cs="Calibri"/>
              </w:rPr>
            </w:pPr>
            <w:r>
              <w:rPr>
                <w:rFonts w:ascii="Calibri" w:hAnsi="Calibri"/>
                <w:color w:val="000000"/>
              </w:rPr>
              <w:t>(103)</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13 </w:t>
            </w:r>
          </w:p>
          <w:p w:rsidR="00ED665B" w:rsidRPr="00907702" w:rsidRDefault="006C7D2F" w:rsidP="00B716E5">
            <w:pPr>
              <w:jc w:val="center"/>
              <w:rPr>
                <w:rFonts w:ascii="Calibri" w:hAnsi="Calibri" w:cs="Calibri"/>
              </w:rPr>
            </w:pPr>
            <w:r>
              <w:rPr>
                <w:rFonts w:ascii="Calibri" w:hAnsi="Calibri"/>
                <w:color w:val="000000"/>
              </w:rPr>
              <w:t>(13%)</w:t>
            </w:r>
          </w:p>
        </w:tc>
        <w:tc>
          <w:tcPr>
            <w:tcW w:w="1584"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Не застосовується</w:t>
            </w:r>
          </w:p>
        </w:tc>
        <w:tc>
          <w:tcPr>
            <w:tcW w:w="1598" w:type="dxa"/>
            <w:tcBorders>
              <w:top w:val="single" w:sz="8" w:space="0" w:color="009649"/>
              <w:left w:val="nil"/>
              <w:bottom w:val="single" w:sz="8" w:space="0" w:color="009649"/>
              <w:right w:val="nil"/>
            </w:tcBorders>
            <w:shd w:val="clear" w:color="auto" w:fill="FFFFFF"/>
            <w:vAlign w:val="center"/>
          </w:tcPr>
          <w:p w:rsidR="00ED665B" w:rsidRPr="00907702" w:rsidRDefault="006C7D2F" w:rsidP="00290BDD">
            <w:pPr>
              <w:jc w:val="center"/>
              <w:rPr>
                <w:rFonts w:ascii="Calibri" w:hAnsi="Calibri" w:cs="Calibri"/>
              </w:rPr>
            </w:pPr>
            <w:r>
              <w:rPr>
                <w:rFonts w:ascii="Calibri" w:hAnsi="Calibri"/>
                <w:color w:val="000000"/>
              </w:rPr>
              <w:t>Не застосовується</w:t>
            </w:r>
          </w:p>
        </w:tc>
      </w:tr>
      <w:tr w:rsidR="00ED665B" w:rsidRPr="00B716E5" w:rsidTr="00290BDD">
        <w:trPr>
          <w:trHeight w:val="510"/>
        </w:trPr>
        <w:tc>
          <w:tcPr>
            <w:tcW w:w="14020" w:type="dxa"/>
            <w:gridSpan w:val="9"/>
            <w:tcBorders>
              <w:top w:val="single" w:sz="8" w:space="0" w:color="009649"/>
              <w:left w:val="nil"/>
              <w:bottom w:val="single" w:sz="8" w:space="0" w:color="009649"/>
              <w:right w:val="nil"/>
            </w:tcBorders>
            <w:shd w:val="clear" w:color="auto" w:fill="7ABE94"/>
            <w:vAlign w:val="center"/>
          </w:tcPr>
          <w:p w:rsidR="00ED665B" w:rsidRPr="00B716E5" w:rsidRDefault="006C7D2F" w:rsidP="00B716E5">
            <w:pPr>
              <w:rPr>
                <w:rFonts w:ascii="Calibri" w:hAnsi="Calibri" w:cs="Calibri"/>
                <w:b/>
                <w:bCs/>
              </w:rPr>
            </w:pPr>
            <w:r>
              <w:rPr>
                <w:rFonts w:ascii="Calibri" w:hAnsi="Calibri"/>
                <w:b/>
                <w:color w:val="000000"/>
              </w:rPr>
              <w:t>За допомогою CD4 та умов</w:t>
            </w:r>
          </w:p>
        </w:tc>
      </w:tr>
      <w:tr w:rsidR="00ED665B" w:rsidRPr="00907702" w:rsidTr="00290BDD">
        <w:trPr>
          <w:trHeight w:val="510"/>
        </w:trPr>
        <w:tc>
          <w:tcPr>
            <w:tcW w:w="1344" w:type="dxa"/>
            <w:tcBorders>
              <w:top w:val="single" w:sz="8" w:space="0" w:color="009649"/>
              <w:left w:val="nil"/>
              <w:bottom w:val="single" w:sz="8" w:space="0" w:color="009649"/>
              <w:right w:val="nil"/>
            </w:tcBorders>
            <w:shd w:val="clear" w:color="auto" w:fill="FFFFFF"/>
            <w:vAlign w:val="center"/>
          </w:tcPr>
          <w:p w:rsidR="00ED665B" w:rsidRPr="00B716E5" w:rsidRDefault="006C7D2F" w:rsidP="00290BDD">
            <w:pPr>
              <w:rPr>
                <w:rFonts w:ascii="Calibri" w:hAnsi="Calibri" w:cs="Calibri"/>
                <w:b/>
                <w:bCs/>
              </w:rPr>
            </w:pPr>
            <w:r>
              <w:rPr>
                <w:rFonts w:ascii="Calibri" w:hAnsi="Calibri"/>
                <w:b/>
                <w:color w:val="000000"/>
              </w:rPr>
              <w:t xml:space="preserve">CD4 </w:t>
            </w:r>
            <w:r w:rsidR="00290BDD">
              <w:rPr>
                <w:rFonts w:ascii="Calibri" w:hAnsi="Calibri" w:cs="Calibri"/>
                <w:b/>
                <w:color w:val="000000"/>
              </w:rPr>
              <w:t>≤</w:t>
            </w:r>
            <w:r>
              <w:rPr>
                <w:rFonts w:ascii="Calibri" w:hAnsi="Calibri"/>
                <w:b/>
                <w:color w:val="000000"/>
              </w:rPr>
              <w:t>200 у стаціонарних умовах</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2 дослідження </w:t>
            </w:r>
          </w:p>
          <w:p w:rsidR="00ED665B" w:rsidRPr="00907702" w:rsidRDefault="006C7D2F" w:rsidP="00B716E5">
            <w:pPr>
              <w:jc w:val="center"/>
              <w:rPr>
                <w:rFonts w:ascii="Calibri" w:hAnsi="Calibri" w:cs="Calibri"/>
              </w:rPr>
            </w:pPr>
            <w:r>
              <w:rPr>
                <w:rFonts w:ascii="Calibri" w:hAnsi="Calibri"/>
                <w:color w:val="000000"/>
              </w:rPr>
              <w:t>(1009)</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106"/>
              <w:jc w:val="center"/>
              <w:rPr>
                <w:rFonts w:ascii="Calibri" w:hAnsi="Calibri" w:cs="Calibri"/>
                <w:color w:val="000000"/>
              </w:rPr>
            </w:pPr>
            <w:r>
              <w:rPr>
                <w:rFonts w:ascii="Calibri" w:hAnsi="Calibri"/>
                <w:color w:val="000000"/>
              </w:rPr>
              <w:t xml:space="preserve">348 </w:t>
            </w:r>
          </w:p>
          <w:p w:rsidR="00ED665B" w:rsidRPr="00907702" w:rsidRDefault="006C7D2F" w:rsidP="00B716E5">
            <w:pPr>
              <w:ind w:firstLine="106"/>
              <w:jc w:val="center"/>
              <w:rPr>
                <w:rFonts w:ascii="Calibri" w:hAnsi="Calibri" w:cs="Calibri"/>
              </w:rPr>
            </w:pPr>
            <w:r>
              <w:rPr>
                <w:rFonts w:ascii="Calibri" w:hAnsi="Calibri"/>
                <w:color w:val="000000"/>
              </w:rPr>
              <w:t>(34%)</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40"/>
              <w:jc w:val="center"/>
              <w:rPr>
                <w:rFonts w:ascii="Calibri" w:hAnsi="Calibri" w:cs="Calibri"/>
                <w:color w:val="000000"/>
              </w:rPr>
            </w:pPr>
            <w:r>
              <w:rPr>
                <w:rFonts w:ascii="Calibri" w:hAnsi="Calibri"/>
                <w:color w:val="000000"/>
              </w:rPr>
              <w:t xml:space="preserve">54% </w:t>
            </w:r>
          </w:p>
          <w:p w:rsidR="00ED665B" w:rsidRPr="00907702" w:rsidRDefault="006C7D2F" w:rsidP="00B716E5">
            <w:pPr>
              <w:ind w:firstLine="240"/>
              <w:jc w:val="center"/>
              <w:rPr>
                <w:rFonts w:ascii="Calibri" w:hAnsi="Calibri" w:cs="Calibri"/>
              </w:rPr>
            </w:pPr>
            <w:r>
              <w:rPr>
                <w:rFonts w:ascii="Calibri" w:hAnsi="Calibri"/>
                <w:color w:val="000000"/>
              </w:rPr>
              <w:t>(34-73%)</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ind w:firstLine="230"/>
              <w:jc w:val="center"/>
              <w:rPr>
                <w:rFonts w:ascii="Calibri" w:hAnsi="Calibri" w:cs="Calibri"/>
                <w:color w:val="000000"/>
              </w:rPr>
            </w:pPr>
            <w:r>
              <w:rPr>
                <w:rFonts w:ascii="Calibri" w:hAnsi="Calibri"/>
                <w:color w:val="000000"/>
              </w:rPr>
              <w:t xml:space="preserve">80% </w:t>
            </w:r>
          </w:p>
          <w:p w:rsidR="00ED665B" w:rsidRPr="00907702" w:rsidRDefault="006C7D2F" w:rsidP="00B716E5">
            <w:pPr>
              <w:ind w:firstLine="230"/>
              <w:jc w:val="center"/>
              <w:rPr>
                <w:rFonts w:ascii="Calibri" w:hAnsi="Calibri" w:cs="Calibri"/>
              </w:rPr>
            </w:pPr>
            <w:r>
              <w:rPr>
                <w:rFonts w:ascii="Calibri" w:hAnsi="Calibri"/>
                <w:color w:val="000000"/>
              </w:rPr>
              <w:t>(58-91%)</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vertAlign w:val="superscript"/>
              </w:rPr>
            </w:pPr>
            <w:r>
              <w:rPr>
                <w:rFonts w:ascii="Calibri" w:hAnsi="Calibri"/>
                <w:color w:val="000000"/>
              </w:rPr>
              <w:t>1 дослідження</w:t>
            </w:r>
            <w:r>
              <w:rPr>
                <w:rFonts w:ascii="Calibri" w:hAnsi="Calibri"/>
                <w:color w:val="000000"/>
                <w:vertAlign w:val="superscript"/>
              </w:rPr>
              <w:t xml:space="preserve">c </w:t>
            </w:r>
          </w:p>
          <w:p w:rsidR="00ED665B" w:rsidRPr="00907702" w:rsidRDefault="006C7D2F" w:rsidP="00B716E5">
            <w:pPr>
              <w:jc w:val="center"/>
              <w:rPr>
                <w:rFonts w:ascii="Calibri" w:hAnsi="Calibri" w:cs="Calibri"/>
              </w:rPr>
            </w:pPr>
            <w:r>
              <w:rPr>
                <w:rFonts w:ascii="Calibri" w:hAnsi="Calibri"/>
                <w:color w:val="000000"/>
              </w:rPr>
              <w:t>(54)</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14 </w:t>
            </w:r>
          </w:p>
          <w:p w:rsidR="00ED665B" w:rsidRPr="00907702" w:rsidRDefault="006C7D2F" w:rsidP="00B716E5">
            <w:pPr>
              <w:jc w:val="center"/>
              <w:rPr>
                <w:rFonts w:ascii="Calibri" w:hAnsi="Calibri" w:cs="Calibri"/>
              </w:rPr>
            </w:pPr>
            <w:r>
              <w:rPr>
                <w:rFonts w:ascii="Calibri" w:hAnsi="Calibri"/>
                <w:color w:val="000000"/>
              </w:rPr>
              <w:t>(26%)</w:t>
            </w:r>
          </w:p>
        </w:tc>
        <w:tc>
          <w:tcPr>
            <w:tcW w:w="1584"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Не застосовується</w:t>
            </w:r>
          </w:p>
        </w:tc>
        <w:tc>
          <w:tcPr>
            <w:tcW w:w="1598" w:type="dxa"/>
            <w:tcBorders>
              <w:top w:val="single" w:sz="8" w:space="0" w:color="009649"/>
              <w:left w:val="nil"/>
              <w:bottom w:val="single" w:sz="8" w:space="0" w:color="009649"/>
              <w:right w:val="nil"/>
            </w:tcBorders>
            <w:shd w:val="clear" w:color="auto" w:fill="FFFFFF"/>
            <w:vAlign w:val="center"/>
          </w:tcPr>
          <w:p w:rsidR="00ED665B" w:rsidRPr="00907702" w:rsidRDefault="006C7D2F" w:rsidP="00290BDD">
            <w:pPr>
              <w:jc w:val="center"/>
              <w:rPr>
                <w:rFonts w:ascii="Calibri" w:hAnsi="Calibri" w:cs="Calibri"/>
              </w:rPr>
            </w:pPr>
            <w:r>
              <w:rPr>
                <w:rFonts w:ascii="Calibri" w:hAnsi="Calibri"/>
                <w:color w:val="000000"/>
              </w:rPr>
              <w:t>Не застосовується</w:t>
            </w:r>
          </w:p>
        </w:tc>
      </w:tr>
    </w:tbl>
    <w:p w:rsidR="00ED665B" w:rsidRPr="00907702" w:rsidRDefault="00ED665B" w:rsidP="00DC2656">
      <w:pPr>
        <w:rPr>
          <w:rFonts w:ascii="Calibri" w:hAnsi="Calibri" w:cs="Calibri"/>
        </w:rPr>
        <w:sectPr w:rsidR="00ED665B" w:rsidRPr="00907702" w:rsidSect="00B716E5">
          <w:headerReference w:type="default" r:id="rId214"/>
          <w:footerReference w:type="default" r:id="rId215"/>
          <w:pgSz w:w="16838" w:h="11904" w:orient="landscape"/>
          <w:pgMar w:top="1397" w:right="1402" w:bottom="709" w:left="1416" w:header="720" w:footer="720" w:gutter="0"/>
          <w:cols w:space="60"/>
          <w:noEndnote/>
        </w:sectPr>
      </w:pPr>
    </w:p>
    <w:tbl>
      <w:tblPr>
        <w:tblW w:w="14039" w:type="dxa"/>
        <w:tblInd w:w="40" w:type="dxa"/>
        <w:tblLayout w:type="fixed"/>
        <w:tblCellMar>
          <w:left w:w="40" w:type="dxa"/>
          <w:right w:w="40" w:type="dxa"/>
        </w:tblCellMar>
        <w:tblLook w:val="0000" w:firstRow="0" w:lastRow="0" w:firstColumn="0" w:lastColumn="0" w:noHBand="0" w:noVBand="0"/>
      </w:tblPr>
      <w:tblGrid>
        <w:gridCol w:w="1358"/>
        <w:gridCol w:w="1589"/>
        <w:gridCol w:w="1579"/>
        <w:gridCol w:w="1584"/>
        <w:gridCol w:w="1579"/>
        <w:gridCol w:w="1584"/>
        <w:gridCol w:w="1584"/>
        <w:gridCol w:w="1584"/>
        <w:gridCol w:w="1598"/>
      </w:tblGrid>
      <w:tr w:rsidR="00290BDD" w:rsidRPr="00B716E5" w:rsidTr="00290BDD">
        <w:trPr>
          <w:trHeight w:val="20"/>
        </w:trPr>
        <w:tc>
          <w:tcPr>
            <w:tcW w:w="1358" w:type="dxa"/>
            <w:vMerge w:val="restart"/>
            <w:tcBorders>
              <w:top w:val="single" w:sz="8" w:space="0" w:color="009649"/>
              <w:left w:val="single" w:sz="8" w:space="0" w:color="009649"/>
              <w:right w:val="single" w:sz="8" w:space="0" w:color="009649"/>
            </w:tcBorders>
            <w:shd w:val="clear" w:color="auto" w:fill="27A86A"/>
            <w:vAlign w:val="center"/>
          </w:tcPr>
          <w:p w:rsidR="00290BDD" w:rsidRPr="00B716E5" w:rsidRDefault="00290BDD" w:rsidP="00B716E5">
            <w:pPr>
              <w:ind w:left="58"/>
              <w:rPr>
                <w:rFonts w:ascii="Calibri" w:hAnsi="Calibri" w:cs="Calibri"/>
                <w:b/>
                <w:bCs/>
              </w:rPr>
            </w:pPr>
            <w:r>
              <w:rPr>
                <w:rFonts w:ascii="Calibri" w:hAnsi="Calibri"/>
                <w:b/>
                <w:color w:val="000000"/>
              </w:rPr>
              <w:lastRenderedPageBreak/>
              <w:t>Вид</w:t>
            </w:r>
          </w:p>
        </w:tc>
        <w:tc>
          <w:tcPr>
            <w:tcW w:w="6331" w:type="dxa"/>
            <w:gridSpan w:val="4"/>
            <w:tcBorders>
              <w:top w:val="single" w:sz="8" w:space="0" w:color="009649"/>
              <w:left w:val="single" w:sz="8" w:space="0" w:color="009649"/>
              <w:bottom w:val="single" w:sz="8" w:space="0" w:color="009649"/>
              <w:right w:val="single" w:sz="8" w:space="0" w:color="009649"/>
            </w:tcBorders>
            <w:shd w:val="clear" w:color="auto" w:fill="27A86A"/>
            <w:vAlign w:val="center"/>
          </w:tcPr>
          <w:p w:rsidR="00290BDD" w:rsidRPr="00B716E5" w:rsidRDefault="00290BDD" w:rsidP="00B716E5">
            <w:pPr>
              <w:jc w:val="center"/>
              <w:rPr>
                <w:rFonts w:ascii="Calibri" w:hAnsi="Calibri" w:cs="Calibri"/>
                <w:b/>
                <w:bCs/>
              </w:rPr>
            </w:pPr>
            <w:r>
              <w:rPr>
                <w:rFonts w:ascii="Calibri" w:hAnsi="Calibri"/>
                <w:b/>
                <w:color w:val="000000"/>
              </w:rPr>
              <w:t>Симптоматичні учасники</w:t>
            </w:r>
          </w:p>
        </w:tc>
        <w:tc>
          <w:tcPr>
            <w:tcW w:w="6350" w:type="dxa"/>
            <w:gridSpan w:val="4"/>
            <w:tcBorders>
              <w:top w:val="single" w:sz="8" w:space="0" w:color="009649"/>
              <w:left w:val="single" w:sz="8" w:space="0" w:color="009649"/>
              <w:bottom w:val="single" w:sz="8" w:space="0" w:color="009649"/>
              <w:right w:val="single" w:sz="8" w:space="0" w:color="009649"/>
            </w:tcBorders>
            <w:shd w:val="clear" w:color="auto" w:fill="27A86A"/>
            <w:vAlign w:val="center"/>
          </w:tcPr>
          <w:p w:rsidR="00290BDD" w:rsidRPr="00B716E5" w:rsidRDefault="00290BDD" w:rsidP="00B716E5">
            <w:pPr>
              <w:jc w:val="center"/>
              <w:rPr>
                <w:rFonts w:ascii="Calibri" w:hAnsi="Calibri" w:cs="Calibri"/>
                <w:b/>
                <w:bCs/>
              </w:rPr>
            </w:pPr>
            <w:r>
              <w:rPr>
                <w:rFonts w:ascii="Calibri" w:hAnsi="Calibri"/>
                <w:b/>
                <w:color w:val="000000"/>
              </w:rPr>
              <w:t>Невибрані учасники</w:t>
            </w:r>
          </w:p>
        </w:tc>
      </w:tr>
      <w:tr w:rsidR="00290BDD" w:rsidRPr="00B716E5" w:rsidTr="00290BDD">
        <w:trPr>
          <w:trHeight w:val="20"/>
        </w:trPr>
        <w:tc>
          <w:tcPr>
            <w:tcW w:w="1358" w:type="dxa"/>
            <w:vMerge/>
            <w:tcBorders>
              <w:left w:val="single" w:sz="8" w:space="0" w:color="009649"/>
              <w:bottom w:val="single" w:sz="8" w:space="0" w:color="009649"/>
              <w:right w:val="single" w:sz="8" w:space="0" w:color="009649"/>
            </w:tcBorders>
            <w:shd w:val="clear" w:color="auto" w:fill="FFFFFF"/>
            <w:vAlign w:val="center"/>
          </w:tcPr>
          <w:p w:rsidR="00290BDD" w:rsidRPr="00B716E5" w:rsidRDefault="00290BDD" w:rsidP="00B716E5">
            <w:pPr>
              <w:rPr>
                <w:rFonts w:ascii="Calibri" w:hAnsi="Calibri" w:cs="Calibri"/>
                <w:b/>
                <w:bCs/>
              </w:rPr>
            </w:pPr>
          </w:p>
        </w:tc>
        <w:tc>
          <w:tcPr>
            <w:tcW w:w="1589"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ind w:left="48" w:right="53"/>
              <w:jc w:val="center"/>
              <w:rPr>
                <w:rFonts w:ascii="Calibri" w:hAnsi="Calibri" w:cs="Calibri"/>
                <w:b/>
                <w:bCs/>
              </w:rPr>
            </w:pPr>
            <w:r>
              <w:rPr>
                <w:rFonts w:ascii="Calibri" w:hAnsi="Calibri"/>
                <w:b/>
                <w:color w:val="000000"/>
              </w:rPr>
              <w:t>Дослідження (загальна кількість учасників)</w:t>
            </w:r>
          </w:p>
        </w:tc>
        <w:tc>
          <w:tcPr>
            <w:tcW w:w="1579"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ind w:left="125" w:right="110"/>
              <w:jc w:val="center"/>
              <w:rPr>
                <w:rFonts w:ascii="Calibri" w:hAnsi="Calibri" w:cs="Calibri"/>
                <w:b/>
                <w:bCs/>
              </w:rPr>
            </w:pPr>
            <w:r>
              <w:rPr>
                <w:rFonts w:ascii="Calibri" w:hAnsi="Calibri"/>
                <w:b/>
                <w:color w:val="000000"/>
              </w:rPr>
              <w:t>Учасники з ТБ</w:t>
            </w:r>
          </w:p>
        </w:tc>
        <w:tc>
          <w:tcPr>
            <w:tcW w:w="1584"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ind w:left="202" w:right="197" w:firstLine="139"/>
              <w:jc w:val="center"/>
              <w:rPr>
                <w:rFonts w:ascii="Calibri" w:hAnsi="Calibri" w:cs="Calibri"/>
                <w:b/>
                <w:bCs/>
              </w:rPr>
            </w:pPr>
            <w:r>
              <w:rPr>
                <w:rFonts w:ascii="Calibri" w:hAnsi="Calibri"/>
                <w:b/>
                <w:color w:val="000000"/>
              </w:rPr>
              <w:t>Об'єднана чутливість (95% CrI)</w:t>
            </w:r>
          </w:p>
        </w:tc>
        <w:tc>
          <w:tcPr>
            <w:tcW w:w="1579"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ind w:left="206" w:right="197" w:firstLine="139"/>
              <w:jc w:val="center"/>
              <w:rPr>
                <w:rFonts w:ascii="Calibri" w:hAnsi="Calibri" w:cs="Calibri"/>
                <w:b/>
                <w:bCs/>
              </w:rPr>
            </w:pPr>
            <w:r>
              <w:rPr>
                <w:rFonts w:ascii="Calibri" w:hAnsi="Calibri"/>
                <w:b/>
                <w:color w:val="000000"/>
              </w:rPr>
              <w:t>Об'єднана специфічність (95% CrI)</w:t>
            </w:r>
          </w:p>
        </w:tc>
        <w:tc>
          <w:tcPr>
            <w:tcW w:w="1584"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ind w:left="48" w:right="48"/>
              <w:jc w:val="center"/>
              <w:rPr>
                <w:rFonts w:ascii="Calibri" w:hAnsi="Calibri" w:cs="Calibri"/>
                <w:b/>
                <w:bCs/>
              </w:rPr>
            </w:pPr>
            <w:r>
              <w:rPr>
                <w:rFonts w:ascii="Calibri" w:hAnsi="Calibri"/>
                <w:b/>
                <w:color w:val="000000"/>
              </w:rPr>
              <w:t>Дослідження (загальна кількість учасників)</w:t>
            </w:r>
          </w:p>
        </w:tc>
        <w:tc>
          <w:tcPr>
            <w:tcW w:w="1584"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ind w:left="125" w:right="110"/>
              <w:jc w:val="center"/>
              <w:rPr>
                <w:rFonts w:ascii="Calibri" w:hAnsi="Calibri" w:cs="Calibri"/>
                <w:b/>
                <w:bCs/>
              </w:rPr>
            </w:pPr>
            <w:r>
              <w:rPr>
                <w:rFonts w:ascii="Calibri" w:hAnsi="Calibri"/>
                <w:b/>
                <w:color w:val="000000"/>
              </w:rPr>
              <w:t>Учасники з ТБ</w:t>
            </w:r>
          </w:p>
        </w:tc>
        <w:tc>
          <w:tcPr>
            <w:tcW w:w="1584"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ind w:left="202" w:right="197"/>
              <w:jc w:val="center"/>
              <w:rPr>
                <w:rFonts w:ascii="Calibri" w:hAnsi="Calibri" w:cs="Calibri"/>
                <w:b/>
                <w:bCs/>
              </w:rPr>
            </w:pPr>
            <w:r>
              <w:rPr>
                <w:rFonts w:ascii="Calibri" w:hAnsi="Calibri"/>
                <w:b/>
                <w:color w:val="000000"/>
              </w:rPr>
              <w:t>Об'єднана чутливість (95% CrI)</w:t>
            </w:r>
          </w:p>
        </w:tc>
        <w:tc>
          <w:tcPr>
            <w:tcW w:w="1598" w:type="dxa"/>
            <w:tcBorders>
              <w:top w:val="single" w:sz="8" w:space="0" w:color="009649"/>
              <w:left w:val="single" w:sz="8" w:space="0" w:color="009649"/>
              <w:bottom w:val="single" w:sz="8" w:space="0" w:color="009649"/>
              <w:right w:val="single" w:sz="8" w:space="0" w:color="009649"/>
            </w:tcBorders>
            <w:shd w:val="clear" w:color="auto" w:fill="7ABE94"/>
            <w:vAlign w:val="center"/>
          </w:tcPr>
          <w:p w:rsidR="00290BDD" w:rsidRPr="00B716E5" w:rsidRDefault="00290BDD" w:rsidP="00B716E5">
            <w:pPr>
              <w:ind w:left="206" w:right="216" w:firstLine="134"/>
              <w:jc w:val="center"/>
              <w:rPr>
                <w:rFonts w:ascii="Calibri" w:hAnsi="Calibri" w:cs="Calibri"/>
                <w:b/>
                <w:bCs/>
              </w:rPr>
            </w:pPr>
            <w:r>
              <w:rPr>
                <w:rFonts w:ascii="Calibri" w:hAnsi="Calibri"/>
                <w:b/>
                <w:color w:val="000000"/>
              </w:rPr>
              <w:t>Об'єднана специфічність (95% CrI)</w:t>
            </w:r>
          </w:p>
        </w:tc>
      </w:tr>
      <w:tr w:rsidR="00ED665B" w:rsidRPr="00907702" w:rsidTr="00290BDD">
        <w:trPr>
          <w:trHeight w:val="20"/>
        </w:trPr>
        <w:tc>
          <w:tcPr>
            <w:tcW w:w="1358" w:type="dxa"/>
            <w:tcBorders>
              <w:top w:val="single" w:sz="8" w:space="0" w:color="009649"/>
              <w:left w:val="nil"/>
              <w:bottom w:val="single" w:sz="8" w:space="0" w:color="009649"/>
              <w:right w:val="nil"/>
            </w:tcBorders>
            <w:shd w:val="clear" w:color="auto" w:fill="FFFFFF"/>
            <w:vAlign w:val="center"/>
          </w:tcPr>
          <w:p w:rsidR="00ED665B" w:rsidRPr="00B716E5" w:rsidRDefault="006C7D2F" w:rsidP="00290BDD">
            <w:pPr>
              <w:rPr>
                <w:rFonts w:ascii="Calibri" w:hAnsi="Calibri" w:cs="Calibri"/>
                <w:b/>
                <w:bCs/>
              </w:rPr>
            </w:pPr>
            <w:r>
              <w:rPr>
                <w:rFonts w:ascii="Calibri" w:hAnsi="Calibri"/>
                <w:b/>
                <w:color w:val="000000"/>
              </w:rPr>
              <w:t xml:space="preserve">CD4 </w:t>
            </w:r>
            <w:r w:rsidR="00290BDD">
              <w:rPr>
                <w:rFonts w:ascii="Calibri" w:hAnsi="Calibri" w:cs="Calibri"/>
                <w:b/>
                <w:color w:val="000000"/>
              </w:rPr>
              <w:t>≤</w:t>
            </w:r>
            <w:r>
              <w:rPr>
                <w:rFonts w:ascii="Calibri" w:hAnsi="Calibri"/>
                <w:b/>
                <w:color w:val="000000"/>
              </w:rPr>
              <w:t>100 у стаціонарних умовах</w:t>
            </w:r>
          </w:p>
        </w:tc>
        <w:tc>
          <w:tcPr>
            <w:tcW w:w="158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2 дослідження </w:t>
            </w:r>
          </w:p>
          <w:p w:rsidR="00ED665B" w:rsidRPr="00907702" w:rsidRDefault="006C7D2F" w:rsidP="00B716E5">
            <w:pPr>
              <w:jc w:val="center"/>
              <w:rPr>
                <w:rFonts w:ascii="Calibri" w:hAnsi="Calibri" w:cs="Calibri"/>
              </w:rPr>
            </w:pPr>
            <w:r>
              <w:rPr>
                <w:rFonts w:ascii="Calibri" w:hAnsi="Calibri"/>
                <w:color w:val="000000"/>
              </w:rPr>
              <w:t>(734)</w:t>
            </w:r>
          </w:p>
        </w:tc>
        <w:tc>
          <w:tcPr>
            <w:tcW w:w="1579"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270</w:t>
            </w:r>
          </w:p>
          <w:p w:rsidR="00ED665B" w:rsidRPr="00907702" w:rsidRDefault="006C7D2F" w:rsidP="00B716E5">
            <w:pPr>
              <w:jc w:val="center"/>
              <w:rPr>
                <w:rFonts w:ascii="Calibri" w:hAnsi="Calibri" w:cs="Calibri"/>
              </w:rPr>
            </w:pPr>
            <w:r>
              <w:rPr>
                <w:rFonts w:ascii="Calibri" w:hAnsi="Calibri"/>
                <w:color w:val="000000"/>
              </w:rPr>
              <w:t>(37%)</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61% </w:t>
            </w:r>
          </w:p>
          <w:p w:rsidR="00ED665B" w:rsidRPr="00907702" w:rsidRDefault="006C7D2F" w:rsidP="00B716E5">
            <w:pPr>
              <w:jc w:val="center"/>
              <w:rPr>
                <w:rFonts w:ascii="Calibri" w:hAnsi="Calibri" w:cs="Calibri"/>
              </w:rPr>
            </w:pPr>
            <w:r>
              <w:rPr>
                <w:rFonts w:ascii="Calibri" w:hAnsi="Calibri"/>
                <w:color w:val="000000"/>
              </w:rPr>
              <w:t>(40-78%)</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81% </w:t>
            </w:r>
          </w:p>
          <w:p w:rsidR="00ED665B" w:rsidRPr="00907702" w:rsidRDefault="006C7D2F" w:rsidP="00B716E5">
            <w:pPr>
              <w:jc w:val="center"/>
              <w:rPr>
                <w:rFonts w:ascii="Calibri" w:hAnsi="Calibri" w:cs="Calibri"/>
              </w:rPr>
            </w:pPr>
            <w:r>
              <w:rPr>
                <w:rFonts w:ascii="Calibri" w:hAnsi="Calibri"/>
                <w:color w:val="000000"/>
              </w:rPr>
              <w:t>(61-91%)</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2 дослідження </w:t>
            </w:r>
          </w:p>
          <w:p w:rsidR="00ED665B" w:rsidRPr="00907702" w:rsidRDefault="006C7D2F" w:rsidP="00B716E5">
            <w:pPr>
              <w:jc w:val="center"/>
              <w:rPr>
                <w:rFonts w:ascii="Calibri" w:hAnsi="Calibri" w:cs="Calibri"/>
              </w:rPr>
            </w:pPr>
            <w:r>
              <w:rPr>
                <w:rFonts w:ascii="Calibri" w:hAnsi="Calibri"/>
                <w:color w:val="000000"/>
              </w:rPr>
              <w:t>(200)</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84 </w:t>
            </w:r>
          </w:p>
          <w:p w:rsidR="00ED665B" w:rsidRPr="00907702" w:rsidRDefault="006C7D2F" w:rsidP="00B716E5">
            <w:pPr>
              <w:jc w:val="center"/>
              <w:rPr>
                <w:rFonts w:ascii="Calibri" w:hAnsi="Calibri" w:cs="Calibri"/>
              </w:rPr>
            </w:pPr>
            <w:r>
              <w:rPr>
                <w:rFonts w:ascii="Calibri" w:hAnsi="Calibri"/>
                <w:color w:val="000000"/>
              </w:rPr>
              <w:t>(42%)</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57% </w:t>
            </w:r>
          </w:p>
          <w:p w:rsidR="00ED665B" w:rsidRPr="00907702" w:rsidRDefault="006C7D2F" w:rsidP="00B716E5">
            <w:pPr>
              <w:jc w:val="center"/>
              <w:rPr>
                <w:rFonts w:ascii="Calibri" w:hAnsi="Calibri" w:cs="Calibri"/>
              </w:rPr>
            </w:pPr>
            <w:r>
              <w:rPr>
                <w:rFonts w:ascii="Calibri" w:hAnsi="Calibri"/>
                <w:color w:val="000000"/>
              </w:rPr>
              <w:t>(33-79%)</w:t>
            </w:r>
          </w:p>
        </w:tc>
        <w:tc>
          <w:tcPr>
            <w:tcW w:w="1598"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90% </w:t>
            </w:r>
          </w:p>
          <w:p w:rsidR="00ED665B" w:rsidRPr="00907702" w:rsidRDefault="006C7D2F" w:rsidP="00B716E5">
            <w:pPr>
              <w:jc w:val="center"/>
              <w:rPr>
                <w:rFonts w:ascii="Calibri" w:hAnsi="Calibri" w:cs="Calibri"/>
              </w:rPr>
            </w:pPr>
            <w:r>
              <w:rPr>
                <w:rFonts w:ascii="Calibri" w:hAnsi="Calibri"/>
                <w:color w:val="000000"/>
              </w:rPr>
              <w:t>(69-97%)</w:t>
            </w:r>
          </w:p>
        </w:tc>
      </w:tr>
      <w:tr w:rsidR="00ED665B" w:rsidRPr="00907702" w:rsidTr="00290BDD">
        <w:trPr>
          <w:trHeight w:val="20"/>
        </w:trPr>
        <w:tc>
          <w:tcPr>
            <w:tcW w:w="1358" w:type="dxa"/>
            <w:tcBorders>
              <w:top w:val="single" w:sz="8" w:space="0" w:color="009649"/>
              <w:left w:val="nil"/>
              <w:bottom w:val="single" w:sz="8" w:space="0" w:color="009649"/>
              <w:right w:val="nil"/>
            </w:tcBorders>
            <w:shd w:val="clear" w:color="auto" w:fill="FFFFFF"/>
            <w:vAlign w:val="center"/>
          </w:tcPr>
          <w:p w:rsidR="00ED665B" w:rsidRPr="00B716E5" w:rsidRDefault="006C7D2F" w:rsidP="00290BDD">
            <w:pPr>
              <w:rPr>
                <w:rFonts w:ascii="Calibri" w:hAnsi="Calibri" w:cs="Calibri"/>
                <w:b/>
                <w:bCs/>
              </w:rPr>
            </w:pPr>
            <w:r>
              <w:rPr>
                <w:rFonts w:ascii="Calibri" w:hAnsi="Calibri"/>
                <w:b/>
                <w:color w:val="000000"/>
              </w:rPr>
              <w:t>CD4</w:t>
            </w:r>
          </w:p>
          <w:p w:rsidR="00ED665B" w:rsidRPr="00B716E5" w:rsidRDefault="006C7D2F" w:rsidP="00290BDD">
            <w:pPr>
              <w:rPr>
                <w:rFonts w:ascii="Calibri" w:hAnsi="Calibri" w:cs="Calibri"/>
                <w:b/>
                <w:bCs/>
              </w:rPr>
            </w:pPr>
            <w:r>
              <w:rPr>
                <w:rFonts w:ascii="Calibri" w:hAnsi="Calibri"/>
                <w:b/>
                <w:color w:val="000000"/>
              </w:rPr>
              <w:t>101-200</w:t>
            </w:r>
          </w:p>
          <w:p w:rsidR="00ED665B" w:rsidRPr="00B716E5" w:rsidRDefault="006C7D2F" w:rsidP="00290BDD">
            <w:pPr>
              <w:rPr>
                <w:rFonts w:ascii="Calibri" w:hAnsi="Calibri" w:cs="Calibri"/>
                <w:b/>
                <w:bCs/>
              </w:rPr>
            </w:pPr>
            <w:r>
              <w:rPr>
                <w:rFonts w:ascii="Calibri" w:hAnsi="Calibri"/>
                <w:b/>
                <w:color w:val="000000"/>
              </w:rPr>
              <w:t>у стаціонарних умовах</w:t>
            </w:r>
          </w:p>
        </w:tc>
        <w:tc>
          <w:tcPr>
            <w:tcW w:w="158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2 дослідження </w:t>
            </w:r>
          </w:p>
          <w:p w:rsidR="00ED665B" w:rsidRPr="00907702" w:rsidRDefault="006C7D2F" w:rsidP="00B716E5">
            <w:pPr>
              <w:jc w:val="center"/>
              <w:rPr>
                <w:rFonts w:ascii="Calibri" w:hAnsi="Calibri" w:cs="Calibri"/>
              </w:rPr>
            </w:pPr>
            <w:r>
              <w:rPr>
                <w:rFonts w:ascii="Calibri" w:hAnsi="Calibri"/>
                <w:color w:val="000000"/>
              </w:rPr>
              <w:t>(275)</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78 </w:t>
            </w:r>
          </w:p>
          <w:p w:rsidR="00ED665B" w:rsidRPr="00907702" w:rsidRDefault="006C7D2F" w:rsidP="00B716E5">
            <w:pPr>
              <w:jc w:val="center"/>
              <w:rPr>
                <w:rFonts w:ascii="Calibri" w:hAnsi="Calibri" w:cs="Calibri"/>
              </w:rPr>
            </w:pPr>
            <w:r>
              <w:rPr>
                <w:rFonts w:ascii="Calibri" w:hAnsi="Calibri"/>
                <w:color w:val="000000"/>
              </w:rPr>
              <w:t>(28%)</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32% </w:t>
            </w:r>
          </w:p>
          <w:p w:rsidR="00ED665B" w:rsidRPr="00907702" w:rsidRDefault="006C7D2F" w:rsidP="00B716E5">
            <w:pPr>
              <w:jc w:val="center"/>
              <w:rPr>
                <w:rFonts w:ascii="Calibri" w:hAnsi="Calibri" w:cs="Calibri"/>
              </w:rPr>
            </w:pPr>
            <w:r>
              <w:rPr>
                <w:rFonts w:ascii="Calibri" w:hAnsi="Calibri"/>
                <w:color w:val="000000"/>
              </w:rPr>
              <w:t>(16-57%)</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81% </w:t>
            </w:r>
          </w:p>
          <w:p w:rsidR="00ED665B" w:rsidRPr="00907702" w:rsidRDefault="006C7D2F" w:rsidP="00B716E5">
            <w:pPr>
              <w:jc w:val="center"/>
              <w:rPr>
                <w:rFonts w:ascii="Calibri" w:hAnsi="Calibri" w:cs="Calibri"/>
              </w:rPr>
            </w:pPr>
            <w:r>
              <w:rPr>
                <w:rFonts w:ascii="Calibri" w:hAnsi="Calibri"/>
                <w:color w:val="000000"/>
              </w:rPr>
              <w:t>(55-92%)</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vertAlign w:val="superscript"/>
              </w:rPr>
            </w:pPr>
            <w:r>
              <w:rPr>
                <w:rFonts w:ascii="Calibri" w:hAnsi="Calibri"/>
                <w:color w:val="000000"/>
              </w:rPr>
              <w:t>1 дослідження</w:t>
            </w:r>
            <w:r>
              <w:rPr>
                <w:rFonts w:ascii="Calibri" w:hAnsi="Calibri"/>
                <w:color w:val="000000"/>
                <w:vertAlign w:val="superscript"/>
              </w:rPr>
              <w:t xml:space="preserve">d </w:t>
            </w:r>
          </w:p>
          <w:p w:rsidR="00ED665B" w:rsidRPr="00907702" w:rsidRDefault="006C7D2F" w:rsidP="00B716E5">
            <w:pPr>
              <w:jc w:val="center"/>
              <w:rPr>
                <w:rFonts w:ascii="Calibri" w:hAnsi="Calibri" w:cs="Calibri"/>
              </w:rPr>
            </w:pPr>
            <w:r>
              <w:rPr>
                <w:rFonts w:ascii="Calibri" w:hAnsi="Calibri"/>
                <w:color w:val="000000"/>
              </w:rPr>
              <w:t>(9)</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4 </w:t>
            </w:r>
          </w:p>
          <w:p w:rsidR="00ED665B" w:rsidRPr="00907702" w:rsidRDefault="006C7D2F" w:rsidP="00B716E5">
            <w:pPr>
              <w:jc w:val="center"/>
              <w:rPr>
                <w:rFonts w:ascii="Calibri" w:hAnsi="Calibri" w:cs="Calibri"/>
              </w:rPr>
            </w:pPr>
            <w:r>
              <w:rPr>
                <w:rFonts w:ascii="Calibri" w:hAnsi="Calibri"/>
                <w:color w:val="000000"/>
              </w:rPr>
              <w:t>(44%)</w:t>
            </w:r>
          </w:p>
        </w:tc>
        <w:tc>
          <w:tcPr>
            <w:tcW w:w="1584"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Не застосовується</w:t>
            </w:r>
          </w:p>
        </w:tc>
        <w:tc>
          <w:tcPr>
            <w:tcW w:w="1598"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Не застосовується</w:t>
            </w:r>
          </w:p>
        </w:tc>
      </w:tr>
      <w:tr w:rsidR="00ED665B" w:rsidRPr="00907702" w:rsidTr="00290BDD">
        <w:trPr>
          <w:trHeight w:val="20"/>
        </w:trPr>
        <w:tc>
          <w:tcPr>
            <w:tcW w:w="1358" w:type="dxa"/>
            <w:tcBorders>
              <w:top w:val="single" w:sz="8" w:space="0" w:color="009649"/>
              <w:left w:val="nil"/>
              <w:bottom w:val="single" w:sz="8" w:space="0" w:color="009649"/>
              <w:right w:val="nil"/>
            </w:tcBorders>
            <w:shd w:val="clear" w:color="auto" w:fill="FFFFFF"/>
            <w:vAlign w:val="center"/>
          </w:tcPr>
          <w:p w:rsidR="00ED665B" w:rsidRPr="00B716E5" w:rsidRDefault="006C7D2F" w:rsidP="00290BDD">
            <w:pPr>
              <w:rPr>
                <w:rFonts w:ascii="Calibri" w:hAnsi="Calibri" w:cs="Calibri"/>
                <w:b/>
                <w:bCs/>
              </w:rPr>
            </w:pPr>
            <w:r>
              <w:rPr>
                <w:rFonts w:ascii="Calibri" w:hAnsi="Calibri"/>
                <w:b/>
                <w:color w:val="000000"/>
              </w:rPr>
              <w:t xml:space="preserve">CD4 </w:t>
            </w:r>
            <w:r w:rsidR="00290BDD">
              <w:rPr>
                <w:rFonts w:ascii="Calibri" w:hAnsi="Calibri" w:cs="Calibri"/>
                <w:b/>
                <w:color w:val="000000"/>
              </w:rPr>
              <w:t>≤</w:t>
            </w:r>
            <w:r>
              <w:rPr>
                <w:rFonts w:ascii="Calibri" w:hAnsi="Calibri"/>
                <w:b/>
                <w:color w:val="000000"/>
              </w:rPr>
              <w:t>200 в амбулаторних умовах</w:t>
            </w:r>
          </w:p>
        </w:tc>
        <w:tc>
          <w:tcPr>
            <w:tcW w:w="158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vertAlign w:val="superscript"/>
              </w:rPr>
            </w:pPr>
            <w:r>
              <w:rPr>
                <w:rFonts w:ascii="Calibri" w:hAnsi="Calibri"/>
                <w:color w:val="000000"/>
              </w:rPr>
              <w:t>1 дослідження</w:t>
            </w:r>
            <w:r>
              <w:rPr>
                <w:rFonts w:ascii="Calibri" w:hAnsi="Calibri"/>
                <w:color w:val="000000"/>
                <w:vertAlign w:val="superscript"/>
              </w:rPr>
              <w:t xml:space="preserve">e </w:t>
            </w:r>
          </w:p>
          <w:p w:rsidR="00ED665B" w:rsidRPr="00907702" w:rsidRDefault="006C7D2F" w:rsidP="00B716E5">
            <w:pPr>
              <w:jc w:val="center"/>
              <w:rPr>
                <w:rFonts w:ascii="Calibri" w:hAnsi="Calibri" w:cs="Calibri"/>
              </w:rPr>
            </w:pPr>
            <w:r>
              <w:rPr>
                <w:rFonts w:ascii="Calibri" w:hAnsi="Calibri"/>
                <w:color w:val="000000"/>
              </w:rPr>
              <w:t>(249)</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97 </w:t>
            </w:r>
          </w:p>
          <w:p w:rsidR="00ED665B" w:rsidRPr="00907702" w:rsidRDefault="006C7D2F" w:rsidP="00B716E5">
            <w:pPr>
              <w:jc w:val="center"/>
              <w:rPr>
                <w:rFonts w:ascii="Calibri" w:hAnsi="Calibri" w:cs="Calibri"/>
              </w:rPr>
            </w:pPr>
            <w:r>
              <w:rPr>
                <w:rFonts w:ascii="Calibri" w:hAnsi="Calibri"/>
                <w:color w:val="000000"/>
              </w:rPr>
              <w:t>(39%)</w:t>
            </w:r>
          </w:p>
        </w:tc>
        <w:tc>
          <w:tcPr>
            <w:tcW w:w="1584"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Не застосовується</w:t>
            </w:r>
          </w:p>
        </w:tc>
        <w:tc>
          <w:tcPr>
            <w:tcW w:w="1579"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Не застосовується</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2 дослідження </w:t>
            </w:r>
          </w:p>
          <w:p w:rsidR="00ED665B" w:rsidRPr="00907702" w:rsidRDefault="006C7D2F" w:rsidP="00B716E5">
            <w:pPr>
              <w:jc w:val="center"/>
              <w:rPr>
                <w:rFonts w:ascii="Calibri" w:hAnsi="Calibri" w:cs="Calibri"/>
              </w:rPr>
            </w:pPr>
            <w:r>
              <w:rPr>
                <w:rFonts w:ascii="Calibri" w:hAnsi="Calibri"/>
                <w:color w:val="000000"/>
              </w:rPr>
              <w:t>(652)</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68 </w:t>
            </w:r>
          </w:p>
          <w:p w:rsidR="00ED665B" w:rsidRPr="00907702" w:rsidRDefault="006C7D2F" w:rsidP="00B716E5">
            <w:pPr>
              <w:jc w:val="center"/>
              <w:rPr>
                <w:rFonts w:ascii="Calibri" w:hAnsi="Calibri" w:cs="Calibri"/>
              </w:rPr>
            </w:pPr>
            <w:r>
              <w:rPr>
                <w:rFonts w:ascii="Calibri" w:hAnsi="Calibri"/>
                <w:color w:val="000000"/>
              </w:rPr>
              <w:t>(10%)</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21% </w:t>
            </w:r>
          </w:p>
          <w:p w:rsidR="00ED665B" w:rsidRPr="00907702" w:rsidRDefault="006C7D2F" w:rsidP="00B716E5">
            <w:pPr>
              <w:jc w:val="center"/>
              <w:rPr>
                <w:rFonts w:ascii="Calibri" w:hAnsi="Calibri" w:cs="Calibri"/>
              </w:rPr>
            </w:pPr>
            <w:r>
              <w:rPr>
                <w:rFonts w:ascii="Calibri" w:hAnsi="Calibri"/>
                <w:color w:val="000000"/>
              </w:rPr>
              <w:t>(8-48%)</w:t>
            </w:r>
          </w:p>
        </w:tc>
        <w:tc>
          <w:tcPr>
            <w:tcW w:w="1598"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96% </w:t>
            </w:r>
          </w:p>
          <w:p w:rsidR="00ED665B" w:rsidRPr="00907702" w:rsidRDefault="006C7D2F" w:rsidP="00B716E5">
            <w:pPr>
              <w:jc w:val="center"/>
              <w:rPr>
                <w:rFonts w:ascii="Calibri" w:hAnsi="Calibri" w:cs="Calibri"/>
              </w:rPr>
            </w:pPr>
            <w:r>
              <w:rPr>
                <w:rFonts w:ascii="Calibri" w:hAnsi="Calibri"/>
                <w:color w:val="000000"/>
              </w:rPr>
              <w:t>(89-99%)</w:t>
            </w:r>
          </w:p>
        </w:tc>
      </w:tr>
      <w:tr w:rsidR="00ED665B" w:rsidRPr="00907702" w:rsidTr="00290BDD">
        <w:trPr>
          <w:trHeight w:val="20"/>
        </w:trPr>
        <w:tc>
          <w:tcPr>
            <w:tcW w:w="1358" w:type="dxa"/>
            <w:tcBorders>
              <w:top w:val="single" w:sz="8" w:space="0" w:color="009649"/>
              <w:left w:val="nil"/>
              <w:bottom w:val="single" w:sz="8" w:space="0" w:color="009649"/>
              <w:right w:val="nil"/>
            </w:tcBorders>
            <w:shd w:val="clear" w:color="auto" w:fill="FFFFFF"/>
            <w:vAlign w:val="center"/>
          </w:tcPr>
          <w:p w:rsidR="00ED665B" w:rsidRPr="00B716E5" w:rsidRDefault="006C7D2F" w:rsidP="00290BDD">
            <w:pPr>
              <w:rPr>
                <w:rFonts w:ascii="Calibri" w:hAnsi="Calibri" w:cs="Calibri"/>
                <w:b/>
                <w:bCs/>
              </w:rPr>
            </w:pPr>
            <w:r>
              <w:rPr>
                <w:rFonts w:ascii="Calibri" w:hAnsi="Calibri"/>
                <w:b/>
                <w:color w:val="000000"/>
              </w:rPr>
              <w:t xml:space="preserve">CD4 </w:t>
            </w:r>
            <w:r w:rsidR="00290BDD">
              <w:rPr>
                <w:rFonts w:ascii="Calibri" w:hAnsi="Calibri" w:cs="Calibri"/>
                <w:b/>
                <w:color w:val="000000"/>
              </w:rPr>
              <w:t>≤</w:t>
            </w:r>
            <w:r>
              <w:rPr>
                <w:rFonts w:ascii="Calibri" w:hAnsi="Calibri"/>
                <w:b/>
                <w:color w:val="000000"/>
              </w:rPr>
              <w:t>100 в амбулаторних умовах</w:t>
            </w:r>
          </w:p>
        </w:tc>
        <w:tc>
          <w:tcPr>
            <w:tcW w:w="158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vertAlign w:val="superscript"/>
              </w:rPr>
            </w:pPr>
            <w:r>
              <w:rPr>
                <w:rFonts w:ascii="Calibri" w:hAnsi="Calibri"/>
                <w:color w:val="000000"/>
              </w:rPr>
              <w:t>1 дослідження</w:t>
            </w:r>
            <w:r>
              <w:rPr>
                <w:rFonts w:ascii="Calibri" w:hAnsi="Calibri"/>
                <w:color w:val="000000"/>
                <w:vertAlign w:val="superscript"/>
              </w:rPr>
              <w:t xml:space="preserve">f </w:t>
            </w:r>
          </w:p>
          <w:p w:rsidR="00ED665B" w:rsidRPr="00907702" w:rsidRDefault="006C7D2F" w:rsidP="00B716E5">
            <w:pPr>
              <w:jc w:val="center"/>
              <w:rPr>
                <w:rFonts w:ascii="Calibri" w:hAnsi="Calibri" w:cs="Calibri"/>
              </w:rPr>
            </w:pPr>
            <w:r>
              <w:rPr>
                <w:rFonts w:ascii="Calibri" w:hAnsi="Calibri"/>
                <w:color w:val="000000"/>
              </w:rPr>
              <w:t>(121)</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48 </w:t>
            </w:r>
          </w:p>
          <w:p w:rsidR="00ED665B" w:rsidRPr="00907702" w:rsidRDefault="006C7D2F" w:rsidP="00B716E5">
            <w:pPr>
              <w:jc w:val="center"/>
              <w:rPr>
                <w:rFonts w:ascii="Calibri" w:hAnsi="Calibri" w:cs="Calibri"/>
              </w:rPr>
            </w:pPr>
            <w:r>
              <w:rPr>
                <w:rFonts w:ascii="Calibri" w:hAnsi="Calibri"/>
                <w:color w:val="000000"/>
              </w:rPr>
              <w:t>(40%)</w:t>
            </w:r>
          </w:p>
        </w:tc>
        <w:tc>
          <w:tcPr>
            <w:tcW w:w="1584"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Не застосовується</w:t>
            </w:r>
          </w:p>
        </w:tc>
        <w:tc>
          <w:tcPr>
            <w:tcW w:w="1579"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Не застосовується</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2 дослідження </w:t>
            </w:r>
          </w:p>
          <w:p w:rsidR="00ED665B" w:rsidRPr="00907702" w:rsidRDefault="006C7D2F" w:rsidP="00B716E5">
            <w:pPr>
              <w:jc w:val="center"/>
              <w:rPr>
                <w:rFonts w:ascii="Calibri" w:hAnsi="Calibri" w:cs="Calibri"/>
              </w:rPr>
            </w:pPr>
            <w:r>
              <w:rPr>
                <w:rFonts w:ascii="Calibri" w:hAnsi="Calibri"/>
                <w:color w:val="000000"/>
              </w:rPr>
              <w:t>(217)</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46 </w:t>
            </w:r>
          </w:p>
          <w:p w:rsidR="00ED665B" w:rsidRPr="00907702" w:rsidRDefault="006C7D2F" w:rsidP="00B716E5">
            <w:pPr>
              <w:jc w:val="center"/>
              <w:rPr>
                <w:rFonts w:ascii="Calibri" w:hAnsi="Calibri" w:cs="Calibri"/>
              </w:rPr>
            </w:pPr>
            <w:r>
              <w:rPr>
                <w:rFonts w:ascii="Calibri" w:hAnsi="Calibri"/>
                <w:color w:val="000000"/>
              </w:rPr>
              <w:t>(21%)</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40% </w:t>
            </w:r>
          </w:p>
          <w:p w:rsidR="00ED665B" w:rsidRPr="00907702" w:rsidRDefault="006C7D2F" w:rsidP="00B716E5">
            <w:pPr>
              <w:jc w:val="center"/>
              <w:rPr>
                <w:rFonts w:ascii="Calibri" w:hAnsi="Calibri" w:cs="Calibri"/>
              </w:rPr>
            </w:pPr>
            <w:r>
              <w:rPr>
                <w:rFonts w:ascii="Calibri" w:hAnsi="Calibri"/>
                <w:color w:val="000000"/>
              </w:rPr>
              <w:t>(20-64%)</w:t>
            </w:r>
          </w:p>
        </w:tc>
        <w:tc>
          <w:tcPr>
            <w:tcW w:w="1598"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87% </w:t>
            </w:r>
          </w:p>
          <w:p w:rsidR="00ED665B" w:rsidRPr="00907702" w:rsidRDefault="006C7D2F" w:rsidP="00B716E5">
            <w:pPr>
              <w:jc w:val="center"/>
              <w:rPr>
                <w:rFonts w:ascii="Calibri" w:hAnsi="Calibri" w:cs="Calibri"/>
              </w:rPr>
            </w:pPr>
            <w:r>
              <w:rPr>
                <w:rFonts w:ascii="Calibri" w:hAnsi="Calibri"/>
                <w:color w:val="000000"/>
              </w:rPr>
              <w:t>(68-94%)</w:t>
            </w:r>
          </w:p>
        </w:tc>
      </w:tr>
      <w:tr w:rsidR="00ED665B" w:rsidRPr="00907702" w:rsidTr="00290BDD">
        <w:trPr>
          <w:trHeight w:val="20"/>
        </w:trPr>
        <w:tc>
          <w:tcPr>
            <w:tcW w:w="1358" w:type="dxa"/>
            <w:tcBorders>
              <w:top w:val="single" w:sz="8" w:space="0" w:color="009649"/>
              <w:left w:val="nil"/>
              <w:bottom w:val="single" w:sz="8" w:space="0" w:color="009649"/>
              <w:right w:val="nil"/>
            </w:tcBorders>
            <w:shd w:val="clear" w:color="auto" w:fill="FFFFFF"/>
            <w:vAlign w:val="center"/>
          </w:tcPr>
          <w:p w:rsidR="00ED665B" w:rsidRPr="00B716E5" w:rsidRDefault="006C7D2F" w:rsidP="00290BDD">
            <w:pPr>
              <w:rPr>
                <w:rFonts w:ascii="Calibri" w:hAnsi="Calibri" w:cs="Calibri"/>
                <w:b/>
                <w:bCs/>
              </w:rPr>
            </w:pPr>
            <w:r>
              <w:rPr>
                <w:rFonts w:ascii="Calibri" w:hAnsi="Calibri"/>
                <w:b/>
                <w:color w:val="000000"/>
              </w:rPr>
              <w:t>CD4</w:t>
            </w:r>
          </w:p>
          <w:p w:rsidR="00ED665B" w:rsidRPr="00B716E5" w:rsidRDefault="006C7D2F" w:rsidP="00290BDD">
            <w:pPr>
              <w:rPr>
                <w:rFonts w:ascii="Calibri" w:hAnsi="Calibri" w:cs="Calibri"/>
                <w:b/>
                <w:bCs/>
              </w:rPr>
            </w:pPr>
            <w:r>
              <w:rPr>
                <w:rFonts w:ascii="Calibri" w:hAnsi="Calibri"/>
                <w:b/>
                <w:color w:val="000000"/>
              </w:rPr>
              <w:t>101-200</w:t>
            </w:r>
          </w:p>
          <w:p w:rsidR="00ED665B" w:rsidRPr="00B716E5" w:rsidRDefault="006C7D2F" w:rsidP="00290BDD">
            <w:pPr>
              <w:rPr>
                <w:rFonts w:ascii="Calibri" w:hAnsi="Calibri" w:cs="Calibri"/>
                <w:b/>
                <w:bCs/>
              </w:rPr>
            </w:pPr>
            <w:r>
              <w:rPr>
                <w:rFonts w:ascii="Calibri" w:hAnsi="Calibri"/>
                <w:b/>
                <w:color w:val="000000"/>
              </w:rPr>
              <w:t>в амбулаторних умовах</w:t>
            </w:r>
          </w:p>
        </w:tc>
        <w:tc>
          <w:tcPr>
            <w:tcW w:w="158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vertAlign w:val="superscript"/>
              </w:rPr>
            </w:pPr>
            <w:r>
              <w:rPr>
                <w:rFonts w:ascii="Calibri" w:hAnsi="Calibri"/>
                <w:color w:val="000000"/>
              </w:rPr>
              <w:t>1 дослідження</w:t>
            </w:r>
            <w:r>
              <w:rPr>
                <w:rFonts w:ascii="Calibri" w:hAnsi="Calibri"/>
                <w:color w:val="000000"/>
                <w:vertAlign w:val="superscript"/>
              </w:rPr>
              <w:t xml:space="preserve">g </w:t>
            </w:r>
          </w:p>
          <w:p w:rsidR="00ED665B" w:rsidRPr="00907702" w:rsidRDefault="006C7D2F" w:rsidP="00B716E5">
            <w:pPr>
              <w:jc w:val="center"/>
              <w:rPr>
                <w:rFonts w:ascii="Calibri" w:hAnsi="Calibri" w:cs="Calibri"/>
              </w:rPr>
            </w:pPr>
            <w:r>
              <w:rPr>
                <w:rFonts w:ascii="Calibri" w:hAnsi="Calibri"/>
                <w:color w:val="000000"/>
              </w:rPr>
              <w:t>(128)</w:t>
            </w:r>
          </w:p>
        </w:tc>
        <w:tc>
          <w:tcPr>
            <w:tcW w:w="1579"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51 </w:t>
            </w:r>
          </w:p>
          <w:p w:rsidR="00ED665B" w:rsidRPr="00907702" w:rsidRDefault="006C7D2F" w:rsidP="00B716E5">
            <w:pPr>
              <w:jc w:val="center"/>
              <w:rPr>
                <w:rFonts w:ascii="Calibri" w:hAnsi="Calibri" w:cs="Calibri"/>
              </w:rPr>
            </w:pPr>
            <w:r>
              <w:rPr>
                <w:rFonts w:ascii="Calibri" w:hAnsi="Calibri"/>
                <w:color w:val="000000"/>
              </w:rPr>
              <w:t>(40%)</w:t>
            </w:r>
          </w:p>
        </w:tc>
        <w:tc>
          <w:tcPr>
            <w:tcW w:w="1584"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Не застосовується</w:t>
            </w:r>
          </w:p>
        </w:tc>
        <w:tc>
          <w:tcPr>
            <w:tcW w:w="1579"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Не застосовується</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vertAlign w:val="superscript"/>
              </w:rPr>
            </w:pPr>
            <w:r>
              <w:rPr>
                <w:rFonts w:ascii="Calibri" w:hAnsi="Calibri"/>
                <w:color w:val="000000"/>
              </w:rPr>
              <w:t>1 дослідження</w:t>
            </w:r>
            <w:r>
              <w:rPr>
                <w:rFonts w:ascii="Calibri" w:hAnsi="Calibri"/>
                <w:color w:val="000000"/>
                <w:vertAlign w:val="superscript"/>
              </w:rPr>
              <w:t xml:space="preserve">h </w:t>
            </w:r>
          </w:p>
          <w:p w:rsidR="00ED665B" w:rsidRPr="00907702" w:rsidRDefault="006C7D2F" w:rsidP="00B716E5">
            <w:pPr>
              <w:jc w:val="center"/>
              <w:rPr>
                <w:rFonts w:ascii="Calibri" w:hAnsi="Calibri" w:cs="Calibri"/>
              </w:rPr>
            </w:pPr>
            <w:r>
              <w:rPr>
                <w:rFonts w:ascii="Calibri" w:hAnsi="Calibri"/>
                <w:color w:val="000000"/>
              </w:rPr>
              <w:t>(94)</w:t>
            </w:r>
          </w:p>
        </w:tc>
        <w:tc>
          <w:tcPr>
            <w:tcW w:w="1584" w:type="dxa"/>
            <w:tcBorders>
              <w:top w:val="single" w:sz="8" w:space="0" w:color="009649"/>
              <w:left w:val="nil"/>
              <w:bottom w:val="single" w:sz="8" w:space="0" w:color="009649"/>
              <w:right w:val="nil"/>
            </w:tcBorders>
            <w:shd w:val="clear" w:color="auto" w:fill="FFFFFF"/>
            <w:vAlign w:val="center"/>
          </w:tcPr>
          <w:p w:rsidR="00B716E5" w:rsidRDefault="006C7D2F" w:rsidP="00B716E5">
            <w:pPr>
              <w:jc w:val="center"/>
              <w:rPr>
                <w:rFonts w:ascii="Calibri" w:hAnsi="Calibri" w:cs="Calibri"/>
                <w:color w:val="000000"/>
              </w:rPr>
            </w:pPr>
            <w:r>
              <w:rPr>
                <w:rFonts w:ascii="Calibri" w:hAnsi="Calibri"/>
                <w:color w:val="000000"/>
              </w:rPr>
              <w:t xml:space="preserve">9 </w:t>
            </w:r>
          </w:p>
          <w:p w:rsidR="00ED665B" w:rsidRPr="00907702" w:rsidRDefault="006C7D2F" w:rsidP="00B716E5">
            <w:pPr>
              <w:jc w:val="center"/>
              <w:rPr>
                <w:rFonts w:ascii="Calibri" w:hAnsi="Calibri" w:cs="Calibri"/>
              </w:rPr>
            </w:pPr>
            <w:r>
              <w:rPr>
                <w:rFonts w:ascii="Calibri" w:hAnsi="Calibri"/>
                <w:color w:val="000000"/>
              </w:rPr>
              <w:t>(10%)</w:t>
            </w:r>
          </w:p>
        </w:tc>
        <w:tc>
          <w:tcPr>
            <w:tcW w:w="1584"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Не застосовується</w:t>
            </w:r>
          </w:p>
        </w:tc>
        <w:tc>
          <w:tcPr>
            <w:tcW w:w="1598" w:type="dxa"/>
            <w:tcBorders>
              <w:top w:val="single" w:sz="8" w:space="0" w:color="009649"/>
              <w:left w:val="nil"/>
              <w:bottom w:val="single" w:sz="8" w:space="0" w:color="009649"/>
              <w:right w:val="nil"/>
            </w:tcBorders>
            <w:shd w:val="clear" w:color="auto" w:fill="FFFFFF"/>
            <w:vAlign w:val="center"/>
          </w:tcPr>
          <w:p w:rsidR="00ED665B" w:rsidRPr="00907702" w:rsidRDefault="006C7D2F" w:rsidP="00B716E5">
            <w:pPr>
              <w:jc w:val="center"/>
              <w:rPr>
                <w:rFonts w:ascii="Calibri" w:hAnsi="Calibri" w:cs="Calibri"/>
              </w:rPr>
            </w:pPr>
            <w:r>
              <w:rPr>
                <w:rFonts w:ascii="Calibri" w:hAnsi="Calibri"/>
                <w:color w:val="000000"/>
              </w:rPr>
              <w:t>Не застосовується</w:t>
            </w:r>
          </w:p>
        </w:tc>
      </w:tr>
    </w:tbl>
    <w:p w:rsidR="00ED665B" w:rsidRPr="00907702" w:rsidRDefault="006C7D2F" w:rsidP="00DC2656">
      <w:pPr>
        <w:spacing w:before="106"/>
        <w:ind w:left="19"/>
        <w:rPr>
          <w:rFonts w:ascii="Calibri" w:hAnsi="Calibri" w:cs="Calibri"/>
        </w:rPr>
      </w:pPr>
      <w:r>
        <w:rPr>
          <w:rFonts w:ascii="Calibri" w:hAnsi="Calibri"/>
          <w:color w:val="000000"/>
          <w:sz w:val="16"/>
        </w:rPr>
        <w:t>AlereLAM: Ліпоарабіноманнановий аналіз на ТБ Alere Determine ™; CrI: достовірний інтервал; ТБ: туберкульоз.</w:t>
      </w:r>
    </w:p>
    <w:p w:rsidR="00ED665B" w:rsidRPr="00907702" w:rsidRDefault="006C7D2F" w:rsidP="00DC2656">
      <w:pPr>
        <w:ind w:left="19"/>
        <w:rPr>
          <w:rFonts w:ascii="Calibri" w:hAnsi="Calibri" w:cs="Calibri"/>
        </w:rPr>
      </w:pPr>
      <w:r>
        <w:rPr>
          <w:rFonts w:ascii="Calibri" w:hAnsi="Calibri"/>
          <w:color w:val="000000"/>
          <w:sz w:val="16"/>
          <w:vertAlign w:val="superscript"/>
        </w:rPr>
        <w:t>a</w:t>
      </w:r>
      <w:r>
        <w:rPr>
          <w:rFonts w:ascii="Calibri" w:hAnsi="Calibri"/>
          <w:color w:val="000000"/>
          <w:sz w:val="16"/>
        </w:rPr>
        <w:t xml:space="preserve"> </w:t>
      </w:r>
      <w:r w:rsidRPr="00290BDD">
        <w:rPr>
          <w:rFonts w:ascii="Calibri" w:hAnsi="Calibri"/>
          <w:i/>
          <w:color w:val="000000"/>
          <w:sz w:val="16"/>
        </w:rPr>
        <w:t>(7, 26)</w:t>
      </w:r>
      <w:r>
        <w:rPr>
          <w:rFonts w:ascii="Calibri" w:hAnsi="Calibri"/>
          <w:color w:val="000000"/>
          <w:sz w:val="16"/>
        </w:rPr>
        <w:t>, чутливість 27% (6–61%); специфічність 99% (96–100%).</w:t>
      </w:r>
    </w:p>
    <w:p w:rsidR="00ED665B" w:rsidRPr="00907702" w:rsidRDefault="006C7D2F" w:rsidP="00DC2656">
      <w:pPr>
        <w:ind w:left="19"/>
        <w:rPr>
          <w:rFonts w:ascii="Calibri" w:hAnsi="Calibri" w:cs="Calibri"/>
        </w:rPr>
      </w:pPr>
      <w:r>
        <w:rPr>
          <w:rFonts w:ascii="Calibri" w:hAnsi="Calibri"/>
          <w:color w:val="000000"/>
          <w:sz w:val="16"/>
          <w:vertAlign w:val="superscript"/>
        </w:rPr>
        <w:t>b</w:t>
      </w:r>
      <w:r>
        <w:rPr>
          <w:rFonts w:ascii="Calibri" w:hAnsi="Calibri"/>
          <w:color w:val="000000"/>
          <w:sz w:val="16"/>
        </w:rPr>
        <w:t xml:space="preserve"> </w:t>
      </w:r>
      <w:r w:rsidRPr="00290BDD">
        <w:rPr>
          <w:rFonts w:ascii="Calibri" w:hAnsi="Calibri"/>
          <w:i/>
          <w:color w:val="000000"/>
          <w:sz w:val="16"/>
        </w:rPr>
        <w:t>(7, 26)</w:t>
      </w:r>
      <w:r>
        <w:rPr>
          <w:rFonts w:ascii="Calibri" w:hAnsi="Calibri"/>
          <w:color w:val="000000"/>
          <w:sz w:val="16"/>
        </w:rPr>
        <w:t>, чутливість 38% (14–68%); специфічність 99% (94–100%).</w:t>
      </w:r>
    </w:p>
    <w:p w:rsidR="00ED665B" w:rsidRPr="00907702" w:rsidRDefault="006C7D2F" w:rsidP="00DC2656">
      <w:pPr>
        <w:ind w:left="19"/>
        <w:rPr>
          <w:rFonts w:ascii="Calibri" w:hAnsi="Calibri" w:cs="Calibri"/>
        </w:rPr>
      </w:pPr>
      <w:r>
        <w:rPr>
          <w:rFonts w:ascii="Calibri" w:hAnsi="Calibri"/>
          <w:color w:val="000000"/>
          <w:sz w:val="16"/>
          <w:vertAlign w:val="superscript"/>
        </w:rPr>
        <w:t>c</w:t>
      </w:r>
      <w:r>
        <w:rPr>
          <w:rFonts w:ascii="Calibri" w:hAnsi="Calibri"/>
          <w:color w:val="000000"/>
          <w:sz w:val="16"/>
        </w:rPr>
        <w:t xml:space="preserve"> </w:t>
      </w:r>
      <w:r w:rsidRPr="00290BDD">
        <w:rPr>
          <w:rFonts w:ascii="Calibri" w:hAnsi="Calibri"/>
          <w:i/>
          <w:color w:val="000000"/>
          <w:sz w:val="16"/>
        </w:rPr>
        <w:t>(7, 26)</w:t>
      </w:r>
      <w:r>
        <w:rPr>
          <w:rFonts w:ascii="Calibri" w:hAnsi="Calibri"/>
          <w:color w:val="000000"/>
          <w:sz w:val="16"/>
        </w:rPr>
        <w:t>, чутливість 64% (35-87%); специфічність 82% (67-93%).</w:t>
      </w:r>
    </w:p>
    <w:p w:rsidR="00ED665B" w:rsidRPr="00907702" w:rsidRDefault="006C7D2F" w:rsidP="00DC2656">
      <w:pPr>
        <w:ind w:left="19"/>
        <w:rPr>
          <w:rFonts w:ascii="Calibri" w:hAnsi="Calibri" w:cs="Calibri"/>
        </w:rPr>
      </w:pPr>
      <w:r>
        <w:rPr>
          <w:rFonts w:ascii="Calibri" w:hAnsi="Calibri"/>
          <w:color w:val="000000"/>
          <w:sz w:val="16"/>
          <w:vertAlign w:val="superscript"/>
        </w:rPr>
        <w:t>d</w:t>
      </w:r>
      <w:r>
        <w:rPr>
          <w:rFonts w:ascii="Calibri" w:hAnsi="Calibri"/>
          <w:color w:val="000000"/>
          <w:sz w:val="16"/>
        </w:rPr>
        <w:t xml:space="preserve"> </w:t>
      </w:r>
      <w:r w:rsidRPr="00290BDD">
        <w:rPr>
          <w:rFonts w:ascii="Calibri" w:hAnsi="Calibri"/>
          <w:i/>
          <w:color w:val="000000"/>
          <w:sz w:val="16"/>
        </w:rPr>
        <w:t>(7, 26)</w:t>
      </w:r>
      <w:r>
        <w:rPr>
          <w:rFonts w:ascii="Calibri" w:hAnsi="Calibri"/>
          <w:color w:val="000000"/>
          <w:sz w:val="16"/>
        </w:rPr>
        <w:t>, чутливість 75% (19-99%); специфічність 100% (48–100%).</w:t>
      </w:r>
    </w:p>
    <w:p w:rsidR="00ED665B" w:rsidRPr="00907702" w:rsidRDefault="006C7D2F" w:rsidP="00DC2656">
      <w:pPr>
        <w:ind w:left="19"/>
        <w:rPr>
          <w:rFonts w:ascii="Calibri" w:hAnsi="Calibri" w:cs="Calibri"/>
        </w:rPr>
      </w:pPr>
      <w:r>
        <w:rPr>
          <w:rFonts w:ascii="Calibri" w:hAnsi="Calibri"/>
          <w:color w:val="000000"/>
          <w:sz w:val="16"/>
          <w:vertAlign w:val="superscript"/>
        </w:rPr>
        <w:t>e</w:t>
      </w:r>
      <w:r>
        <w:rPr>
          <w:rFonts w:ascii="Calibri" w:hAnsi="Calibri"/>
          <w:color w:val="000000"/>
          <w:sz w:val="16"/>
        </w:rPr>
        <w:t xml:space="preserve"> </w:t>
      </w:r>
      <w:r w:rsidRPr="00290BDD">
        <w:rPr>
          <w:rFonts w:ascii="Calibri" w:hAnsi="Calibri"/>
          <w:i/>
          <w:color w:val="000000"/>
          <w:sz w:val="16"/>
        </w:rPr>
        <w:t>(4, 23)</w:t>
      </w:r>
      <w:r>
        <w:rPr>
          <w:rFonts w:ascii="Calibri" w:hAnsi="Calibri"/>
          <w:color w:val="000000"/>
          <w:sz w:val="16"/>
        </w:rPr>
        <w:t>, чутливість 24% (16-33%); специфічність 94% (89-97%).</w:t>
      </w:r>
    </w:p>
    <w:p w:rsidR="00ED665B" w:rsidRPr="00907702" w:rsidRDefault="006C7D2F" w:rsidP="00DC2656">
      <w:pPr>
        <w:ind w:left="19"/>
        <w:rPr>
          <w:rFonts w:ascii="Calibri" w:hAnsi="Calibri" w:cs="Calibri"/>
        </w:rPr>
      </w:pPr>
      <w:r>
        <w:rPr>
          <w:rFonts w:ascii="Calibri" w:hAnsi="Calibri"/>
          <w:color w:val="000000"/>
          <w:sz w:val="16"/>
          <w:vertAlign w:val="superscript"/>
        </w:rPr>
        <w:t>f</w:t>
      </w:r>
      <w:r>
        <w:rPr>
          <w:rFonts w:ascii="Calibri" w:hAnsi="Calibri"/>
          <w:color w:val="000000"/>
          <w:sz w:val="16"/>
        </w:rPr>
        <w:t xml:space="preserve"> </w:t>
      </w:r>
      <w:r w:rsidRPr="00290BDD">
        <w:rPr>
          <w:rFonts w:ascii="Calibri" w:hAnsi="Calibri"/>
          <w:i/>
          <w:color w:val="000000"/>
          <w:sz w:val="16"/>
        </w:rPr>
        <w:t>(4, 23)</w:t>
      </w:r>
      <w:r>
        <w:rPr>
          <w:rFonts w:ascii="Calibri" w:hAnsi="Calibri"/>
          <w:color w:val="000000"/>
          <w:sz w:val="16"/>
        </w:rPr>
        <w:t>, чутливість 30% (18-46%); специфічність 93% (85-98%).</w:t>
      </w:r>
    </w:p>
    <w:p w:rsidR="00ED665B" w:rsidRPr="00907702" w:rsidRDefault="006C7D2F" w:rsidP="00DC2656">
      <w:pPr>
        <w:ind w:left="19"/>
        <w:rPr>
          <w:rFonts w:ascii="Calibri" w:hAnsi="Calibri" w:cs="Calibri"/>
        </w:rPr>
      </w:pPr>
      <w:r>
        <w:rPr>
          <w:rFonts w:ascii="Calibri" w:hAnsi="Calibri"/>
          <w:color w:val="000000"/>
          <w:sz w:val="16"/>
          <w:vertAlign w:val="superscript"/>
        </w:rPr>
        <w:t>g</w:t>
      </w:r>
      <w:r>
        <w:rPr>
          <w:rFonts w:ascii="Calibri" w:hAnsi="Calibri"/>
          <w:color w:val="000000"/>
          <w:sz w:val="16"/>
        </w:rPr>
        <w:t xml:space="preserve"> </w:t>
      </w:r>
      <w:r w:rsidRPr="00290BDD">
        <w:rPr>
          <w:rFonts w:ascii="Calibri" w:hAnsi="Calibri"/>
          <w:i/>
          <w:color w:val="000000"/>
          <w:sz w:val="16"/>
        </w:rPr>
        <w:t>(4, 23)</w:t>
      </w:r>
      <w:r>
        <w:rPr>
          <w:rFonts w:ascii="Calibri" w:hAnsi="Calibri"/>
          <w:color w:val="000000"/>
          <w:sz w:val="16"/>
        </w:rPr>
        <w:t>, чутливість 18% (8-31%); специфічність 95% (87-99%).</w:t>
      </w:r>
    </w:p>
    <w:p w:rsidR="00ED665B" w:rsidRPr="00907702" w:rsidRDefault="006C7D2F" w:rsidP="00DC2656">
      <w:pPr>
        <w:ind w:left="19"/>
        <w:rPr>
          <w:rFonts w:ascii="Calibri" w:hAnsi="Calibri" w:cs="Calibri"/>
        </w:rPr>
      </w:pPr>
      <w:r>
        <w:rPr>
          <w:rFonts w:ascii="Calibri" w:hAnsi="Calibri"/>
          <w:color w:val="000000"/>
          <w:sz w:val="16"/>
          <w:vertAlign w:val="superscript"/>
        </w:rPr>
        <w:t>h</w:t>
      </w:r>
      <w:r>
        <w:rPr>
          <w:rFonts w:ascii="Calibri" w:hAnsi="Calibri"/>
          <w:color w:val="000000"/>
          <w:sz w:val="16"/>
        </w:rPr>
        <w:t xml:space="preserve"> </w:t>
      </w:r>
      <w:r w:rsidRPr="00290BDD">
        <w:rPr>
          <w:rFonts w:ascii="Calibri" w:hAnsi="Calibri"/>
          <w:i/>
          <w:color w:val="000000"/>
          <w:sz w:val="16"/>
        </w:rPr>
        <w:t>(7, 26)</w:t>
      </w:r>
      <w:r>
        <w:rPr>
          <w:rFonts w:ascii="Calibri" w:hAnsi="Calibri"/>
          <w:color w:val="000000"/>
          <w:sz w:val="16"/>
        </w:rPr>
        <w:t>, чутливість 22% (3-60%); специфічність 99% (94–100%).</w:t>
      </w:r>
    </w:p>
    <w:p w:rsidR="00ED665B" w:rsidRPr="00907702" w:rsidRDefault="006C7D2F" w:rsidP="00DC2656">
      <w:pPr>
        <w:spacing w:before="178"/>
        <w:ind w:left="19"/>
        <w:rPr>
          <w:rFonts w:ascii="Calibri" w:hAnsi="Calibri" w:cs="Calibri"/>
        </w:rPr>
      </w:pPr>
      <w:r>
        <w:rPr>
          <w:rFonts w:ascii="Calibri" w:hAnsi="Calibri"/>
          <w:color w:val="000000"/>
          <w:sz w:val="16"/>
        </w:rPr>
        <w:t xml:space="preserve">Більш детально наведено у </w:t>
      </w:r>
      <w:r>
        <w:rPr>
          <w:rFonts w:ascii="Calibri" w:hAnsi="Calibri"/>
          <w:b/>
          <w:color w:val="000000"/>
          <w:sz w:val="16"/>
        </w:rPr>
        <w:t>Вебдодатку 4.12</w:t>
      </w:r>
      <w:r>
        <w:rPr>
          <w:rFonts w:ascii="Calibri" w:hAnsi="Calibri"/>
          <w:color w:val="000000"/>
          <w:sz w:val="16"/>
        </w:rPr>
        <w:t xml:space="preserve"> «LF-LAM для виявлення активної форми туберкульозу в осіб, що живуть з ВІЛ: оновлений систематичний огляд».</w:t>
      </w:r>
    </w:p>
    <w:p w:rsidR="00ED665B" w:rsidRPr="00907702" w:rsidRDefault="00ED665B" w:rsidP="00DC2656">
      <w:pPr>
        <w:spacing w:before="178"/>
        <w:ind w:left="19"/>
        <w:rPr>
          <w:rFonts w:ascii="Calibri" w:hAnsi="Calibri" w:cs="Calibri"/>
        </w:rPr>
        <w:sectPr w:rsidR="00ED665B" w:rsidRPr="00907702" w:rsidSect="00290BDD">
          <w:headerReference w:type="even" r:id="rId216"/>
          <w:footerReference w:type="even" r:id="rId217"/>
          <w:pgSz w:w="16838" w:h="11904" w:orient="landscape"/>
          <w:pgMar w:top="1411" w:right="1402" w:bottom="3" w:left="1397" w:header="720" w:footer="720" w:gutter="0"/>
          <w:cols w:space="60"/>
          <w:noEndnote/>
        </w:sectPr>
      </w:pPr>
    </w:p>
    <w:p w:rsidR="00ED665B" w:rsidRPr="00B716E5" w:rsidRDefault="006C7D2F" w:rsidP="00DC2656">
      <w:pPr>
        <w:rPr>
          <w:rFonts w:ascii="Calibri" w:hAnsi="Calibri" w:cs="Calibri"/>
          <w:b/>
          <w:bCs/>
        </w:rPr>
      </w:pPr>
      <w:r>
        <w:rPr>
          <w:rFonts w:ascii="Calibri" w:hAnsi="Calibri"/>
          <w:b/>
          <w:color w:val="009649"/>
          <w:sz w:val="28"/>
        </w:rPr>
        <w:lastRenderedPageBreak/>
        <w:t>Аналіз співвідношення витрати / ефективність</w:t>
      </w:r>
    </w:p>
    <w:p w:rsidR="00ED665B" w:rsidRPr="00907702" w:rsidRDefault="006C7D2F" w:rsidP="00DC2656">
      <w:pPr>
        <w:spacing w:before="168"/>
        <w:ind w:right="10"/>
        <w:jc w:val="both"/>
        <w:rPr>
          <w:rFonts w:ascii="Calibri" w:hAnsi="Calibri" w:cs="Calibri"/>
        </w:rPr>
      </w:pPr>
      <w:r>
        <w:rPr>
          <w:rFonts w:ascii="Calibri" w:hAnsi="Calibri"/>
          <w:color w:val="000000"/>
          <w:sz w:val="22"/>
        </w:rPr>
        <w:t>Економічні докази впровадження та розширення LF-LAM обмежені. Проведені дослідження демонструють стійку тенденцію, припускаючи, що LF-LAM може бути економічно ефективним в популяції африканських дорослих, що живуть з ВІЛ (особливо серед госпіталізованих пацієнтів).</w:t>
      </w:r>
    </w:p>
    <w:p w:rsidR="00ED665B" w:rsidRPr="00907702" w:rsidRDefault="006C7D2F" w:rsidP="00DC2656">
      <w:pPr>
        <w:spacing w:before="163"/>
        <w:ind w:right="19"/>
        <w:jc w:val="both"/>
        <w:rPr>
          <w:rFonts w:ascii="Calibri" w:hAnsi="Calibri" w:cs="Calibri"/>
        </w:rPr>
      </w:pPr>
      <w:r>
        <w:rPr>
          <w:rFonts w:ascii="Calibri" w:hAnsi="Calibri"/>
          <w:color w:val="000000"/>
          <w:sz w:val="22"/>
        </w:rPr>
        <w:t xml:space="preserve">Більш детально наведено у </w:t>
      </w:r>
      <w:r>
        <w:rPr>
          <w:rFonts w:ascii="Calibri" w:hAnsi="Calibri"/>
          <w:b/>
          <w:color w:val="000000"/>
          <w:sz w:val="22"/>
        </w:rPr>
        <w:t xml:space="preserve">Вебдодатку 4.13 </w:t>
      </w:r>
      <w:r>
        <w:rPr>
          <w:rFonts w:ascii="Calibri" w:hAnsi="Calibri"/>
          <w:color w:val="000000"/>
          <w:sz w:val="22"/>
        </w:rPr>
        <w:t>«Економічні оцінки LF-LAM для діагностики активної форми туберкульозу в осіб, що живуть з ВІЛ: оновлений систематичний огляд».</w:t>
      </w:r>
    </w:p>
    <w:p w:rsidR="00ED665B" w:rsidRPr="00B716E5" w:rsidRDefault="006C7D2F" w:rsidP="00DC2656">
      <w:pPr>
        <w:spacing w:before="235"/>
        <w:rPr>
          <w:rFonts w:ascii="Calibri" w:hAnsi="Calibri" w:cs="Calibri"/>
          <w:b/>
          <w:bCs/>
        </w:rPr>
      </w:pPr>
      <w:r>
        <w:rPr>
          <w:rFonts w:ascii="Calibri" w:hAnsi="Calibri"/>
          <w:b/>
          <w:color w:val="009649"/>
          <w:sz w:val="28"/>
        </w:rPr>
        <w:t>Перспективи тестування</w:t>
      </w:r>
    </w:p>
    <w:p w:rsidR="00ED665B" w:rsidRPr="00907702" w:rsidRDefault="006C7D2F" w:rsidP="00DC2656">
      <w:pPr>
        <w:spacing w:before="168"/>
        <w:jc w:val="both"/>
        <w:rPr>
          <w:rFonts w:ascii="Calibri" w:hAnsi="Calibri" w:cs="Calibri"/>
        </w:rPr>
      </w:pPr>
      <w:r>
        <w:rPr>
          <w:rFonts w:ascii="Calibri" w:hAnsi="Calibri"/>
          <w:color w:val="000000"/>
          <w:sz w:val="22"/>
        </w:rPr>
        <w:t>Для якісного дослідження перспектив користувачів, протягом лютого та березня 2019 року було проведено 15 напівструктурованих опитувань клініцистів, медсестер, керівників програм, працівників лабораторії та адвокатів пацієнтів у Кенії, Південно-Африканській Республіці та Уганді. Результати показали, що LF-LAM чітко відповідає потребам та відіграє важливе значення для популяції, в якій важко діагностувати ТБ. Відповідно до глобального дискурсу щодо LF-LAM, учасники цього дослідження, як правило, розглядали LF-LAM як простий у використанні швидкий тест, який вимагає невеликого обслуговування та обладнання, а головне, для його застосування необхідно зібрати не мокроту, а сечу – зразок, який безпечніший та доступніший. Проте, передбачувані переваги зразка, час виконання, зручність для користувача, вартість і вимоги до технічного обслуговування також можуть створювати проблеми, в залежності від конкретної ситуації та можливостей, в яких використовується тест. Так само, вимоги до інфраструктури мінімальні, але все ще можуть виникнути проблеми з запасами, відсутністю місткостей для сечі та терміном зберігання. Нарешті, хоча передбачається, що час обробки складає всього 25 хвилин, у багатьох випадках лікування не починається до наступного дня.</w:t>
      </w:r>
    </w:p>
    <w:p w:rsidR="00ED665B" w:rsidRPr="00907702" w:rsidRDefault="006C7D2F" w:rsidP="00DC2656">
      <w:pPr>
        <w:spacing w:before="173"/>
        <w:ind w:right="5"/>
        <w:jc w:val="both"/>
        <w:rPr>
          <w:rFonts w:ascii="Calibri" w:hAnsi="Calibri" w:cs="Calibri"/>
        </w:rPr>
      </w:pPr>
      <w:r>
        <w:rPr>
          <w:rFonts w:ascii="Calibri" w:hAnsi="Calibri"/>
          <w:color w:val="000000"/>
          <w:sz w:val="22"/>
        </w:rPr>
        <w:t>В цілому, результати якісного дослідження свідчать про те, що вигоди переважують проблеми, особливо з огляду на відсутність життєздатних діагностичних альтернатив для даної групи пацієнтів. Ці результати також демонструють, що важливо звернути увагу на те, як функціонує діагностика. Не дивлячись на те, що технологія швидша, простіша у використанні та дешевша, ніж існуюча діагностика, це не означає, що вона обов'язково є більш успішною у впровадженні.</w:t>
      </w:r>
    </w:p>
    <w:p w:rsidR="00ED665B" w:rsidRPr="00907702" w:rsidRDefault="006C7D2F" w:rsidP="00DC2656">
      <w:pPr>
        <w:spacing w:before="163"/>
        <w:ind w:right="10"/>
        <w:jc w:val="both"/>
        <w:rPr>
          <w:rFonts w:ascii="Calibri" w:hAnsi="Calibri" w:cs="Calibri"/>
        </w:rPr>
      </w:pPr>
      <w:r>
        <w:rPr>
          <w:rFonts w:ascii="Calibri" w:hAnsi="Calibri"/>
          <w:color w:val="000000"/>
          <w:sz w:val="22"/>
        </w:rPr>
        <w:t xml:space="preserve">Більш детально викладено у </w:t>
      </w:r>
      <w:r>
        <w:rPr>
          <w:rFonts w:ascii="Calibri" w:hAnsi="Calibri"/>
          <w:b/>
          <w:color w:val="000000"/>
          <w:sz w:val="22"/>
        </w:rPr>
        <w:t xml:space="preserve">Вебдодатку 4.14 </w:t>
      </w:r>
      <w:r>
        <w:rPr>
          <w:rFonts w:ascii="Calibri" w:hAnsi="Calibri"/>
          <w:color w:val="000000"/>
          <w:sz w:val="22"/>
        </w:rPr>
        <w:t>«Перспективи запровадження тесту ТБ-ЛАМ для діагностики активної форми туберкульозу: результати якісного дослідження».</w:t>
      </w:r>
    </w:p>
    <w:p w:rsidR="00ED665B" w:rsidRPr="00907702" w:rsidRDefault="00ED665B" w:rsidP="00DC2656">
      <w:pPr>
        <w:spacing w:before="163"/>
        <w:ind w:right="10"/>
        <w:jc w:val="both"/>
        <w:rPr>
          <w:rFonts w:ascii="Calibri" w:hAnsi="Calibri" w:cs="Calibri"/>
        </w:rPr>
        <w:sectPr w:rsidR="00ED665B" w:rsidRPr="00907702">
          <w:headerReference w:type="default" r:id="rId218"/>
          <w:footerReference w:type="default" r:id="rId219"/>
          <w:pgSz w:w="11904" w:h="16838"/>
          <w:pgMar w:top="1378" w:right="1406" w:bottom="5717"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094"/>
        <w:gridCol w:w="5918"/>
        <w:gridCol w:w="4003"/>
      </w:tblGrid>
      <w:tr w:rsidR="00ED665B" w:rsidRPr="00B716E5" w:rsidTr="00C53235">
        <w:trPr>
          <w:trHeight w:hRule="exact" w:val="547"/>
        </w:trPr>
        <w:tc>
          <w:tcPr>
            <w:tcW w:w="14015" w:type="dxa"/>
            <w:gridSpan w:val="3"/>
            <w:tcBorders>
              <w:top w:val="nil"/>
              <w:left w:val="nil"/>
              <w:bottom w:val="single" w:sz="8" w:space="0" w:color="009649"/>
              <w:right w:val="nil"/>
            </w:tcBorders>
            <w:shd w:val="clear" w:color="auto" w:fill="FFFFFF"/>
          </w:tcPr>
          <w:p w:rsidR="00ED665B" w:rsidRPr="00B716E5" w:rsidRDefault="006C7D2F" w:rsidP="00DC2656">
            <w:pPr>
              <w:rPr>
                <w:rFonts w:ascii="Calibri" w:hAnsi="Calibri" w:cs="Calibri"/>
                <w:b/>
                <w:bCs/>
              </w:rPr>
            </w:pPr>
            <w:r>
              <w:rPr>
                <w:rFonts w:ascii="Calibri" w:hAnsi="Calibri"/>
                <w:b/>
                <w:color w:val="009649"/>
                <w:sz w:val="28"/>
              </w:rPr>
              <w:lastRenderedPageBreak/>
              <w:t>Підсумковий огляд змін у керівництві 2015 року та оновленому керівництві 2019 року</w:t>
            </w:r>
          </w:p>
        </w:tc>
      </w:tr>
      <w:tr w:rsidR="00ED665B" w:rsidRPr="00C53235" w:rsidTr="00C53235">
        <w:trPr>
          <w:trHeight w:hRule="exact" w:val="1330"/>
        </w:trPr>
        <w:tc>
          <w:tcPr>
            <w:tcW w:w="409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C53235" w:rsidRDefault="006C7D2F" w:rsidP="00C53235">
            <w:pPr>
              <w:ind w:left="19" w:right="96" w:firstLine="5"/>
              <w:rPr>
                <w:rFonts w:ascii="Calibri" w:hAnsi="Calibri" w:cs="Calibri"/>
                <w:b/>
                <w:bCs/>
              </w:rPr>
            </w:pPr>
            <w:r>
              <w:rPr>
                <w:rFonts w:ascii="Calibri" w:hAnsi="Calibri"/>
                <w:b/>
                <w:color w:val="000000"/>
              </w:rPr>
              <w:t xml:space="preserve">Застосування ліпоарабіноманнанового тесту бокового зсуву (тест сечі LF-LAM) для діагностики та скринінгу туберкульозу у людей, які живуть з ВІЛ. </w:t>
            </w:r>
            <w:r w:rsidR="009B3894" w:rsidRPr="009B3894">
              <w:rPr>
                <w:rFonts w:ascii="Calibri" w:hAnsi="Calibri"/>
                <w:b/>
                <w:color w:val="000000"/>
              </w:rPr>
              <w:t xml:space="preserve">Рекомендації для регуляторних органів (2015) </w:t>
            </w:r>
            <w:r w:rsidR="009B3894" w:rsidRPr="009B3894">
              <w:rPr>
                <w:rFonts w:ascii="Calibri" w:hAnsi="Calibri"/>
                <w:b/>
                <w:i/>
                <w:color w:val="000000"/>
              </w:rPr>
              <w:t>(31)</w:t>
            </w:r>
          </w:p>
        </w:tc>
        <w:tc>
          <w:tcPr>
            <w:tcW w:w="591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C53235" w:rsidRDefault="009B3894" w:rsidP="00C53235">
            <w:pPr>
              <w:ind w:left="14" w:right="149" w:firstLine="19"/>
              <w:rPr>
                <w:rFonts w:ascii="Calibri" w:hAnsi="Calibri" w:cs="Calibri"/>
                <w:b/>
                <w:bCs/>
              </w:rPr>
            </w:pPr>
            <w:r w:rsidRPr="009B3894">
              <w:rPr>
                <w:rFonts w:ascii="Calibri" w:hAnsi="Calibri"/>
                <w:b/>
                <w:color w:val="000000"/>
              </w:rPr>
              <w:t xml:space="preserve">Ліпоарабіноманнановий тест бокового зсуву (LF-LAM) для діагностики активної форми туберкульозу у людей, які живуть з ВІЛ. Оновлення політики (2019) </w:t>
            </w:r>
            <w:r w:rsidRPr="009B3894">
              <w:rPr>
                <w:rFonts w:ascii="Calibri" w:hAnsi="Calibri"/>
                <w:b/>
                <w:i/>
                <w:color w:val="000000"/>
              </w:rPr>
              <w:t>(32)</w:t>
            </w:r>
          </w:p>
        </w:tc>
        <w:tc>
          <w:tcPr>
            <w:tcW w:w="400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C53235" w:rsidRDefault="006C7D2F" w:rsidP="00C53235">
            <w:pPr>
              <w:ind w:left="48"/>
              <w:rPr>
                <w:rFonts w:ascii="Calibri" w:hAnsi="Calibri" w:cs="Calibri"/>
                <w:b/>
                <w:bCs/>
              </w:rPr>
            </w:pPr>
            <w:r>
              <w:rPr>
                <w:rFonts w:ascii="Calibri" w:hAnsi="Calibri"/>
                <w:b/>
                <w:color w:val="000000"/>
              </w:rPr>
              <w:t>Зміни</w:t>
            </w:r>
          </w:p>
        </w:tc>
      </w:tr>
      <w:tr w:rsidR="00ED665B" w:rsidRPr="00907702" w:rsidTr="00C53235">
        <w:trPr>
          <w:trHeight w:hRule="exact" w:val="3571"/>
        </w:trPr>
        <w:tc>
          <w:tcPr>
            <w:tcW w:w="4094" w:type="dxa"/>
            <w:tcBorders>
              <w:top w:val="single" w:sz="8" w:space="0" w:color="009649"/>
              <w:left w:val="nil"/>
              <w:bottom w:val="single" w:sz="8" w:space="0" w:color="009649"/>
              <w:right w:val="nil"/>
            </w:tcBorders>
            <w:shd w:val="clear" w:color="auto" w:fill="FFFFFF"/>
          </w:tcPr>
          <w:p w:rsidR="00ED665B" w:rsidRPr="00907702" w:rsidRDefault="006C7D2F" w:rsidP="00C53235">
            <w:pPr>
              <w:ind w:left="24" w:right="240" w:firstLine="14"/>
              <w:rPr>
                <w:rFonts w:ascii="Calibri" w:hAnsi="Calibri" w:cs="Calibri"/>
              </w:rPr>
            </w:pPr>
            <w:r>
              <w:rPr>
                <w:rFonts w:ascii="Calibri" w:hAnsi="Calibri"/>
                <w:color w:val="000000"/>
              </w:rPr>
              <w:t xml:space="preserve">LF-LAM може використовуватися для діагностики ТБ у ВІЛ-позитивних дорослих стаціонарних пацієнтів з ознаками і симптомами ТБ (легеневого та/або позалегеневого), у яких кількість клітин CD4 </w:t>
            </w:r>
            <w:r>
              <w:rPr>
                <w:rFonts w:ascii="Calibri" w:hAnsi="Calibri"/>
                <w:b/>
                <w:color w:val="000000"/>
              </w:rPr>
              <w:sym w:font="Symbol" w:char="F0A3"/>
            </w:r>
            <w:r>
              <w:rPr>
                <w:rFonts w:ascii="Calibri" w:hAnsi="Calibri"/>
                <w:color w:val="000000"/>
              </w:rPr>
              <w:t>100 клітин/мкл, або ВІЛ-позитивних пацієнті, які є важко хворими</w:t>
            </w:r>
            <w:r>
              <w:rPr>
                <w:rFonts w:ascii="Calibri" w:hAnsi="Calibri"/>
                <w:color w:val="000000"/>
                <w:vertAlign w:val="superscript"/>
              </w:rPr>
              <w:t>a</w:t>
            </w:r>
            <w:r>
              <w:rPr>
                <w:rFonts w:ascii="Calibri" w:hAnsi="Calibri"/>
                <w:color w:val="000000"/>
              </w:rPr>
              <w:t>, незалежно від кількості клітин CD4 або з невідомою кількістю клітин CD4 (умовна рекомендація; низька якість доказових даних).</w:t>
            </w:r>
          </w:p>
        </w:tc>
        <w:tc>
          <w:tcPr>
            <w:tcW w:w="5918" w:type="dxa"/>
            <w:tcBorders>
              <w:top w:val="single" w:sz="8" w:space="0" w:color="009649"/>
              <w:left w:val="nil"/>
              <w:bottom w:val="single" w:sz="8" w:space="0" w:color="009649"/>
              <w:right w:val="nil"/>
            </w:tcBorders>
            <w:shd w:val="clear" w:color="auto" w:fill="FFFFFF"/>
          </w:tcPr>
          <w:p w:rsidR="00ED665B" w:rsidRPr="00907702" w:rsidRDefault="006C7D2F" w:rsidP="00C53235">
            <w:pPr>
              <w:ind w:left="14" w:right="24"/>
              <w:rPr>
                <w:rFonts w:ascii="Calibri" w:hAnsi="Calibri" w:cs="Calibri"/>
              </w:rPr>
            </w:pPr>
            <w:r>
              <w:rPr>
                <w:rFonts w:ascii="Calibri" w:hAnsi="Calibri"/>
                <w:color w:val="000000"/>
              </w:rPr>
              <w:t>У стаціонарних умовах ВООЗ наполегливо рекомендує використовувати LF-LAM для діагностики активної форми ТБ у ВІЛ-позитивних дорослих, підлітків та дітей:</w:t>
            </w:r>
          </w:p>
          <w:p w:rsidR="00ED665B" w:rsidRPr="00907702" w:rsidRDefault="006C7D2F" w:rsidP="00C53235">
            <w:pPr>
              <w:tabs>
                <w:tab w:val="left" w:pos="250"/>
              </w:tabs>
              <w:ind w:left="224" w:right="24" w:hanging="210"/>
              <w:rPr>
                <w:rFonts w:ascii="Calibri" w:hAnsi="Calibri" w:cs="Calibri"/>
              </w:rPr>
            </w:pPr>
            <w:r>
              <w:rPr>
                <w:rFonts w:ascii="Calibri" w:hAnsi="Calibri"/>
                <w:color w:val="000000"/>
              </w:rPr>
              <w:t>•</w:t>
            </w:r>
            <w:r>
              <w:rPr>
                <w:rFonts w:ascii="Calibri" w:hAnsi="Calibri"/>
                <w:color w:val="000000"/>
              </w:rPr>
              <w:tab/>
              <w:t>з ознаками та симптомами ТБ (легеневого та/або позалегеневого) (сильна рекомендація; помірна якість доказових даних щодо ефектів від проведених заходів); або</w:t>
            </w:r>
          </w:p>
          <w:p w:rsidR="00ED665B" w:rsidRPr="00907702" w:rsidRDefault="006C7D2F" w:rsidP="00C53235">
            <w:pPr>
              <w:tabs>
                <w:tab w:val="left" w:pos="250"/>
              </w:tabs>
              <w:ind w:left="224" w:hanging="210"/>
              <w:rPr>
                <w:rFonts w:ascii="Calibri" w:hAnsi="Calibri" w:cs="Calibri"/>
              </w:rPr>
            </w:pPr>
            <w:r>
              <w:rPr>
                <w:rFonts w:ascii="Calibri" w:hAnsi="Calibri"/>
                <w:color w:val="000000"/>
              </w:rPr>
              <w:t>•</w:t>
            </w:r>
            <w:r>
              <w:rPr>
                <w:rFonts w:ascii="Calibri" w:hAnsi="Calibri"/>
                <w:color w:val="000000"/>
              </w:rPr>
              <w:tab/>
              <w:t>з пізньою стадією ВІЛ-інфекції;</w:t>
            </w:r>
            <w:r>
              <w:rPr>
                <w:rFonts w:ascii="Calibri" w:hAnsi="Calibri"/>
                <w:color w:val="000000"/>
                <w:vertAlign w:val="superscript"/>
              </w:rPr>
              <w:t>b</w:t>
            </w:r>
            <w:r>
              <w:rPr>
                <w:rFonts w:ascii="Calibri" w:hAnsi="Calibri"/>
                <w:color w:val="000000"/>
              </w:rPr>
              <w:t xml:space="preserve"> або</w:t>
            </w:r>
          </w:p>
          <w:p w:rsidR="00ED665B" w:rsidRPr="00907702" w:rsidRDefault="006C7D2F" w:rsidP="00C53235">
            <w:pPr>
              <w:tabs>
                <w:tab w:val="left" w:pos="250"/>
              </w:tabs>
              <w:ind w:left="224" w:right="24" w:hanging="210"/>
              <w:rPr>
                <w:rFonts w:ascii="Calibri" w:hAnsi="Calibri" w:cs="Calibri"/>
              </w:rPr>
            </w:pPr>
            <w:r>
              <w:rPr>
                <w:rFonts w:ascii="Calibri" w:hAnsi="Calibri"/>
                <w:color w:val="000000"/>
              </w:rPr>
              <w:t>•</w:t>
            </w:r>
            <w:r>
              <w:rPr>
                <w:rFonts w:ascii="Calibri" w:hAnsi="Calibri"/>
                <w:color w:val="000000"/>
              </w:rPr>
              <w:tab/>
              <w:t>з важким захворюванням (сильна рекомендація; помірна якість доказових даних щодо ефектів від проведених заходів); або</w:t>
            </w:r>
          </w:p>
          <w:p w:rsidR="00ED665B" w:rsidRPr="00907702" w:rsidRDefault="00382A93" w:rsidP="00C53235">
            <w:pPr>
              <w:tabs>
                <w:tab w:val="left" w:pos="250"/>
              </w:tabs>
              <w:ind w:left="224" w:right="24" w:hanging="210"/>
              <w:rPr>
                <w:rFonts w:ascii="Calibri" w:hAnsi="Calibri" w:cs="Calibri"/>
              </w:rPr>
            </w:pPr>
            <w:r>
              <w:rPr>
                <w:rFonts w:ascii="Calibri" w:hAnsi="Calibri"/>
                <w:color w:val="000000"/>
              </w:rPr>
              <w:t>•</w:t>
            </w:r>
            <w:r>
              <w:rPr>
                <w:rFonts w:ascii="Calibri" w:hAnsi="Calibri"/>
                <w:color w:val="000000"/>
              </w:rPr>
              <w:tab/>
            </w:r>
            <w:r w:rsidR="006C7D2F">
              <w:rPr>
                <w:rFonts w:ascii="Calibri" w:hAnsi="Calibri"/>
                <w:color w:val="000000"/>
              </w:rPr>
              <w:t>незалежно від ознак та симптомів ТБ та з кількістю клітин CD4 &lt;200 (сильна рекомендація; помірна якість доказових даних щодо ефектів від проведених заходів).</w:t>
            </w:r>
          </w:p>
        </w:tc>
        <w:tc>
          <w:tcPr>
            <w:tcW w:w="4003" w:type="dxa"/>
            <w:tcBorders>
              <w:top w:val="single" w:sz="8" w:space="0" w:color="009649"/>
              <w:left w:val="nil"/>
              <w:bottom w:val="single" w:sz="8" w:space="0" w:color="009649"/>
              <w:right w:val="nil"/>
            </w:tcBorders>
            <w:shd w:val="clear" w:color="auto" w:fill="FFFFFF"/>
          </w:tcPr>
          <w:p w:rsidR="00ED665B" w:rsidRPr="00907702" w:rsidRDefault="006C7D2F" w:rsidP="00C53235">
            <w:pPr>
              <w:ind w:right="197" w:firstLine="14"/>
              <w:rPr>
                <w:rFonts w:ascii="Calibri" w:hAnsi="Calibri" w:cs="Calibri"/>
              </w:rPr>
            </w:pPr>
            <w:r>
              <w:rPr>
                <w:rFonts w:ascii="Calibri" w:hAnsi="Calibri"/>
                <w:color w:val="000000"/>
              </w:rPr>
              <w:t>Підвищена сила рекомендації.</w:t>
            </w:r>
          </w:p>
          <w:p w:rsidR="00ED665B" w:rsidRPr="00907702" w:rsidRDefault="006C7D2F" w:rsidP="00C53235">
            <w:pPr>
              <w:ind w:firstLine="14"/>
              <w:rPr>
                <w:rFonts w:ascii="Calibri" w:hAnsi="Calibri" w:cs="Calibri"/>
              </w:rPr>
            </w:pPr>
            <w:r>
              <w:rPr>
                <w:rFonts w:ascii="Calibri" w:hAnsi="Calibri"/>
                <w:color w:val="000000"/>
              </w:rPr>
              <w:t>Поліпшення якості доказів.</w:t>
            </w:r>
          </w:p>
          <w:p w:rsidR="00ED665B" w:rsidRPr="00907702" w:rsidRDefault="006C7D2F" w:rsidP="00C53235">
            <w:pPr>
              <w:ind w:right="197" w:firstLine="14"/>
              <w:rPr>
                <w:rFonts w:ascii="Calibri" w:hAnsi="Calibri" w:cs="Calibri"/>
              </w:rPr>
            </w:pPr>
            <w:r>
              <w:rPr>
                <w:rFonts w:ascii="Calibri" w:hAnsi="Calibri"/>
                <w:color w:val="000000"/>
              </w:rPr>
              <w:t>Збільшена сфера застосування рекомендації:</w:t>
            </w:r>
          </w:p>
          <w:p w:rsidR="00ED665B" w:rsidRPr="00907702" w:rsidRDefault="006C7D2F" w:rsidP="00C53235">
            <w:pPr>
              <w:ind w:left="224" w:right="197" w:hanging="210"/>
              <w:rPr>
                <w:rFonts w:ascii="Calibri" w:hAnsi="Calibri" w:cs="Calibri"/>
              </w:rPr>
            </w:pPr>
            <w:r>
              <w:rPr>
                <w:rFonts w:ascii="Calibri" w:hAnsi="Calibri"/>
                <w:color w:val="000000"/>
              </w:rPr>
              <w:t>– усі симптоматичні або важкохворі стаціонарні пацієнти, незалежно від кількості клітин CD4;</w:t>
            </w:r>
          </w:p>
          <w:p w:rsidR="00ED665B" w:rsidRPr="00907702" w:rsidRDefault="006C7D2F" w:rsidP="00C53235">
            <w:pPr>
              <w:ind w:left="224" w:right="197" w:hanging="210"/>
              <w:rPr>
                <w:rFonts w:ascii="Calibri" w:hAnsi="Calibri" w:cs="Calibri"/>
              </w:rPr>
            </w:pPr>
            <w:r>
              <w:rPr>
                <w:rFonts w:ascii="Calibri" w:hAnsi="Calibri"/>
                <w:color w:val="000000"/>
              </w:rPr>
              <w:t>– усі стаціонарні пацієнти з пізньою стадією ВІЛ-інфекції; і</w:t>
            </w:r>
          </w:p>
          <w:p w:rsidR="00ED665B" w:rsidRPr="00907702" w:rsidRDefault="006C7D2F" w:rsidP="00C53235">
            <w:pPr>
              <w:ind w:left="224" w:right="197" w:hanging="210"/>
              <w:rPr>
                <w:rFonts w:ascii="Calibri" w:hAnsi="Calibri" w:cs="Calibri"/>
              </w:rPr>
            </w:pPr>
            <w:r>
              <w:rPr>
                <w:rFonts w:ascii="Calibri" w:hAnsi="Calibri"/>
                <w:color w:val="000000"/>
              </w:rPr>
              <w:t>– стаціонарні пацієнти з ознаками та симптомами ТБ або без них, кількість клітин CD4 &lt;200.</w:t>
            </w:r>
          </w:p>
        </w:tc>
      </w:tr>
      <w:tr w:rsidR="00ED665B" w:rsidRPr="00907702" w:rsidTr="00B716E5">
        <w:trPr>
          <w:trHeight w:hRule="exact" w:val="2650"/>
        </w:trPr>
        <w:tc>
          <w:tcPr>
            <w:tcW w:w="4094" w:type="dxa"/>
            <w:tcBorders>
              <w:top w:val="single" w:sz="8" w:space="0" w:color="009649"/>
              <w:left w:val="nil"/>
              <w:bottom w:val="single" w:sz="8" w:space="0" w:color="009649"/>
              <w:right w:val="nil"/>
            </w:tcBorders>
            <w:shd w:val="clear" w:color="auto" w:fill="FFFFFF"/>
          </w:tcPr>
          <w:p w:rsidR="00ED665B" w:rsidRDefault="006C7D2F" w:rsidP="00DC2656">
            <w:pPr>
              <w:ind w:left="24" w:right="53"/>
              <w:rPr>
                <w:rFonts w:ascii="Calibri" w:hAnsi="Calibri" w:cs="Calibri"/>
                <w:color w:val="000000"/>
              </w:rPr>
            </w:pPr>
            <w:r>
              <w:rPr>
                <w:rFonts w:ascii="Calibri" w:hAnsi="Calibri"/>
                <w:color w:val="000000"/>
              </w:rPr>
              <w:t xml:space="preserve">Ця рекомендація стосується також ВІЛ-позитивних дорослих пацієнтів з ознаками та симптомами ТБ (легеневого та/або позалегеневого), у яких кількість клітин CD4 </w:t>
            </w:r>
            <w:r>
              <w:rPr>
                <w:rFonts w:ascii="Calibri" w:hAnsi="Calibri"/>
                <w:color w:val="000000"/>
              </w:rPr>
              <w:sym w:font="Symbol" w:char="F0A3"/>
            </w:r>
            <w:r>
              <w:rPr>
                <w:rFonts w:ascii="Calibri" w:hAnsi="Calibri"/>
                <w:color w:val="000000"/>
              </w:rPr>
              <w:t>100 клітин/мкл, або ВІЛ-позитивних важко хворих пацієнтів, незалежно від кількості клітин CD4, або з невідомим числом клітин CD4 на основі узагальнення даних стаціонарних пацієнтів.</w:t>
            </w:r>
          </w:p>
          <w:p w:rsidR="00C53235" w:rsidRPr="00907702" w:rsidRDefault="00C53235" w:rsidP="00DC2656">
            <w:pPr>
              <w:ind w:left="24" w:right="53"/>
              <w:rPr>
                <w:rFonts w:ascii="Calibri" w:hAnsi="Calibri" w:cs="Calibri"/>
              </w:rPr>
            </w:pPr>
          </w:p>
        </w:tc>
        <w:tc>
          <w:tcPr>
            <w:tcW w:w="5918" w:type="dxa"/>
            <w:tcBorders>
              <w:top w:val="single" w:sz="8" w:space="0" w:color="009649"/>
              <w:left w:val="nil"/>
              <w:bottom w:val="single" w:sz="8" w:space="0" w:color="009649"/>
              <w:right w:val="nil"/>
            </w:tcBorders>
            <w:shd w:val="clear" w:color="auto" w:fill="FFFFFF"/>
          </w:tcPr>
          <w:p w:rsidR="00ED665B" w:rsidRPr="00907702" w:rsidRDefault="006C7D2F" w:rsidP="00C53235">
            <w:pPr>
              <w:ind w:left="14" w:right="230"/>
              <w:rPr>
                <w:rFonts w:ascii="Calibri" w:hAnsi="Calibri" w:cs="Calibri"/>
              </w:rPr>
            </w:pPr>
            <w:r>
              <w:rPr>
                <w:rFonts w:ascii="Calibri" w:hAnsi="Calibri"/>
                <w:color w:val="000000"/>
              </w:rPr>
              <w:t>В амбулаторних умовах ВООЗ наполегливо рекомендує використовувати LF-LAM для діагностики активної форми ТБ у ВІЛ-позитивних дорослих, підлітків та дітей:</w:t>
            </w:r>
          </w:p>
          <w:p w:rsidR="00ED665B" w:rsidRPr="00907702" w:rsidRDefault="006C7D2F" w:rsidP="00C53235">
            <w:pPr>
              <w:tabs>
                <w:tab w:val="left" w:pos="250"/>
              </w:tabs>
              <w:ind w:left="224" w:right="230" w:hanging="210"/>
              <w:rPr>
                <w:rFonts w:ascii="Calibri" w:hAnsi="Calibri" w:cs="Calibri"/>
              </w:rPr>
            </w:pPr>
            <w:r>
              <w:rPr>
                <w:rFonts w:ascii="Calibri" w:hAnsi="Calibri"/>
                <w:color w:val="000000"/>
              </w:rPr>
              <w:t>•</w:t>
            </w:r>
            <w:r>
              <w:rPr>
                <w:rFonts w:ascii="Calibri" w:hAnsi="Calibri"/>
                <w:color w:val="000000"/>
              </w:rPr>
              <w:tab/>
              <w:t>з ознаками та симптомами ТБ (легеневого та/або позалегеневого), або важко хворих (умовна рекомендація; низька якість доказових даних щодо точності випробувань); та</w:t>
            </w:r>
          </w:p>
          <w:p w:rsidR="00ED665B" w:rsidRPr="00907702" w:rsidRDefault="006C7D2F" w:rsidP="00C53235">
            <w:pPr>
              <w:tabs>
                <w:tab w:val="left" w:pos="250"/>
              </w:tabs>
              <w:ind w:left="224" w:right="230" w:hanging="210"/>
              <w:rPr>
                <w:rFonts w:ascii="Calibri" w:hAnsi="Calibri" w:cs="Calibri"/>
              </w:rPr>
            </w:pPr>
            <w:r>
              <w:rPr>
                <w:rFonts w:ascii="Calibri" w:hAnsi="Calibri"/>
                <w:color w:val="000000"/>
              </w:rPr>
              <w:t>•</w:t>
            </w:r>
            <w:r>
              <w:rPr>
                <w:rFonts w:ascii="Calibri" w:hAnsi="Calibri"/>
                <w:color w:val="000000"/>
              </w:rPr>
              <w:tab/>
              <w:t>незалежно від ознак та симптомів ТБ, а також з кількістю клітин CD4 &lt;100 (умовна рекомендація; дуже низька якість доказових даних щодо точності випробувань).</w:t>
            </w:r>
          </w:p>
        </w:tc>
        <w:tc>
          <w:tcPr>
            <w:tcW w:w="4003" w:type="dxa"/>
            <w:tcBorders>
              <w:top w:val="single" w:sz="8" w:space="0" w:color="009649"/>
              <w:left w:val="nil"/>
              <w:bottom w:val="single" w:sz="8" w:space="0" w:color="009649"/>
              <w:right w:val="nil"/>
            </w:tcBorders>
            <w:shd w:val="clear" w:color="auto" w:fill="FFFFFF"/>
          </w:tcPr>
          <w:p w:rsidR="00ED665B" w:rsidRPr="00907702" w:rsidRDefault="006C7D2F" w:rsidP="00C53235">
            <w:pPr>
              <w:ind w:right="350"/>
              <w:rPr>
                <w:rFonts w:ascii="Calibri" w:hAnsi="Calibri" w:cs="Calibri"/>
              </w:rPr>
            </w:pPr>
            <w:r>
              <w:rPr>
                <w:rFonts w:ascii="Calibri" w:hAnsi="Calibri"/>
                <w:color w:val="000000"/>
              </w:rPr>
              <w:t>Збільшена сфера застосування рекомендації:</w:t>
            </w:r>
          </w:p>
          <w:p w:rsidR="00ED665B" w:rsidRPr="00907702" w:rsidRDefault="006C7D2F" w:rsidP="00C53235">
            <w:pPr>
              <w:ind w:left="224" w:right="350" w:hanging="210"/>
              <w:rPr>
                <w:rFonts w:ascii="Calibri" w:hAnsi="Calibri" w:cs="Calibri"/>
              </w:rPr>
            </w:pPr>
            <w:r>
              <w:rPr>
                <w:rFonts w:ascii="Calibri" w:hAnsi="Calibri"/>
                <w:color w:val="000000"/>
              </w:rPr>
              <w:t>– усі амбулаторні хворі з ознаками та симптомами ТБ або важкохворі; а також</w:t>
            </w:r>
          </w:p>
          <w:p w:rsidR="00ED665B" w:rsidRPr="00907702" w:rsidRDefault="006C7D2F" w:rsidP="00C53235">
            <w:pPr>
              <w:ind w:left="224" w:right="350" w:hanging="210"/>
              <w:rPr>
                <w:rFonts w:ascii="Calibri" w:hAnsi="Calibri" w:cs="Calibri"/>
              </w:rPr>
            </w:pPr>
            <w:r>
              <w:rPr>
                <w:rFonts w:ascii="Calibri" w:hAnsi="Calibri"/>
                <w:color w:val="000000"/>
              </w:rPr>
              <w:t>– амбулаторні хворі з кількістю клітин CD4 &lt;100, незалежно від ознак та симптомів ТБ.</w:t>
            </w:r>
          </w:p>
        </w:tc>
      </w:tr>
    </w:tbl>
    <w:p w:rsidR="00ED665B" w:rsidRPr="00907702" w:rsidRDefault="00ED665B" w:rsidP="00DC2656">
      <w:pPr>
        <w:rPr>
          <w:rFonts w:ascii="Calibri" w:hAnsi="Calibri" w:cs="Calibri"/>
        </w:rPr>
        <w:sectPr w:rsidR="00ED665B" w:rsidRPr="00907702" w:rsidSect="00B716E5">
          <w:headerReference w:type="even" r:id="rId220"/>
          <w:footerReference w:type="even" r:id="rId221"/>
          <w:pgSz w:w="16838" w:h="11904" w:orient="landscape"/>
          <w:pgMar w:top="1344" w:right="1402" w:bottom="2269" w:left="1421" w:header="720" w:footer="720" w:gutter="0"/>
          <w:cols w:space="60"/>
          <w:noEndnote/>
        </w:sectPr>
      </w:pPr>
    </w:p>
    <w:tbl>
      <w:tblPr>
        <w:tblW w:w="14031" w:type="dxa"/>
        <w:tblInd w:w="40" w:type="dxa"/>
        <w:tblLayout w:type="fixed"/>
        <w:tblCellMar>
          <w:left w:w="40" w:type="dxa"/>
          <w:right w:w="40" w:type="dxa"/>
        </w:tblCellMar>
        <w:tblLook w:val="0000" w:firstRow="0" w:lastRow="0" w:firstColumn="0" w:lastColumn="0" w:noHBand="0" w:noVBand="0"/>
      </w:tblPr>
      <w:tblGrid>
        <w:gridCol w:w="4133"/>
        <w:gridCol w:w="5909"/>
        <w:gridCol w:w="3989"/>
      </w:tblGrid>
      <w:tr w:rsidR="009B3894" w:rsidRPr="00C53235" w:rsidTr="009B3894">
        <w:trPr>
          <w:trHeight w:hRule="exact" w:val="1330"/>
        </w:trPr>
        <w:tc>
          <w:tcPr>
            <w:tcW w:w="413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C53235" w:rsidRDefault="009B3894" w:rsidP="009B3894">
            <w:pPr>
              <w:ind w:left="19" w:right="96" w:firstLine="5"/>
              <w:rPr>
                <w:rFonts w:ascii="Calibri" w:hAnsi="Calibri" w:cs="Calibri"/>
                <w:b/>
                <w:bCs/>
              </w:rPr>
            </w:pPr>
            <w:r>
              <w:rPr>
                <w:rFonts w:ascii="Calibri" w:hAnsi="Calibri"/>
                <w:b/>
                <w:color w:val="000000"/>
              </w:rPr>
              <w:lastRenderedPageBreak/>
              <w:t xml:space="preserve">Застосування ліпоарабіноманнанового тесту бокового зсуву (тест сечі LF-LAM) для діагностики та скринінгу туберкульозу у людей, які живуть з ВІЛ. </w:t>
            </w:r>
            <w:r w:rsidRPr="009B3894">
              <w:rPr>
                <w:rFonts w:ascii="Calibri" w:hAnsi="Calibri"/>
                <w:b/>
                <w:color w:val="000000"/>
              </w:rPr>
              <w:t xml:space="preserve">Рекомендації для регуляторних органів (2015) </w:t>
            </w:r>
            <w:r w:rsidRPr="009B3894">
              <w:rPr>
                <w:rFonts w:ascii="Calibri" w:hAnsi="Calibri"/>
                <w:b/>
                <w:i/>
                <w:color w:val="000000"/>
              </w:rPr>
              <w:t>(31)</w:t>
            </w:r>
          </w:p>
        </w:tc>
        <w:tc>
          <w:tcPr>
            <w:tcW w:w="5909"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C53235" w:rsidRDefault="009B3894" w:rsidP="009B3894">
            <w:pPr>
              <w:ind w:left="14" w:right="149" w:firstLine="19"/>
              <w:rPr>
                <w:rFonts w:ascii="Calibri" w:hAnsi="Calibri" w:cs="Calibri"/>
                <w:b/>
                <w:bCs/>
              </w:rPr>
            </w:pPr>
            <w:r w:rsidRPr="009B3894">
              <w:rPr>
                <w:rFonts w:ascii="Calibri" w:hAnsi="Calibri"/>
                <w:b/>
                <w:color w:val="000000"/>
              </w:rPr>
              <w:t xml:space="preserve">Ліпоарабіноманнановий тест бокового зсуву (LF-LAM) для діагностики активної форми туберкульозу у людей, які живуть з ВІЛ. Оновлення політики (2019) </w:t>
            </w:r>
            <w:r w:rsidRPr="009B3894">
              <w:rPr>
                <w:rFonts w:ascii="Calibri" w:hAnsi="Calibri"/>
                <w:b/>
                <w:i/>
                <w:color w:val="000000"/>
              </w:rPr>
              <w:t>(32)</w:t>
            </w:r>
          </w:p>
        </w:tc>
        <w:tc>
          <w:tcPr>
            <w:tcW w:w="3989"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C53235" w:rsidRDefault="009B3894" w:rsidP="009B3894">
            <w:pPr>
              <w:ind w:left="34"/>
              <w:rPr>
                <w:rFonts w:ascii="Calibri" w:hAnsi="Calibri" w:cs="Calibri"/>
                <w:b/>
                <w:bCs/>
              </w:rPr>
            </w:pPr>
            <w:r>
              <w:rPr>
                <w:rFonts w:ascii="Calibri" w:hAnsi="Calibri"/>
                <w:b/>
                <w:color w:val="000000"/>
              </w:rPr>
              <w:t>Зміни</w:t>
            </w:r>
          </w:p>
        </w:tc>
      </w:tr>
      <w:tr w:rsidR="00ED665B" w:rsidRPr="00907702" w:rsidTr="009B3894">
        <w:trPr>
          <w:trHeight w:hRule="exact" w:val="3154"/>
        </w:trPr>
        <w:tc>
          <w:tcPr>
            <w:tcW w:w="4133" w:type="dxa"/>
            <w:tcBorders>
              <w:top w:val="single" w:sz="8" w:space="0" w:color="009649"/>
              <w:left w:val="nil"/>
              <w:bottom w:val="single" w:sz="8" w:space="0" w:color="009649"/>
              <w:right w:val="nil"/>
            </w:tcBorders>
            <w:shd w:val="clear" w:color="auto" w:fill="FFFFFF"/>
          </w:tcPr>
          <w:p w:rsidR="00ED665B" w:rsidRPr="00907702" w:rsidRDefault="006C7D2F" w:rsidP="00DC2656">
            <w:pPr>
              <w:ind w:left="34" w:right="82"/>
              <w:rPr>
                <w:rFonts w:ascii="Calibri" w:hAnsi="Calibri" w:cs="Calibri"/>
              </w:rPr>
            </w:pPr>
            <w:r>
              <w:rPr>
                <w:rFonts w:ascii="Calibri" w:hAnsi="Calibri"/>
                <w:color w:val="000000"/>
              </w:rPr>
              <w:t>За винятком випадків, детально описаних нижче, для людей з ВІЛ-інфекцією з низькою кількістю клітин CD4 або важкохворих, LF-LAM не слід використовувати для діагностики ТБ (сильна рекомендація, низька якість доказових даних).</w:t>
            </w:r>
          </w:p>
        </w:tc>
        <w:tc>
          <w:tcPr>
            <w:tcW w:w="5909" w:type="dxa"/>
            <w:tcBorders>
              <w:top w:val="single" w:sz="8" w:space="0" w:color="009649"/>
              <w:left w:val="nil"/>
              <w:bottom w:val="single" w:sz="8" w:space="0" w:color="009649"/>
              <w:right w:val="nil"/>
            </w:tcBorders>
            <w:shd w:val="clear" w:color="auto" w:fill="FFFFFF"/>
          </w:tcPr>
          <w:p w:rsidR="00ED665B" w:rsidRPr="00907702" w:rsidRDefault="006C7D2F" w:rsidP="00C53235">
            <w:pPr>
              <w:ind w:left="10" w:right="130"/>
              <w:rPr>
                <w:rFonts w:ascii="Calibri" w:hAnsi="Calibri" w:cs="Calibri"/>
              </w:rPr>
            </w:pPr>
            <w:r>
              <w:rPr>
                <w:rFonts w:ascii="Calibri" w:hAnsi="Calibri"/>
                <w:b/>
                <w:color w:val="000000"/>
              </w:rPr>
              <w:t>В амбулаторних умовах</w:t>
            </w:r>
            <w:r>
              <w:rPr>
                <w:rFonts w:ascii="Calibri" w:hAnsi="Calibri"/>
                <w:color w:val="000000"/>
              </w:rPr>
              <w:t xml:space="preserve"> ВООЗ не рекомендує використовувати LF-LAM для діагностики активної форми ТБ у ВІЛ-позитивних дорослих, підлітків та дітей:</w:t>
            </w:r>
          </w:p>
          <w:p w:rsidR="00ED665B" w:rsidRPr="00907702" w:rsidRDefault="006C7D2F" w:rsidP="00C53235">
            <w:pPr>
              <w:tabs>
                <w:tab w:val="left" w:pos="230"/>
              </w:tabs>
              <w:ind w:left="167" w:right="130" w:hanging="157"/>
              <w:rPr>
                <w:rFonts w:ascii="Calibri" w:hAnsi="Calibri" w:cs="Calibri"/>
              </w:rPr>
            </w:pPr>
            <w:r>
              <w:rPr>
                <w:rFonts w:ascii="Calibri" w:hAnsi="Calibri"/>
                <w:color w:val="000000"/>
              </w:rPr>
              <w:t>•</w:t>
            </w:r>
            <w:r>
              <w:rPr>
                <w:rFonts w:ascii="Calibri" w:hAnsi="Calibri"/>
                <w:color w:val="000000"/>
              </w:rPr>
              <w:tab/>
              <w:t>без оцінки симптомів ТБ (сильна рекомендація; дуже низька якість доказових даних щодо точності тестування);</w:t>
            </w:r>
          </w:p>
          <w:p w:rsidR="00ED665B" w:rsidRPr="00907702" w:rsidRDefault="006C7D2F" w:rsidP="00C53235">
            <w:pPr>
              <w:tabs>
                <w:tab w:val="left" w:pos="230"/>
              </w:tabs>
              <w:ind w:left="167" w:right="130" w:hanging="157"/>
              <w:rPr>
                <w:rFonts w:ascii="Calibri" w:hAnsi="Calibri" w:cs="Calibri"/>
              </w:rPr>
            </w:pPr>
            <w:r>
              <w:rPr>
                <w:rFonts w:ascii="Calibri" w:hAnsi="Calibri"/>
                <w:color w:val="000000"/>
              </w:rPr>
              <w:t>•</w:t>
            </w:r>
            <w:r>
              <w:rPr>
                <w:rFonts w:ascii="Calibri" w:hAnsi="Calibri"/>
                <w:color w:val="000000"/>
              </w:rPr>
              <w:tab/>
              <w:t>без симптомів ТБ та з невідомою кількістю клітин CD4, або без симптомів ТБ та з кількістю клітин CD4 ≥200 (сильна рекомендація; дуже низька якість доказових даних щодо точності тестування); або</w:t>
            </w:r>
          </w:p>
          <w:p w:rsidR="00ED665B" w:rsidRPr="00907702" w:rsidRDefault="006C7D2F" w:rsidP="00C53235">
            <w:pPr>
              <w:tabs>
                <w:tab w:val="left" w:pos="230"/>
              </w:tabs>
              <w:ind w:left="167" w:right="130" w:hanging="157"/>
              <w:rPr>
                <w:rFonts w:ascii="Calibri" w:hAnsi="Calibri" w:cs="Calibri"/>
              </w:rPr>
            </w:pPr>
            <w:r>
              <w:rPr>
                <w:rFonts w:ascii="Calibri" w:hAnsi="Calibri"/>
                <w:color w:val="000000"/>
              </w:rPr>
              <w:t>•</w:t>
            </w:r>
            <w:r>
              <w:rPr>
                <w:rFonts w:ascii="Calibri" w:hAnsi="Calibri"/>
                <w:color w:val="000000"/>
              </w:rPr>
              <w:tab/>
              <w:t>без симптомів ТБ та з кількістю клітин CD4 100-200 (умовна рекомендація; дуже низька якість доказових даних щодо точності тестування).</w:t>
            </w:r>
          </w:p>
        </w:tc>
        <w:tc>
          <w:tcPr>
            <w:tcW w:w="3989" w:type="dxa"/>
            <w:tcBorders>
              <w:top w:val="single" w:sz="8" w:space="0" w:color="009649"/>
              <w:left w:val="nil"/>
              <w:bottom w:val="single" w:sz="8" w:space="0" w:color="009649"/>
              <w:right w:val="nil"/>
            </w:tcBorders>
            <w:shd w:val="clear" w:color="auto" w:fill="FFFFFF"/>
          </w:tcPr>
          <w:p w:rsidR="00ED665B" w:rsidRPr="00907702" w:rsidRDefault="006C7D2F" w:rsidP="00C53235">
            <w:pPr>
              <w:ind w:left="10" w:right="120"/>
              <w:rPr>
                <w:rFonts w:ascii="Calibri" w:hAnsi="Calibri" w:cs="Calibri"/>
              </w:rPr>
            </w:pPr>
            <w:r>
              <w:rPr>
                <w:rFonts w:ascii="Calibri" w:hAnsi="Calibri"/>
                <w:color w:val="000000"/>
              </w:rPr>
              <w:t>Краще визначення груп пацієнтів для негативної рекомендації проти використання LF-LAM.</w:t>
            </w:r>
          </w:p>
        </w:tc>
      </w:tr>
      <w:tr w:rsidR="00ED665B" w:rsidRPr="00907702" w:rsidTr="009B3894">
        <w:trPr>
          <w:trHeight w:hRule="exact" w:val="3446"/>
        </w:trPr>
        <w:tc>
          <w:tcPr>
            <w:tcW w:w="4133" w:type="dxa"/>
            <w:tcBorders>
              <w:top w:val="single" w:sz="8" w:space="0" w:color="009649"/>
              <w:left w:val="nil"/>
              <w:bottom w:val="single" w:sz="8" w:space="0" w:color="009649"/>
              <w:right w:val="nil"/>
            </w:tcBorders>
            <w:shd w:val="clear" w:color="auto" w:fill="FFFFFF"/>
          </w:tcPr>
          <w:p w:rsidR="00ED665B" w:rsidRPr="00907702" w:rsidRDefault="006C7D2F" w:rsidP="00DC2656">
            <w:pPr>
              <w:ind w:left="34" w:right="1075"/>
              <w:rPr>
                <w:rFonts w:ascii="Calibri" w:hAnsi="Calibri" w:cs="Calibri"/>
              </w:rPr>
            </w:pPr>
            <w:r>
              <w:rPr>
                <w:rFonts w:ascii="Calibri" w:hAnsi="Calibri"/>
                <w:color w:val="000000"/>
              </w:rPr>
              <w:t xml:space="preserve">LF-LAM </w:t>
            </w:r>
            <w:r>
              <w:rPr>
                <w:rFonts w:ascii="Calibri" w:hAnsi="Calibri"/>
                <w:b/>
                <w:color w:val="000000"/>
              </w:rPr>
              <w:t xml:space="preserve">не слід </w:t>
            </w:r>
            <w:r>
              <w:rPr>
                <w:rFonts w:ascii="Calibri" w:hAnsi="Calibri"/>
                <w:color w:val="000000"/>
              </w:rPr>
              <w:t>використовувати як скринінговий тест на ТБ (сильна рекомендація, низька якість доказових даних).</w:t>
            </w:r>
          </w:p>
        </w:tc>
        <w:tc>
          <w:tcPr>
            <w:tcW w:w="5909" w:type="dxa"/>
            <w:tcBorders>
              <w:top w:val="single" w:sz="8" w:space="0" w:color="009649"/>
              <w:left w:val="nil"/>
              <w:bottom w:val="single" w:sz="8" w:space="0" w:color="009649"/>
              <w:right w:val="nil"/>
            </w:tcBorders>
            <w:shd w:val="clear" w:color="auto" w:fill="FFFFFF"/>
          </w:tcPr>
          <w:p w:rsidR="00ED665B" w:rsidRPr="00907702" w:rsidRDefault="006C7D2F" w:rsidP="00C53235">
            <w:pPr>
              <w:ind w:left="10" w:right="384"/>
              <w:rPr>
                <w:rFonts w:ascii="Calibri" w:hAnsi="Calibri" w:cs="Calibri"/>
              </w:rPr>
            </w:pPr>
            <w:r>
              <w:rPr>
                <w:rFonts w:ascii="Calibri" w:hAnsi="Calibri"/>
                <w:color w:val="000000"/>
              </w:rPr>
              <w:t>Див. наведені вище рекомендації для застосування в амбулаторних та стаціонарних хворих, в яких LF-LAM пропонується для використання, незалежно від ознак і симптомів ТБ.</w:t>
            </w:r>
          </w:p>
          <w:p w:rsidR="00ED665B" w:rsidRPr="00907702" w:rsidRDefault="006C7D2F" w:rsidP="00C53235">
            <w:pPr>
              <w:ind w:left="10" w:right="384"/>
              <w:rPr>
                <w:rFonts w:ascii="Calibri" w:hAnsi="Calibri" w:cs="Calibri"/>
              </w:rPr>
            </w:pPr>
            <w:r>
              <w:rPr>
                <w:rFonts w:ascii="Calibri" w:hAnsi="Calibri"/>
                <w:color w:val="000000"/>
              </w:rPr>
              <w:t>Див. вище рекомендації для застосування в амбулаторних пацієнтів для ситуацій, в яких ВООЗ не рекомендує використання LF-LAM.</w:t>
            </w:r>
          </w:p>
        </w:tc>
        <w:tc>
          <w:tcPr>
            <w:tcW w:w="3989" w:type="dxa"/>
            <w:tcBorders>
              <w:top w:val="single" w:sz="8" w:space="0" w:color="009649"/>
              <w:left w:val="nil"/>
              <w:bottom w:val="single" w:sz="8" w:space="0" w:color="009649"/>
              <w:right w:val="nil"/>
            </w:tcBorders>
            <w:shd w:val="clear" w:color="auto" w:fill="FFFFFF"/>
          </w:tcPr>
          <w:p w:rsidR="00ED665B" w:rsidRPr="00907702" w:rsidRDefault="006C7D2F" w:rsidP="00C53235">
            <w:pPr>
              <w:ind w:left="10" w:right="86"/>
              <w:rPr>
                <w:rFonts w:ascii="Calibri" w:hAnsi="Calibri" w:cs="Calibri"/>
              </w:rPr>
            </w:pPr>
            <w:r>
              <w:rPr>
                <w:rFonts w:ascii="Calibri" w:hAnsi="Calibri"/>
                <w:color w:val="000000"/>
              </w:rPr>
              <w:t>Уточнення рекомендації щодо використання серед осіб з ознаками та симптомами ТБ та без них (тобто, незалежно від ознак та симптомів):</w:t>
            </w:r>
          </w:p>
          <w:p w:rsidR="00ED665B" w:rsidRPr="00907702" w:rsidRDefault="006C7D2F" w:rsidP="00C53235">
            <w:pPr>
              <w:ind w:left="167" w:right="86" w:hanging="157"/>
              <w:rPr>
                <w:rFonts w:ascii="Calibri" w:hAnsi="Calibri" w:cs="Calibri"/>
              </w:rPr>
            </w:pPr>
            <w:r>
              <w:rPr>
                <w:rFonts w:ascii="Calibri" w:hAnsi="Calibri"/>
                <w:color w:val="000000"/>
              </w:rPr>
              <w:t>– LF-LAM сильно рекомендується для пацієнтів з пізньою стадією ВІЛ-інфекції, а також людей, які мають кількість клітин CD4 &lt;200, незалежно від симптомів; та</w:t>
            </w:r>
          </w:p>
          <w:p w:rsidR="00ED665B" w:rsidRPr="00907702" w:rsidRDefault="00382A93" w:rsidP="00C53235">
            <w:pPr>
              <w:ind w:left="167" w:right="86" w:hanging="157"/>
              <w:rPr>
                <w:rFonts w:ascii="Calibri" w:hAnsi="Calibri" w:cs="Calibri"/>
              </w:rPr>
            </w:pPr>
            <w:r>
              <w:rPr>
                <w:rFonts w:ascii="Calibri" w:hAnsi="Calibri"/>
                <w:color w:val="000000"/>
              </w:rPr>
              <w:t xml:space="preserve">– </w:t>
            </w:r>
            <w:r w:rsidR="006C7D2F">
              <w:rPr>
                <w:rFonts w:ascii="Calibri" w:hAnsi="Calibri"/>
                <w:color w:val="000000"/>
              </w:rPr>
              <w:t>LF-LAM пропонується для амбулаторних пацієнтів із кількістю клітин CD4 &lt;100, незалежно від симптомів.</w:t>
            </w:r>
          </w:p>
          <w:p w:rsidR="00ED665B" w:rsidRPr="00907702" w:rsidRDefault="006C7D2F" w:rsidP="00C53235">
            <w:pPr>
              <w:ind w:left="10" w:right="86"/>
              <w:rPr>
                <w:rFonts w:ascii="Calibri" w:hAnsi="Calibri" w:cs="Calibri"/>
              </w:rPr>
            </w:pPr>
            <w:r>
              <w:rPr>
                <w:rFonts w:ascii="Calibri" w:hAnsi="Calibri"/>
                <w:color w:val="000000"/>
              </w:rPr>
              <w:t>Див. вище для пацієнтів з рекомендаціями проти використання.</w:t>
            </w:r>
          </w:p>
        </w:tc>
      </w:tr>
    </w:tbl>
    <w:p w:rsidR="00ED665B" w:rsidRPr="00907702" w:rsidRDefault="00ED665B" w:rsidP="00DC2656">
      <w:pPr>
        <w:rPr>
          <w:rFonts w:ascii="Calibri" w:hAnsi="Calibri" w:cs="Calibri"/>
        </w:rPr>
        <w:sectPr w:rsidR="00ED665B" w:rsidRPr="00907702" w:rsidSect="00C53235">
          <w:headerReference w:type="default" r:id="rId222"/>
          <w:footerReference w:type="default" r:id="rId223"/>
          <w:pgSz w:w="16838" w:h="11904" w:orient="landscape"/>
          <w:pgMar w:top="1421" w:right="1402" w:bottom="851" w:left="1406" w:header="720" w:footer="720" w:gutter="0"/>
          <w:cols w:space="60"/>
          <w:noEndnote/>
        </w:sectPr>
      </w:pPr>
    </w:p>
    <w:tbl>
      <w:tblPr>
        <w:tblW w:w="14083" w:type="dxa"/>
        <w:tblInd w:w="40" w:type="dxa"/>
        <w:tblLayout w:type="fixed"/>
        <w:tblCellMar>
          <w:left w:w="40" w:type="dxa"/>
          <w:right w:w="40" w:type="dxa"/>
        </w:tblCellMar>
        <w:tblLook w:val="0000" w:firstRow="0" w:lastRow="0" w:firstColumn="0" w:lastColumn="0" w:noHBand="0" w:noVBand="0"/>
      </w:tblPr>
      <w:tblGrid>
        <w:gridCol w:w="4094"/>
        <w:gridCol w:w="5986"/>
        <w:gridCol w:w="4003"/>
      </w:tblGrid>
      <w:tr w:rsidR="009B3894" w:rsidRPr="00C53235" w:rsidTr="009B3894">
        <w:trPr>
          <w:trHeight w:hRule="exact" w:val="1368"/>
        </w:trPr>
        <w:tc>
          <w:tcPr>
            <w:tcW w:w="409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C53235" w:rsidRDefault="009B3894" w:rsidP="009B3894">
            <w:pPr>
              <w:ind w:left="19" w:right="96" w:firstLine="5"/>
              <w:rPr>
                <w:rFonts w:ascii="Calibri" w:hAnsi="Calibri" w:cs="Calibri"/>
                <w:b/>
                <w:bCs/>
              </w:rPr>
            </w:pPr>
            <w:r>
              <w:rPr>
                <w:rFonts w:ascii="Calibri" w:hAnsi="Calibri"/>
                <w:b/>
                <w:color w:val="000000"/>
              </w:rPr>
              <w:lastRenderedPageBreak/>
              <w:t xml:space="preserve">Застосування ліпоарабіноманнанового тесту бокового зсуву (тест сечі LF-LAM) для діагностики та скринінгу туберкульозу у людей, які живуть з ВІЛ. </w:t>
            </w:r>
            <w:r w:rsidRPr="009B3894">
              <w:rPr>
                <w:rFonts w:ascii="Calibri" w:hAnsi="Calibri"/>
                <w:b/>
                <w:color w:val="000000"/>
              </w:rPr>
              <w:t xml:space="preserve">Рекомендації для регуляторних органів (2015) </w:t>
            </w:r>
            <w:r w:rsidRPr="009B3894">
              <w:rPr>
                <w:rFonts w:ascii="Calibri" w:hAnsi="Calibri"/>
                <w:b/>
                <w:i/>
                <w:color w:val="000000"/>
              </w:rPr>
              <w:t>(31)</w:t>
            </w:r>
          </w:p>
        </w:tc>
        <w:tc>
          <w:tcPr>
            <w:tcW w:w="5986"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C53235" w:rsidRDefault="009B3894" w:rsidP="009B3894">
            <w:pPr>
              <w:ind w:left="14" w:right="149" w:firstLine="19"/>
              <w:rPr>
                <w:rFonts w:ascii="Calibri" w:hAnsi="Calibri" w:cs="Calibri"/>
                <w:b/>
                <w:bCs/>
              </w:rPr>
            </w:pPr>
            <w:r w:rsidRPr="009B3894">
              <w:rPr>
                <w:rFonts w:ascii="Calibri" w:hAnsi="Calibri"/>
                <w:b/>
                <w:color w:val="000000"/>
              </w:rPr>
              <w:t xml:space="preserve">Ліпоарабіноманнановий тест бокового зсуву (LF-LAM) для діагностики активної форми туберкульозу у людей, які живуть з ВІЛ. Оновлення політики (2019) </w:t>
            </w:r>
            <w:r w:rsidRPr="009B3894">
              <w:rPr>
                <w:rFonts w:ascii="Calibri" w:hAnsi="Calibri"/>
                <w:b/>
                <w:i/>
                <w:color w:val="000000"/>
              </w:rPr>
              <w:t>(32)</w:t>
            </w:r>
          </w:p>
        </w:tc>
        <w:tc>
          <w:tcPr>
            <w:tcW w:w="400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9B3894" w:rsidRPr="00C53235" w:rsidRDefault="009B3894" w:rsidP="009B3894">
            <w:pPr>
              <w:ind w:left="19"/>
              <w:rPr>
                <w:rFonts w:ascii="Calibri" w:hAnsi="Calibri" w:cs="Calibri"/>
                <w:b/>
                <w:bCs/>
              </w:rPr>
            </w:pPr>
            <w:r>
              <w:rPr>
                <w:rFonts w:ascii="Calibri" w:hAnsi="Calibri"/>
                <w:b/>
                <w:color w:val="000000"/>
              </w:rPr>
              <w:t>Зміни</w:t>
            </w:r>
          </w:p>
        </w:tc>
      </w:tr>
      <w:tr w:rsidR="00ED665B" w:rsidRPr="00907702" w:rsidTr="009B3894">
        <w:trPr>
          <w:trHeight w:hRule="exact" w:val="2021"/>
        </w:trPr>
        <w:tc>
          <w:tcPr>
            <w:tcW w:w="4094" w:type="dxa"/>
            <w:tcBorders>
              <w:top w:val="single" w:sz="8" w:space="0" w:color="009649"/>
              <w:left w:val="nil"/>
              <w:bottom w:val="single" w:sz="8" w:space="0" w:color="009649"/>
              <w:right w:val="nil"/>
            </w:tcBorders>
            <w:shd w:val="clear" w:color="auto" w:fill="FFFFFF"/>
          </w:tcPr>
          <w:p w:rsidR="00ED665B" w:rsidRPr="00907702" w:rsidRDefault="006C7D2F" w:rsidP="00DC2656">
            <w:pPr>
              <w:ind w:left="58" w:right="120"/>
              <w:rPr>
                <w:rFonts w:ascii="Calibri" w:hAnsi="Calibri" w:cs="Calibri"/>
              </w:rPr>
            </w:pPr>
            <w:r>
              <w:rPr>
                <w:rFonts w:ascii="Calibri" w:hAnsi="Calibri"/>
                <w:color w:val="000000"/>
              </w:rPr>
              <w:t>Ці рекомендації стосуються також ВІЛ-позитивних дітей з ознаками та симптомами ТБ (легеневого та/або позалегеневого) на основі узагальнення даних від дорослих, беручи до уваги дуже обмежені дані та стурбованість щодо низької специфічності аналізу LF-LAM у дітей.</w:t>
            </w:r>
          </w:p>
        </w:tc>
        <w:tc>
          <w:tcPr>
            <w:tcW w:w="5986" w:type="dxa"/>
            <w:tcBorders>
              <w:top w:val="single" w:sz="8" w:space="0" w:color="009649"/>
              <w:left w:val="nil"/>
              <w:bottom w:val="single" w:sz="8" w:space="0" w:color="009649"/>
              <w:right w:val="nil"/>
            </w:tcBorders>
            <w:shd w:val="clear" w:color="auto" w:fill="FFFFFF"/>
          </w:tcPr>
          <w:p w:rsidR="00ED665B" w:rsidRPr="00907702" w:rsidRDefault="006C7D2F" w:rsidP="00DC2656">
            <w:pPr>
              <w:ind w:left="58" w:right="58" w:hanging="5"/>
              <w:rPr>
                <w:rFonts w:ascii="Calibri" w:hAnsi="Calibri" w:cs="Calibri"/>
              </w:rPr>
            </w:pPr>
            <w:r>
              <w:rPr>
                <w:rFonts w:ascii="Calibri" w:hAnsi="Calibri"/>
                <w:color w:val="000000"/>
              </w:rPr>
              <w:t>Ці рекомендації стосуються також підлітків та дітей, які живуть з ВІЛ, на основі узагальнення даних від дорослих, визнаючи, що дані для цих груп населення обмежені.</w:t>
            </w:r>
          </w:p>
        </w:tc>
        <w:tc>
          <w:tcPr>
            <w:tcW w:w="4003" w:type="dxa"/>
            <w:tcBorders>
              <w:top w:val="single" w:sz="8" w:space="0" w:color="009649"/>
              <w:left w:val="nil"/>
              <w:bottom w:val="single" w:sz="8" w:space="0" w:color="009649"/>
              <w:right w:val="nil"/>
            </w:tcBorders>
            <w:shd w:val="clear" w:color="auto" w:fill="FFFFFF"/>
          </w:tcPr>
          <w:p w:rsidR="00ED665B" w:rsidRPr="00907702" w:rsidRDefault="00ED665B" w:rsidP="00DC2656">
            <w:pPr>
              <w:rPr>
                <w:rFonts w:ascii="Calibri" w:hAnsi="Calibri" w:cs="Calibri"/>
              </w:rPr>
            </w:pPr>
          </w:p>
        </w:tc>
      </w:tr>
      <w:tr w:rsidR="00ED665B" w:rsidRPr="00907702" w:rsidTr="009B3894">
        <w:trPr>
          <w:trHeight w:hRule="exact" w:val="1444"/>
        </w:trPr>
        <w:tc>
          <w:tcPr>
            <w:tcW w:w="14083" w:type="dxa"/>
            <w:gridSpan w:val="3"/>
            <w:tcBorders>
              <w:top w:val="single" w:sz="8" w:space="0" w:color="009649"/>
              <w:left w:val="nil"/>
              <w:bottom w:val="nil"/>
              <w:right w:val="nil"/>
            </w:tcBorders>
            <w:shd w:val="clear" w:color="auto" w:fill="FFFFFF"/>
          </w:tcPr>
          <w:p w:rsidR="00ED665B" w:rsidRPr="00907702" w:rsidRDefault="006C7D2F" w:rsidP="00382A93">
            <w:pPr>
              <w:spacing w:before="120"/>
              <w:rPr>
                <w:rFonts w:ascii="Calibri" w:hAnsi="Calibri" w:cs="Calibri"/>
              </w:rPr>
            </w:pPr>
            <w:r>
              <w:rPr>
                <w:rFonts w:ascii="Calibri" w:hAnsi="Calibri"/>
                <w:color w:val="000000"/>
                <w:sz w:val="16"/>
              </w:rPr>
              <w:t>ВІЛ: вірус імунодефіциту людини; LF-LAM: ліпоарабіноманнановий тест бокового зсуву; ТБ: туберкульоз; ВООЗ: Всесвітня організація охорони здоров’я.</w:t>
            </w:r>
          </w:p>
          <w:p w:rsidR="00382A93" w:rsidRDefault="006C7D2F" w:rsidP="00382A93">
            <w:pPr>
              <w:ind w:left="92" w:hanging="92"/>
              <w:rPr>
                <w:rFonts w:ascii="Calibri" w:hAnsi="Calibri"/>
                <w:color w:val="000000"/>
                <w:sz w:val="16"/>
              </w:rPr>
            </w:pPr>
            <w:r>
              <w:rPr>
                <w:rFonts w:ascii="Calibri" w:hAnsi="Calibri"/>
                <w:color w:val="000000"/>
                <w:sz w:val="16"/>
                <w:vertAlign w:val="superscript"/>
              </w:rPr>
              <w:t>а</w:t>
            </w:r>
            <w:r>
              <w:rPr>
                <w:rFonts w:ascii="Calibri" w:hAnsi="Calibri"/>
                <w:color w:val="000000"/>
                <w:sz w:val="16"/>
              </w:rPr>
              <w:t xml:space="preserve"> «Тяжко хворий» визначається на основі чотирьох ознак: частота дихання більше 30/хвилину, температура тіла понад 39°C, частота серцевих скорочень більше 120/хвилину і неможливість ходити без сторонньої допомоги. </w:t>
            </w:r>
          </w:p>
          <w:p w:rsidR="00ED665B" w:rsidRPr="00907702" w:rsidRDefault="006C7D2F" w:rsidP="00382A93">
            <w:pPr>
              <w:ind w:left="92" w:hanging="92"/>
              <w:rPr>
                <w:rFonts w:ascii="Calibri" w:hAnsi="Calibri" w:cs="Calibri"/>
              </w:rPr>
            </w:pPr>
            <w:r>
              <w:rPr>
                <w:rFonts w:ascii="Calibri" w:hAnsi="Calibri"/>
                <w:color w:val="000000"/>
                <w:sz w:val="16"/>
                <w:vertAlign w:val="superscript"/>
              </w:rPr>
              <w:t>b</w:t>
            </w:r>
            <w:r>
              <w:rPr>
                <w:rFonts w:ascii="Calibri" w:hAnsi="Calibri"/>
                <w:color w:val="000000"/>
                <w:sz w:val="16"/>
              </w:rPr>
              <w:t xml:space="preserve"> Пізня стадія ВІЛ-інфекції: для дорослих, підлітків і дітей віком від 5 років «пізня стадія ВІЛ-інфекції» визначається при числі клітин CD4 менше 200 клітин/мм3 або клінічній стадії 3 або 4 за класифікацією ВООЗ на момент звернення за медичною допомогою. Усі діти, хворі на ВІЛ, віком до 5 років повинні розглядатися як такі, що мають прогресуюче захворювання на момент звернення за медичною допомогою.</w:t>
            </w:r>
          </w:p>
        </w:tc>
      </w:tr>
    </w:tbl>
    <w:p w:rsidR="00ED665B" w:rsidRPr="00907702" w:rsidRDefault="00ED665B" w:rsidP="00DC2656">
      <w:pPr>
        <w:rPr>
          <w:rFonts w:ascii="Calibri" w:hAnsi="Calibri" w:cs="Calibri"/>
        </w:rPr>
        <w:sectPr w:rsidR="00ED665B" w:rsidRPr="00907702" w:rsidSect="00C53235">
          <w:pgSz w:w="16838" w:h="11904" w:orient="landscape"/>
          <w:pgMar w:top="1397" w:right="1373" w:bottom="1418" w:left="1382" w:header="720" w:footer="720" w:gutter="0"/>
          <w:cols w:space="60"/>
          <w:noEndnote/>
        </w:sectPr>
      </w:pPr>
    </w:p>
    <w:p w:rsidR="00ED665B" w:rsidRPr="00C53235" w:rsidRDefault="006C7D2F" w:rsidP="00DC2656">
      <w:pPr>
        <w:ind w:left="24"/>
        <w:rPr>
          <w:rFonts w:ascii="Calibri" w:hAnsi="Calibri" w:cs="Calibri"/>
          <w:b/>
          <w:bCs/>
        </w:rPr>
      </w:pPr>
      <w:bookmarkStart w:id="18" w:name="bookmark22"/>
      <w:r>
        <w:rPr>
          <w:rFonts w:ascii="Calibri" w:hAnsi="Calibri"/>
          <w:b/>
          <w:color w:val="009649"/>
          <w:sz w:val="26"/>
        </w:rPr>
        <w:lastRenderedPageBreak/>
        <w:t>П</w:t>
      </w:r>
      <w:bookmarkEnd w:id="18"/>
      <w:r>
        <w:rPr>
          <w:rFonts w:ascii="Calibri" w:hAnsi="Calibri"/>
          <w:b/>
          <w:color w:val="009649"/>
          <w:sz w:val="26"/>
        </w:rPr>
        <w:t>ріоритети наукових досліджень</w:t>
      </w:r>
    </w:p>
    <w:p w:rsidR="00ED665B" w:rsidRPr="00907702" w:rsidRDefault="006C7D2F" w:rsidP="00382A93">
      <w:pPr>
        <w:numPr>
          <w:ilvl w:val="0"/>
          <w:numId w:val="12"/>
        </w:numPr>
        <w:tabs>
          <w:tab w:val="left" w:pos="240"/>
        </w:tabs>
        <w:spacing w:before="168"/>
        <w:ind w:left="240" w:hanging="221"/>
        <w:jc w:val="both"/>
        <w:rPr>
          <w:rFonts w:ascii="Calibri" w:hAnsi="Calibri" w:cs="Calibri"/>
          <w:color w:val="009649"/>
          <w:sz w:val="22"/>
          <w:szCs w:val="22"/>
        </w:rPr>
      </w:pPr>
      <w:r>
        <w:rPr>
          <w:rFonts w:ascii="Calibri" w:hAnsi="Calibri"/>
          <w:color w:val="000000"/>
          <w:sz w:val="22"/>
        </w:rPr>
        <w:t>Розробка простих, більш точних тестів, заснованих на виявленні LAM, з потенціалом використання для ВІЛ-негативних груп населення.</w:t>
      </w:r>
    </w:p>
    <w:p w:rsidR="00ED665B" w:rsidRPr="00907702" w:rsidRDefault="006C7D2F" w:rsidP="00382A93">
      <w:pPr>
        <w:numPr>
          <w:ilvl w:val="0"/>
          <w:numId w:val="12"/>
        </w:numPr>
        <w:tabs>
          <w:tab w:val="left" w:pos="240"/>
        </w:tabs>
        <w:ind w:left="19"/>
        <w:jc w:val="both"/>
        <w:rPr>
          <w:rFonts w:ascii="Calibri" w:hAnsi="Calibri" w:cs="Calibri"/>
          <w:color w:val="009649"/>
          <w:sz w:val="22"/>
          <w:szCs w:val="22"/>
        </w:rPr>
      </w:pPr>
      <w:r>
        <w:rPr>
          <w:rFonts w:ascii="Calibri" w:hAnsi="Calibri"/>
          <w:color w:val="000000"/>
          <w:sz w:val="22"/>
        </w:rPr>
        <w:t>Оцінка використання LF-LAM у ЛЖВ без ознак та симптомів ТБ.</w:t>
      </w:r>
    </w:p>
    <w:p w:rsidR="00ED665B" w:rsidRPr="00907702" w:rsidRDefault="006C7D2F" w:rsidP="00382A93">
      <w:pPr>
        <w:numPr>
          <w:ilvl w:val="0"/>
          <w:numId w:val="12"/>
        </w:numPr>
        <w:tabs>
          <w:tab w:val="left" w:pos="240"/>
        </w:tabs>
        <w:ind w:left="19"/>
        <w:jc w:val="both"/>
        <w:rPr>
          <w:rFonts w:ascii="Calibri" w:hAnsi="Calibri" w:cs="Calibri"/>
          <w:color w:val="009649"/>
          <w:sz w:val="22"/>
          <w:szCs w:val="22"/>
        </w:rPr>
      </w:pPr>
      <w:r>
        <w:rPr>
          <w:rFonts w:ascii="Calibri" w:hAnsi="Calibri"/>
          <w:color w:val="000000"/>
          <w:sz w:val="22"/>
        </w:rPr>
        <w:t>Оцінка використання LF-LAM у дітей та підлітків із ВІЛ.</w:t>
      </w:r>
    </w:p>
    <w:p w:rsidR="00ED665B" w:rsidRPr="00907702" w:rsidRDefault="006C7D2F" w:rsidP="00382A93">
      <w:pPr>
        <w:numPr>
          <w:ilvl w:val="0"/>
          <w:numId w:val="12"/>
        </w:numPr>
        <w:tabs>
          <w:tab w:val="left" w:pos="240"/>
        </w:tabs>
        <w:ind w:left="240" w:hanging="221"/>
        <w:jc w:val="both"/>
        <w:rPr>
          <w:rFonts w:ascii="Calibri" w:hAnsi="Calibri" w:cs="Calibri"/>
          <w:color w:val="009649"/>
          <w:sz w:val="22"/>
          <w:szCs w:val="22"/>
        </w:rPr>
      </w:pPr>
      <w:r>
        <w:rPr>
          <w:rFonts w:ascii="Calibri" w:hAnsi="Calibri"/>
          <w:color w:val="000000"/>
          <w:sz w:val="22"/>
        </w:rPr>
        <w:t>Оцінка поєднання паралельного використання LF-LAM та швидкої якісної системи підрахунку клітин CD4.</w:t>
      </w:r>
    </w:p>
    <w:p w:rsidR="00ED665B" w:rsidRPr="00907702" w:rsidRDefault="006C7D2F" w:rsidP="00382A93">
      <w:pPr>
        <w:numPr>
          <w:ilvl w:val="0"/>
          <w:numId w:val="12"/>
        </w:numPr>
        <w:tabs>
          <w:tab w:val="left" w:pos="240"/>
        </w:tabs>
        <w:ind w:left="240" w:hanging="221"/>
        <w:jc w:val="both"/>
        <w:rPr>
          <w:rFonts w:ascii="Calibri" w:hAnsi="Calibri" w:cs="Calibri"/>
          <w:color w:val="009649"/>
          <w:sz w:val="22"/>
          <w:szCs w:val="22"/>
        </w:rPr>
      </w:pPr>
      <w:r>
        <w:rPr>
          <w:rFonts w:ascii="Calibri" w:hAnsi="Calibri"/>
          <w:color w:val="000000"/>
          <w:sz w:val="22"/>
        </w:rPr>
        <w:t>Проведення дослідження впровадження прийнятності, масштабування і впливу LF-LAM у звичайних клінічних умовах.</w:t>
      </w:r>
    </w:p>
    <w:p w:rsidR="00ED665B" w:rsidRPr="00907702" w:rsidRDefault="006C7D2F" w:rsidP="00382A93">
      <w:pPr>
        <w:numPr>
          <w:ilvl w:val="0"/>
          <w:numId w:val="12"/>
        </w:numPr>
        <w:tabs>
          <w:tab w:val="left" w:pos="240"/>
        </w:tabs>
        <w:ind w:left="240" w:hanging="221"/>
        <w:jc w:val="both"/>
        <w:rPr>
          <w:rFonts w:ascii="Calibri" w:hAnsi="Calibri" w:cs="Calibri"/>
          <w:color w:val="009649"/>
          <w:sz w:val="22"/>
          <w:szCs w:val="22"/>
        </w:rPr>
      </w:pPr>
      <w:r>
        <w:rPr>
          <w:rFonts w:ascii="Calibri" w:hAnsi="Calibri"/>
          <w:color w:val="000000"/>
          <w:sz w:val="22"/>
        </w:rPr>
        <w:t>Проведення якісного дослідження перспектив користувача LF-LAM щодо питань доцільності, доступності та рівності.</w:t>
      </w:r>
    </w:p>
    <w:p w:rsidR="00ED665B" w:rsidRPr="00907702" w:rsidRDefault="006C7D2F" w:rsidP="00382A93">
      <w:pPr>
        <w:numPr>
          <w:ilvl w:val="0"/>
          <w:numId w:val="12"/>
        </w:numPr>
        <w:tabs>
          <w:tab w:val="left" w:pos="240"/>
        </w:tabs>
        <w:ind w:left="19"/>
        <w:jc w:val="both"/>
        <w:rPr>
          <w:rFonts w:ascii="Calibri" w:hAnsi="Calibri" w:cs="Calibri"/>
          <w:color w:val="009649"/>
          <w:sz w:val="22"/>
          <w:szCs w:val="22"/>
        </w:rPr>
      </w:pPr>
      <w:r>
        <w:rPr>
          <w:rFonts w:ascii="Calibri" w:hAnsi="Calibri"/>
          <w:color w:val="000000"/>
          <w:sz w:val="22"/>
        </w:rPr>
        <w:t>Проведення дослідження впровадження LF-LAM, інтегрованого в пакети допомоги при ВІЛ.</w:t>
      </w:r>
    </w:p>
    <w:p w:rsidR="00ED665B" w:rsidRPr="00907702" w:rsidRDefault="006C7D2F" w:rsidP="00382A93">
      <w:pPr>
        <w:numPr>
          <w:ilvl w:val="0"/>
          <w:numId w:val="12"/>
        </w:numPr>
        <w:tabs>
          <w:tab w:val="left" w:pos="240"/>
        </w:tabs>
        <w:ind w:left="240" w:hanging="221"/>
        <w:jc w:val="both"/>
        <w:rPr>
          <w:rFonts w:ascii="Calibri" w:hAnsi="Calibri" w:cs="Calibri"/>
          <w:color w:val="009649"/>
          <w:sz w:val="22"/>
          <w:szCs w:val="22"/>
        </w:rPr>
      </w:pPr>
      <w:r>
        <w:rPr>
          <w:rFonts w:ascii="Calibri" w:hAnsi="Calibri"/>
          <w:color w:val="000000"/>
          <w:sz w:val="22"/>
        </w:rPr>
        <w:t>Оцінка ефективності LF-LAM в ході розвитку епідемії ВІЛ-інфекції та госпіталізації більшого числа людей, які отримують лікування з придушенням вірусного навантаження.</w:t>
      </w:r>
    </w:p>
    <w:p w:rsidR="00ED665B" w:rsidRPr="00907702" w:rsidRDefault="006C7D2F" w:rsidP="00382A93">
      <w:pPr>
        <w:numPr>
          <w:ilvl w:val="0"/>
          <w:numId w:val="12"/>
        </w:numPr>
        <w:tabs>
          <w:tab w:val="left" w:pos="240"/>
        </w:tabs>
        <w:ind w:left="19"/>
        <w:jc w:val="both"/>
        <w:rPr>
          <w:rFonts w:ascii="Calibri" w:hAnsi="Calibri" w:cs="Calibri"/>
          <w:color w:val="009649"/>
          <w:sz w:val="22"/>
          <w:szCs w:val="22"/>
        </w:rPr>
      </w:pPr>
      <w:r>
        <w:rPr>
          <w:rFonts w:ascii="Calibri" w:hAnsi="Calibri"/>
          <w:color w:val="000000"/>
          <w:sz w:val="22"/>
        </w:rPr>
        <w:t>Оцінка співвідношення витрати / ефективність LF-LAM.</w:t>
      </w:r>
    </w:p>
    <w:p w:rsidR="00ED665B" w:rsidRPr="00907702" w:rsidRDefault="006C7D2F" w:rsidP="00382A93">
      <w:pPr>
        <w:numPr>
          <w:ilvl w:val="0"/>
          <w:numId w:val="12"/>
        </w:numPr>
        <w:tabs>
          <w:tab w:val="left" w:pos="240"/>
        </w:tabs>
        <w:ind w:left="19"/>
        <w:jc w:val="both"/>
        <w:rPr>
          <w:rFonts w:ascii="Calibri" w:hAnsi="Calibri" w:cs="Calibri"/>
          <w:color w:val="009649"/>
          <w:sz w:val="22"/>
          <w:szCs w:val="22"/>
        </w:rPr>
      </w:pPr>
      <w:r>
        <w:rPr>
          <w:rFonts w:ascii="Calibri" w:hAnsi="Calibri"/>
          <w:color w:val="000000"/>
          <w:sz w:val="22"/>
        </w:rPr>
        <w:t>Оцінка інших швидких тестів на основі LAM, таких як FujiLAM.</w:t>
      </w:r>
    </w:p>
    <w:p w:rsidR="00ED665B" w:rsidRPr="00C53235" w:rsidRDefault="006C7D2F" w:rsidP="00DC2656">
      <w:pPr>
        <w:spacing w:before="312"/>
        <w:ind w:left="14" w:right="461"/>
        <w:rPr>
          <w:rFonts w:ascii="Calibri" w:hAnsi="Calibri" w:cs="Calibri"/>
          <w:b/>
          <w:bCs/>
        </w:rPr>
      </w:pPr>
      <w:r>
        <w:rPr>
          <w:rFonts w:ascii="Calibri" w:hAnsi="Calibri"/>
          <w:b/>
          <w:color w:val="009649"/>
          <w:sz w:val="38"/>
        </w:rPr>
        <w:t>2.3. Подальші діагностичні тести для виявлення додаткової медикаментозної резистентності</w:t>
      </w:r>
    </w:p>
    <w:p w:rsidR="00ED665B" w:rsidRPr="00C53235" w:rsidRDefault="006C7D2F" w:rsidP="00DC2656">
      <w:pPr>
        <w:spacing w:before="206"/>
        <w:ind w:left="24" w:right="461"/>
        <w:rPr>
          <w:rFonts w:ascii="Calibri" w:hAnsi="Calibri" w:cs="Calibri"/>
          <w:b/>
          <w:bCs/>
        </w:rPr>
      </w:pPr>
      <w:r>
        <w:rPr>
          <w:rFonts w:ascii="Calibri" w:hAnsi="Calibri"/>
          <w:b/>
          <w:color w:val="009649"/>
          <w:sz w:val="26"/>
        </w:rPr>
        <w:t xml:space="preserve">Автоматизовані ТАНК низької складності для виявлення резистентності до ізоніазидів та протитуберкульозних препаратів другого ряду </w:t>
      </w:r>
      <w:r w:rsidR="00382A93" w:rsidRPr="00382A93">
        <w:rPr>
          <w:rFonts w:ascii="Calibri" w:hAnsi="Calibri"/>
          <w:b/>
          <w:color w:val="009649"/>
          <w:sz w:val="26"/>
          <w:shd w:val="clear" w:color="auto" w:fill="009649"/>
        </w:rPr>
        <w:t xml:space="preserve"> </w:t>
      </w:r>
      <w:r>
        <w:rPr>
          <w:rFonts w:ascii="Calibri" w:hAnsi="Calibri"/>
          <w:b/>
          <w:color w:val="FFFFFF"/>
          <w:sz w:val="26"/>
          <w:shd w:val="clear" w:color="auto" w:fill="009649"/>
        </w:rPr>
        <w:t>НОВИЙ</w:t>
      </w:r>
      <w:r w:rsidR="00382A93">
        <w:rPr>
          <w:rFonts w:ascii="Calibri" w:hAnsi="Calibri"/>
          <w:b/>
          <w:color w:val="FFFFFF"/>
          <w:sz w:val="26"/>
          <w:shd w:val="clear" w:color="auto" w:fill="009649"/>
        </w:rPr>
        <w:t xml:space="preserve"> </w:t>
      </w:r>
    </w:p>
    <w:p w:rsidR="00ED665B" w:rsidRPr="00907702" w:rsidRDefault="006C7D2F" w:rsidP="00DC2656">
      <w:pPr>
        <w:spacing w:before="163"/>
        <w:jc w:val="both"/>
        <w:rPr>
          <w:rFonts w:ascii="Calibri" w:hAnsi="Calibri" w:cs="Calibri"/>
        </w:rPr>
      </w:pPr>
      <w:r>
        <w:rPr>
          <w:rFonts w:ascii="Calibri" w:hAnsi="Calibri"/>
          <w:color w:val="000000"/>
          <w:sz w:val="22"/>
        </w:rPr>
        <w:t>Серед 105 країн, які володіють репрезентативними даними щодо резистентності до фторхінолонів за останні 15 років, частка випадків МЛС/Риф-ТБ з резистентністю до будь-якого фторхінолону, для якого проводилося тестування, становила 20,1% (95% ДІ: 15,5-25,0%). Таким чином, швидке та раннє тестування на виявлення резистентності до фторхінолонів має важливе значення для визначення придатності до лікування за всеоральною 9-12-місячною стандартизованою короткою схемою лікування МЛС/Риф-ТБ. Однак поточні обмеження для тестування на резистентність до фторхінолонів – це обмежений доступ до сучасних технологій (які часто доступні лише на вищих рівнях системи охорони здоров’я) та низька результативність олігобацилярних зразків.</w:t>
      </w:r>
    </w:p>
    <w:p w:rsidR="00ED665B" w:rsidRPr="00907702" w:rsidRDefault="006C7D2F" w:rsidP="00DC2656">
      <w:pPr>
        <w:spacing w:before="173"/>
        <w:ind w:right="5"/>
        <w:jc w:val="both"/>
        <w:rPr>
          <w:rFonts w:ascii="Calibri" w:hAnsi="Calibri" w:cs="Calibri"/>
        </w:rPr>
      </w:pPr>
      <w:r>
        <w:rPr>
          <w:rFonts w:ascii="Calibri" w:hAnsi="Calibri"/>
          <w:color w:val="000000"/>
          <w:sz w:val="22"/>
        </w:rPr>
        <w:t xml:space="preserve">Автоматизовані ТАНК з низькою складністю – це новий клас діагностики, призначений для використання як контрольний тест у зразках, визнаних як позитивні на наявність комплексу </w:t>
      </w:r>
      <w:r w:rsidRPr="0031040C">
        <w:rPr>
          <w:rFonts w:ascii="Calibri" w:hAnsi="Calibri"/>
          <w:i/>
          <w:color w:val="000000"/>
          <w:sz w:val="22"/>
        </w:rPr>
        <w:t>Mtb</w:t>
      </w:r>
      <w:r>
        <w:rPr>
          <w:rFonts w:ascii="Calibri" w:hAnsi="Calibri"/>
          <w:color w:val="000000"/>
          <w:sz w:val="22"/>
        </w:rPr>
        <w:t xml:space="preserve"> (MTБК); вони пропонують швидкий ТМЧ у проміжних та периферійних лабораторіях. Перший продукт цього класу одночасно виявляє резистентність до ізоніазиду, фторхінолонів, етіонаміду та амікацину. Результати готові менше ніж за 90 хвилин, що пришвидшує отримання результатів у порівнянні з нинішнім стандартом медичної допомоги, який передбачає LPA та фенотипічний ТМЧ на основі посіву.</w:t>
      </w:r>
    </w:p>
    <w:p w:rsidR="00ED665B" w:rsidRPr="00907702" w:rsidRDefault="006C7D2F" w:rsidP="00DC2656">
      <w:pPr>
        <w:spacing w:before="168"/>
        <w:ind w:right="5"/>
        <w:jc w:val="both"/>
        <w:rPr>
          <w:rFonts w:ascii="Calibri" w:hAnsi="Calibri" w:cs="Calibri"/>
        </w:rPr>
      </w:pPr>
      <w:r>
        <w:rPr>
          <w:rFonts w:ascii="Calibri" w:hAnsi="Calibri"/>
          <w:color w:val="000000"/>
          <w:sz w:val="22"/>
        </w:rPr>
        <w:t xml:space="preserve">Додатковим значенням тестів є точне та швидке виявлення резистентності до ізоніазидів, що працює як для виявлення рифампіцин-резистентного туберкульозу (Риф-ТБ), так і туберкульозу, сприйнятливого до рифампіцину; останнє явище часто не діагностується і це сприяє появі значного тягаря хвороби. За оцінками, у всьому світі туберкульоз, сприйнятливий до рифампіцину, зустрічається у 13,1% (95% ДІ: 9,9–16,9%) нових випадків та 17,4% (95% ДІ: 0,5-54,0%) раніше пролікованих пацієнтів. Таким чином, цей тест також можна використовувати як </w:t>
      </w:r>
    </w:p>
    <w:p w:rsidR="00ED665B" w:rsidRPr="00907702" w:rsidRDefault="00ED665B" w:rsidP="00DC2656">
      <w:pPr>
        <w:spacing w:before="168"/>
        <w:ind w:right="5"/>
        <w:jc w:val="both"/>
        <w:rPr>
          <w:rFonts w:ascii="Calibri" w:hAnsi="Calibri" w:cs="Calibri"/>
        </w:rPr>
        <w:sectPr w:rsidR="00ED665B" w:rsidRPr="00907702">
          <w:headerReference w:type="default" r:id="rId224"/>
          <w:footerReference w:type="default" r:id="rId225"/>
          <w:pgSz w:w="11904" w:h="16838"/>
          <w:pgMar w:top="1406" w:right="1416" w:bottom="1474" w:left="1421" w:header="720" w:footer="720" w:gutter="0"/>
          <w:cols w:space="60"/>
          <w:noEndnote/>
        </w:sectPr>
      </w:pPr>
    </w:p>
    <w:p w:rsidR="00ED665B" w:rsidRPr="00907702" w:rsidRDefault="00382A93" w:rsidP="00DC2656">
      <w:pPr>
        <w:ind w:left="53" w:right="43"/>
        <w:jc w:val="both"/>
        <w:rPr>
          <w:rFonts w:ascii="Calibri" w:hAnsi="Calibri" w:cs="Calibri"/>
        </w:rPr>
      </w:pPr>
      <w:r>
        <w:rPr>
          <w:rFonts w:ascii="Calibri" w:hAnsi="Calibri"/>
          <w:color w:val="000000"/>
          <w:sz w:val="22"/>
        </w:rPr>
        <w:lastRenderedPageBreak/>
        <w:t xml:space="preserve">контрольний тест </w:t>
      </w:r>
      <w:r w:rsidR="006C7D2F">
        <w:rPr>
          <w:rFonts w:ascii="Calibri" w:hAnsi="Calibri"/>
          <w:color w:val="000000"/>
          <w:sz w:val="22"/>
        </w:rPr>
        <w:t>для доповнення наявних технологій, який тестує тільки на рифампіцин, що дозволяє швидко і точно виявити туберкульоз, резистентний до ізоніазидів, сприйнятливий до рифампіцину.</w:t>
      </w:r>
    </w:p>
    <w:p w:rsidR="00ED665B" w:rsidRPr="00907702" w:rsidRDefault="006C7D2F" w:rsidP="00DC2656">
      <w:pPr>
        <w:spacing w:before="168"/>
        <w:ind w:left="53" w:right="43"/>
        <w:jc w:val="both"/>
        <w:rPr>
          <w:rFonts w:ascii="Calibri" w:hAnsi="Calibri" w:cs="Calibri"/>
        </w:rPr>
      </w:pPr>
      <w:r>
        <w:rPr>
          <w:rFonts w:ascii="Calibri" w:hAnsi="Calibri"/>
          <w:color w:val="000000"/>
          <w:sz w:val="22"/>
        </w:rPr>
        <w:t>Хоча ці нові технології чудово виявляють резистентність до обраних препаратів, звичайні фенотипічні ТМЧ на основі посіву залишаються важливими для визначення резистентності до інших протитуберкульозних лікарських засобів, зокрема до нових та перероблених ліків, таких як бедаквілін та лінезолід.</w:t>
      </w:r>
    </w:p>
    <w:p w:rsidR="00ED665B" w:rsidRPr="00907702" w:rsidRDefault="00ED665B" w:rsidP="00DC2656">
      <w:pPr>
        <w:spacing w:after="130"/>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168"/>
      </w:tblGrid>
      <w:tr w:rsidR="00ED665B" w:rsidRPr="00C53235" w:rsidTr="00C53235">
        <w:trPr>
          <w:trHeight w:hRule="exact" w:val="662"/>
        </w:trPr>
        <w:tc>
          <w:tcPr>
            <w:tcW w:w="9168" w:type="dxa"/>
            <w:tcBorders>
              <w:top w:val="nil"/>
              <w:left w:val="nil"/>
              <w:bottom w:val="single" w:sz="8" w:space="0" w:color="009649"/>
              <w:right w:val="nil"/>
            </w:tcBorders>
            <w:shd w:val="clear" w:color="auto" w:fill="FFFFFF"/>
          </w:tcPr>
          <w:p w:rsidR="00ED665B" w:rsidRPr="00C53235" w:rsidRDefault="006C7D2F" w:rsidP="00DC2656">
            <w:pPr>
              <w:rPr>
                <w:rFonts w:ascii="Calibri" w:hAnsi="Calibri" w:cs="Calibri"/>
                <w:b/>
                <w:bCs/>
              </w:rPr>
            </w:pPr>
            <w:r>
              <w:rPr>
                <w:rFonts w:ascii="Calibri" w:hAnsi="Calibri"/>
                <w:b/>
                <w:color w:val="009649"/>
                <w:sz w:val="28"/>
              </w:rPr>
              <w:t>Рекомендації</w:t>
            </w:r>
          </w:p>
        </w:tc>
      </w:tr>
      <w:tr w:rsidR="00ED665B" w:rsidRPr="00907702" w:rsidTr="00CF4735">
        <w:trPr>
          <w:trHeight w:hRule="exact" w:val="4817"/>
        </w:trPr>
        <w:tc>
          <w:tcPr>
            <w:tcW w:w="9168"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382A93">
            <w:pPr>
              <w:spacing w:before="120"/>
              <w:ind w:left="518" w:right="226" w:hanging="283"/>
              <w:jc w:val="both"/>
              <w:rPr>
                <w:rFonts w:ascii="Calibri" w:hAnsi="Calibri" w:cs="Calibri"/>
              </w:rPr>
            </w:pPr>
            <w:r>
              <w:rPr>
                <w:rFonts w:ascii="Calibri" w:hAnsi="Calibri"/>
                <w:color w:val="000000"/>
                <w:sz w:val="22"/>
              </w:rPr>
              <w:t>1.</w:t>
            </w:r>
            <w:r>
              <w:rPr>
                <w:rFonts w:ascii="Calibri" w:hAnsi="Calibri"/>
                <w:color w:val="000000"/>
                <w:sz w:val="22"/>
              </w:rPr>
              <w:tab/>
              <w:t>У людей з бактеріологічно підтвердженим легеневим туберкульозом автоматизовані ТАНК низької складності можуть використовуватися у мокротинні для початкового виявлення резистентності до ізоніазиду та фторхінолонів, а не на основі фенотипічного ДСТ на основі посіву.</w:t>
            </w:r>
          </w:p>
          <w:p w:rsidR="00ED665B" w:rsidRPr="00C53235" w:rsidRDefault="006C7D2F" w:rsidP="00382A93">
            <w:pPr>
              <w:ind w:left="518" w:hanging="32"/>
              <w:jc w:val="both"/>
              <w:rPr>
                <w:rFonts w:ascii="Calibri" w:hAnsi="Calibri" w:cs="Calibri"/>
                <w:i/>
                <w:iCs/>
              </w:rPr>
            </w:pPr>
            <w:r>
              <w:rPr>
                <w:rFonts w:ascii="Calibri" w:hAnsi="Calibri"/>
                <w:i/>
                <w:color w:val="000000"/>
                <w:sz w:val="22"/>
              </w:rPr>
              <w:t>Умовна рекомендація, середня якість доказових даних щодо діагностичної точності)</w:t>
            </w:r>
          </w:p>
          <w:p w:rsidR="00CF4735" w:rsidRDefault="006C7D2F" w:rsidP="00382A93">
            <w:pPr>
              <w:spacing w:before="120"/>
              <w:ind w:left="518" w:right="226" w:hanging="283"/>
              <w:jc w:val="both"/>
              <w:rPr>
                <w:rFonts w:ascii="Calibri" w:hAnsi="Calibri"/>
                <w:color w:val="000000"/>
                <w:sz w:val="22"/>
              </w:rPr>
            </w:pPr>
            <w:r>
              <w:rPr>
                <w:rFonts w:ascii="Calibri" w:hAnsi="Calibri"/>
                <w:color w:val="000000"/>
                <w:sz w:val="22"/>
              </w:rPr>
              <w:t>2.</w:t>
            </w:r>
            <w:r>
              <w:rPr>
                <w:rFonts w:ascii="Calibri" w:hAnsi="Calibri"/>
                <w:color w:val="000000"/>
                <w:sz w:val="22"/>
              </w:rPr>
              <w:tab/>
              <w:t xml:space="preserve">У людей з бактеріологічно підтвердженим легеневим туберкульозом та резистентністю до рифампіцину автоматизовані ТАНК низької складності можуть використовуватися у мокротинні для початкового виявлення резистентності до етіонаміду замість секвенування ДНК промотора </w:t>
            </w:r>
            <w:r w:rsidRPr="009D59CA">
              <w:rPr>
                <w:rFonts w:ascii="Calibri" w:hAnsi="Calibri"/>
                <w:i/>
                <w:color w:val="000000"/>
                <w:sz w:val="22"/>
              </w:rPr>
              <w:t>inhA</w:t>
            </w:r>
            <w:r>
              <w:rPr>
                <w:rFonts w:ascii="Calibri" w:hAnsi="Calibri"/>
                <w:color w:val="000000"/>
                <w:sz w:val="22"/>
              </w:rPr>
              <w:t xml:space="preserve">. </w:t>
            </w:r>
          </w:p>
          <w:p w:rsidR="00ED665B" w:rsidRPr="00CF4735" w:rsidRDefault="006C7D2F" w:rsidP="00CF4735">
            <w:pPr>
              <w:ind w:left="518" w:right="226" w:firstLine="2"/>
              <w:jc w:val="both"/>
              <w:rPr>
                <w:rFonts w:ascii="Calibri" w:hAnsi="Calibri" w:cs="Calibri"/>
                <w:i/>
              </w:rPr>
            </w:pPr>
            <w:r w:rsidRPr="00CF4735">
              <w:rPr>
                <w:rFonts w:ascii="Calibri" w:hAnsi="Calibri"/>
                <w:i/>
                <w:color w:val="000000"/>
                <w:sz w:val="22"/>
              </w:rPr>
              <w:t>Умовна рекомендація, дуже низька якість доказових даних щодо діагностичної точності</w:t>
            </w:r>
          </w:p>
          <w:p w:rsidR="00CF4735" w:rsidRDefault="006C7D2F" w:rsidP="00382A93">
            <w:pPr>
              <w:spacing w:before="120"/>
              <w:ind w:left="518" w:right="226" w:hanging="283"/>
              <w:jc w:val="both"/>
              <w:rPr>
                <w:rFonts w:ascii="Calibri" w:hAnsi="Calibri"/>
                <w:color w:val="000000"/>
                <w:sz w:val="22"/>
              </w:rPr>
            </w:pPr>
            <w:r>
              <w:rPr>
                <w:rFonts w:ascii="Calibri" w:hAnsi="Calibri"/>
                <w:color w:val="000000"/>
                <w:sz w:val="22"/>
              </w:rPr>
              <w:t>3.</w:t>
            </w:r>
            <w:r>
              <w:rPr>
                <w:rFonts w:ascii="Calibri" w:hAnsi="Calibri"/>
                <w:color w:val="000000"/>
                <w:sz w:val="22"/>
              </w:rPr>
              <w:tab/>
              <w:t xml:space="preserve">У людей з бактеріологічно підтвердженим легеневим туберкульозом та резистентністю до рифампіцину автоматизовані ТАНК низької складності можуть використовуватися у мокротинні для початкового виявлення резистентності до амікацину замість фенотипічного ТМЧ на основі посіву. </w:t>
            </w:r>
          </w:p>
          <w:p w:rsidR="00ED665B" w:rsidRPr="00CF4735" w:rsidRDefault="006C7D2F" w:rsidP="00CF4735">
            <w:pPr>
              <w:ind w:left="518" w:right="226" w:firstLine="2"/>
              <w:jc w:val="both"/>
              <w:rPr>
                <w:rFonts w:ascii="Calibri" w:hAnsi="Calibri" w:cs="Calibri"/>
                <w:i/>
              </w:rPr>
            </w:pPr>
            <w:r w:rsidRPr="00CF4735">
              <w:rPr>
                <w:rFonts w:ascii="Calibri" w:hAnsi="Calibri"/>
                <w:i/>
                <w:color w:val="000000"/>
                <w:sz w:val="22"/>
              </w:rPr>
              <w:t>Умовна рекомендація; низька якість доказових даних щодо діагностичної точності</w:t>
            </w:r>
          </w:p>
        </w:tc>
      </w:tr>
    </w:tbl>
    <w:p w:rsidR="00ED665B" w:rsidRPr="00907702" w:rsidRDefault="006C7D2F" w:rsidP="00DC2656">
      <w:pPr>
        <w:spacing w:before="461"/>
        <w:ind w:left="53"/>
        <w:rPr>
          <w:rFonts w:ascii="Calibri" w:hAnsi="Calibri" w:cs="Calibri"/>
        </w:rPr>
      </w:pPr>
      <w:r>
        <w:rPr>
          <w:rFonts w:ascii="Calibri" w:hAnsi="Calibri"/>
          <w:color w:val="000000"/>
          <w:sz w:val="22"/>
        </w:rPr>
        <w:t>Для цих рекомендацій слід врахувати кілька підгруп:</w:t>
      </w:r>
    </w:p>
    <w:p w:rsidR="00ED665B" w:rsidRPr="00907702" w:rsidRDefault="006C7D2F" w:rsidP="00DC2656">
      <w:pPr>
        <w:numPr>
          <w:ilvl w:val="0"/>
          <w:numId w:val="2"/>
        </w:numPr>
        <w:tabs>
          <w:tab w:val="left" w:pos="293"/>
        </w:tabs>
        <w:spacing w:before="101"/>
        <w:ind w:left="293" w:right="43" w:hanging="240"/>
        <w:jc w:val="both"/>
        <w:rPr>
          <w:rFonts w:ascii="Calibri" w:hAnsi="Calibri" w:cs="Calibri"/>
          <w:color w:val="009649"/>
          <w:sz w:val="22"/>
          <w:szCs w:val="22"/>
        </w:rPr>
      </w:pPr>
      <w:r>
        <w:rPr>
          <w:rFonts w:ascii="Calibri" w:hAnsi="Calibri"/>
          <w:color w:val="000000"/>
          <w:sz w:val="22"/>
        </w:rPr>
        <w:t>рекомендації ґрунтуються на доказових даних щодо діагностичної точності в мокротинні дорослих з бактеріологічно підтвердженим легеневим туберкульозом, з або без резистентності до рифампіцину.</w:t>
      </w:r>
    </w:p>
    <w:p w:rsidR="00ED665B" w:rsidRPr="00907702" w:rsidRDefault="006C7D2F" w:rsidP="00DC2656">
      <w:pPr>
        <w:numPr>
          <w:ilvl w:val="0"/>
          <w:numId w:val="2"/>
        </w:numPr>
        <w:tabs>
          <w:tab w:val="left" w:pos="293"/>
        </w:tabs>
        <w:ind w:left="293" w:right="38" w:hanging="240"/>
        <w:jc w:val="both"/>
        <w:rPr>
          <w:rFonts w:ascii="Calibri" w:hAnsi="Calibri" w:cs="Calibri"/>
          <w:color w:val="009649"/>
          <w:sz w:val="22"/>
          <w:szCs w:val="22"/>
        </w:rPr>
      </w:pPr>
      <w:r>
        <w:rPr>
          <w:rFonts w:ascii="Calibri" w:hAnsi="Calibri"/>
          <w:color w:val="000000"/>
          <w:sz w:val="22"/>
        </w:rPr>
        <w:t>Ці рекомендації екстраполюються на підлітків та дітей на основі узагальнення даних дорослих.</w:t>
      </w:r>
    </w:p>
    <w:p w:rsidR="00ED665B" w:rsidRPr="00907702" w:rsidRDefault="006C7D2F" w:rsidP="00DC2656">
      <w:pPr>
        <w:numPr>
          <w:ilvl w:val="0"/>
          <w:numId w:val="2"/>
        </w:numPr>
        <w:tabs>
          <w:tab w:val="left" w:pos="293"/>
        </w:tabs>
        <w:ind w:left="293" w:right="48" w:hanging="240"/>
        <w:jc w:val="both"/>
        <w:rPr>
          <w:rFonts w:ascii="Calibri" w:hAnsi="Calibri" w:cs="Calibri"/>
          <w:color w:val="009649"/>
          <w:sz w:val="22"/>
          <w:szCs w:val="22"/>
        </w:rPr>
      </w:pPr>
      <w:r>
        <w:rPr>
          <w:rFonts w:ascii="Calibri" w:hAnsi="Calibri"/>
          <w:color w:val="000000"/>
          <w:sz w:val="22"/>
        </w:rPr>
        <w:t>Рекомендації стосуються людей, які живуть з ВІЛ (дослідження включали різну частку таких осіб); дані, стратифіковані за ВІЛ -статусом, були відсутні.</w:t>
      </w:r>
    </w:p>
    <w:p w:rsidR="00ED665B" w:rsidRPr="00907702" w:rsidRDefault="006C7D2F" w:rsidP="00DC2656">
      <w:pPr>
        <w:numPr>
          <w:ilvl w:val="0"/>
          <w:numId w:val="2"/>
        </w:numPr>
        <w:tabs>
          <w:tab w:val="left" w:pos="293"/>
        </w:tabs>
        <w:ind w:left="293" w:right="43" w:hanging="240"/>
        <w:jc w:val="both"/>
        <w:rPr>
          <w:rFonts w:ascii="Calibri" w:hAnsi="Calibri" w:cs="Calibri"/>
          <w:color w:val="009649"/>
          <w:sz w:val="22"/>
          <w:szCs w:val="22"/>
        </w:rPr>
      </w:pPr>
      <w:r>
        <w:rPr>
          <w:rFonts w:ascii="Calibri" w:hAnsi="Calibri"/>
          <w:color w:val="000000"/>
          <w:sz w:val="22"/>
        </w:rPr>
        <w:t>Рекомендації екстраполюються на людей із позалегеневим туберкульозом, і тестування зразків, відмінних від мокротиння, було визнано доцільним, що впливає на достовірність. Комісія не оцінила точність тестування безпосередньо у зразках, відмінних від мокротиння, зокрема у дітей; проте екстраполяція була визнана доцільною, оскільки ВООЗ має рекомендації щодо подібних технологій для використання на зразках, відмінних від мокротиння (наприклад, Xpert MTB/RIF та Xpert Ultra).</w:t>
      </w:r>
    </w:p>
    <w:p w:rsidR="00ED665B" w:rsidRPr="00907702" w:rsidRDefault="006C7D2F" w:rsidP="00DC2656">
      <w:pPr>
        <w:numPr>
          <w:ilvl w:val="0"/>
          <w:numId w:val="2"/>
        </w:numPr>
        <w:tabs>
          <w:tab w:val="left" w:pos="293"/>
        </w:tabs>
        <w:ind w:left="293" w:right="48" w:hanging="240"/>
        <w:jc w:val="both"/>
        <w:rPr>
          <w:rFonts w:ascii="Calibri" w:hAnsi="Calibri" w:cs="Calibri"/>
          <w:color w:val="009649"/>
          <w:sz w:val="22"/>
          <w:szCs w:val="22"/>
        </w:rPr>
      </w:pPr>
      <w:r>
        <w:rPr>
          <w:rFonts w:ascii="Calibri" w:hAnsi="Calibri"/>
          <w:color w:val="000000"/>
          <w:sz w:val="22"/>
        </w:rPr>
        <w:t>Рекомендації щодо виявлення резистентності до амікацину та етіонаміду актуальні лише для люди, які мають бактеріологічно підтверджений легеневий туберкульоз та резистентність до рифампіцину.</w:t>
      </w:r>
    </w:p>
    <w:p w:rsidR="00ED665B" w:rsidRPr="00C53235" w:rsidRDefault="006C7D2F" w:rsidP="00DC2656">
      <w:pPr>
        <w:spacing w:before="230"/>
        <w:ind w:left="53"/>
        <w:rPr>
          <w:rFonts w:ascii="Calibri" w:hAnsi="Calibri" w:cs="Calibri"/>
          <w:b/>
          <w:bCs/>
        </w:rPr>
      </w:pPr>
      <w:r>
        <w:rPr>
          <w:rFonts w:ascii="Calibri" w:hAnsi="Calibri"/>
          <w:b/>
          <w:color w:val="009649"/>
          <w:sz w:val="28"/>
        </w:rPr>
        <w:t>Опис тесту</w:t>
      </w:r>
    </w:p>
    <w:p w:rsidR="00ED665B" w:rsidRPr="00907702" w:rsidRDefault="006C7D2F" w:rsidP="00382A93">
      <w:pPr>
        <w:spacing w:before="163"/>
        <w:ind w:left="53"/>
        <w:jc w:val="distribute"/>
        <w:rPr>
          <w:rFonts w:ascii="Calibri" w:hAnsi="Calibri" w:cs="Calibri"/>
        </w:rPr>
      </w:pPr>
      <w:r>
        <w:rPr>
          <w:rFonts w:ascii="Calibri" w:hAnsi="Calibri"/>
          <w:color w:val="000000"/>
          <w:sz w:val="22"/>
        </w:rPr>
        <w:t>Індексними тестами є автоматизовані ТАНК низької складності для виявлення резистентності до ізоніазидів та протитуберкульозних лікарських засобів другого ряду</w:t>
      </w:r>
      <w:r w:rsidR="00382A93">
        <w:rPr>
          <w:rFonts w:ascii="Calibri" w:hAnsi="Calibri"/>
          <w:color w:val="000000"/>
          <w:sz w:val="22"/>
        </w:rPr>
        <w:t xml:space="preserve"> «Автоматизоване </w:t>
      </w:r>
    </w:p>
    <w:p w:rsidR="00ED665B" w:rsidRPr="00907702" w:rsidRDefault="00ED665B" w:rsidP="00DC2656">
      <w:pPr>
        <w:spacing w:before="163"/>
        <w:ind w:left="53"/>
        <w:rPr>
          <w:rFonts w:ascii="Calibri" w:hAnsi="Calibri" w:cs="Calibri"/>
        </w:rPr>
        <w:sectPr w:rsidR="00ED665B" w:rsidRPr="00907702">
          <w:headerReference w:type="even" r:id="rId226"/>
          <w:footerReference w:type="even" r:id="rId227"/>
          <w:pgSz w:w="11904" w:h="16838"/>
          <w:pgMar w:top="1334" w:right="1373" w:bottom="1613" w:left="1363" w:header="720" w:footer="720" w:gutter="0"/>
          <w:cols w:space="60"/>
          <w:noEndnote/>
        </w:sectPr>
      </w:pPr>
    </w:p>
    <w:p w:rsidR="00ED665B" w:rsidRPr="00907702" w:rsidRDefault="00382A93" w:rsidP="00DC2656">
      <w:pPr>
        <w:jc w:val="both"/>
        <w:rPr>
          <w:rFonts w:ascii="Calibri" w:hAnsi="Calibri" w:cs="Calibri"/>
        </w:rPr>
      </w:pPr>
      <w:r>
        <w:rPr>
          <w:rFonts w:ascii="Calibri" w:hAnsi="Calibri"/>
          <w:color w:val="000000"/>
          <w:sz w:val="22"/>
        </w:rPr>
        <w:lastRenderedPageBreak/>
        <w:t xml:space="preserve">тестування» </w:t>
      </w:r>
      <w:r w:rsidR="006C7D2F">
        <w:rPr>
          <w:rFonts w:ascii="Calibri" w:hAnsi="Calibri"/>
          <w:color w:val="000000"/>
          <w:sz w:val="22"/>
        </w:rPr>
        <w:t>у категорії низької складності визначається як тестування, коли більшість реактивів складено в одноразовий герметичний контейнер, до якого додається клінічний зразок, і майже всі процеси (наприклад, екстракція ДНК або процедури ПЛР) виконуються в контейнері, прив’язаному до діагностичної платформи. Такі автоматизовані тестування можуть вимагати початкового етапу обробки зразків вручну перед передачею матеріалу, що вимагає перевірки, у картридж.</w:t>
      </w:r>
    </w:p>
    <w:p w:rsidR="00ED665B" w:rsidRPr="00907702" w:rsidRDefault="006C7D2F" w:rsidP="00DC2656">
      <w:pPr>
        <w:spacing w:before="168"/>
        <w:jc w:val="both"/>
        <w:rPr>
          <w:rFonts w:ascii="Calibri" w:hAnsi="Calibri" w:cs="Calibri"/>
        </w:rPr>
      </w:pPr>
      <w:r>
        <w:rPr>
          <w:rFonts w:ascii="Calibri" w:hAnsi="Calibri"/>
          <w:color w:val="000000"/>
          <w:sz w:val="22"/>
        </w:rPr>
        <w:t>«Низька складність» означає ситуацію, коли не потрібна спеціалізована інфраструктура, пов’язана з біобезпекою; для проведення тесту потрібні лише базові лабораторні навички та обладнання.</w:t>
      </w:r>
    </w:p>
    <w:p w:rsidR="00ED665B" w:rsidRPr="00907702" w:rsidRDefault="006C7D2F" w:rsidP="00DC2656">
      <w:pPr>
        <w:spacing w:before="168"/>
        <w:jc w:val="both"/>
        <w:rPr>
          <w:rFonts w:ascii="Calibri" w:hAnsi="Calibri" w:cs="Calibri"/>
        </w:rPr>
      </w:pPr>
      <w:r>
        <w:rPr>
          <w:rFonts w:ascii="Calibri" w:hAnsi="Calibri"/>
          <w:color w:val="000000"/>
          <w:sz w:val="22"/>
        </w:rPr>
        <w:t>Тест Xpert MTB/XDR (Xpert MTB/XDR, Cepheid, Sunnyvale, Сполучені Штати Америки [США]) – єдиний індексний тест у цьому огляді. Даних щодо MeltPro® ШЛС-ТБ (MeltPro, Xiamen Zeesan Biotech Co Ltd, Китай), наданих виробником, було недостатньо для того, щоб цей аналіз містився у цьому огляді, а також не було визначено жодних незалежних оцінок MeltPro.</w:t>
      </w:r>
    </w:p>
    <w:p w:rsidR="00ED665B" w:rsidRPr="00907702" w:rsidRDefault="006C7D2F" w:rsidP="00DC2656">
      <w:pPr>
        <w:spacing w:before="173"/>
        <w:jc w:val="both"/>
        <w:rPr>
          <w:rFonts w:ascii="Calibri" w:hAnsi="Calibri" w:cs="Calibri"/>
        </w:rPr>
      </w:pPr>
      <w:r>
        <w:rPr>
          <w:rFonts w:ascii="Calibri" w:hAnsi="Calibri"/>
          <w:color w:val="000000"/>
          <w:sz w:val="22"/>
        </w:rPr>
        <w:t xml:space="preserve">Xpert MTB/XDR виявляє ДНК MTБК та геномні мутації, пов’язані з резистентністю до ізоніазиду, фторхінолонів, етіонаміду та ін’єкційних препаратів другої лінії (амікацин, канаміцин та капреоміцин) у одному картриджі (див. </w:t>
      </w:r>
      <w:r>
        <w:rPr>
          <w:rFonts w:ascii="Calibri" w:hAnsi="Calibri"/>
          <w:color w:val="1B61AF"/>
          <w:sz w:val="22"/>
        </w:rPr>
        <w:t>Таблицю 2.3.1</w:t>
      </w:r>
      <w:r>
        <w:rPr>
          <w:rFonts w:ascii="Calibri" w:hAnsi="Calibri"/>
          <w:color w:val="000000"/>
          <w:sz w:val="22"/>
        </w:rPr>
        <w:t xml:space="preserve">). Цей огляд не включає молекулярний ТМЧ для канаміцину та капреоміцину, оскільки ВООЗ наразі не рекомендує ці ін’єкційні препарати другої лінії для використання у схемах лікування Риф-ТБ або МЛС-ТБ </w:t>
      </w:r>
      <w:r w:rsidRPr="00382A93">
        <w:rPr>
          <w:rFonts w:ascii="Calibri" w:hAnsi="Calibri"/>
          <w:i/>
          <w:color w:val="000000"/>
          <w:sz w:val="22"/>
        </w:rPr>
        <w:t>(33)</w:t>
      </w:r>
      <w:r>
        <w:rPr>
          <w:rFonts w:ascii="Calibri" w:hAnsi="Calibri"/>
          <w:color w:val="000000"/>
          <w:sz w:val="22"/>
        </w:rPr>
        <w:t>.</w:t>
      </w:r>
      <w:r>
        <w:rPr>
          <w:rFonts w:ascii="Calibri" w:hAnsi="Calibri"/>
          <w:color w:val="000000"/>
          <w:sz w:val="22"/>
          <w:vertAlign w:val="superscript"/>
        </w:rPr>
        <w:t>17</w:t>
      </w:r>
    </w:p>
    <w:p w:rsidR="00ED665B" w:rsidRPr="00907702" w:rsidRDefault="006C7D2F" w:rsidP="00DC2656">
      <w:pPr>
        <w:spacing w:before="173"/>
        <w:jc w:val="both"/>
        <w:rPr>
          <w:rFonts w:ascii="Calibri" w:hAnsi="Calibri" w:cs="Calibri"/>
        </w:rPr>
      </w:pPr>
      <w:r>
        <w:rPr>
          <w:rFonts w:ascii="Calibri" w:hAnsi="Calibri"/>
          <w:color w:val="000000"/>
          <w:sz w:val="22"/>
        </w:rPr>
        <w:t>Тест Xpert MTB/XDR використовує платформу GeneXpert від Cepheid, подібну до тієї, що використовується тестами Xpert MTB/RIF та Xpert MTB/RIF Ultra. Однак у випадку з тестом Xpert MTB/XDR платформа підтримує ущільнення за допомогою 10-колірної технології, що відрізняється від шестиколірної технології, що використовується тестами Xpert MTB/RIF та Xpert MTB/RIF Ultra.</w:t>
      </w:r>
    </w:p>
    <w:p w:rsidR="00ED665B" w:rsidRPr="00907702" w:rsidRDefault="006C7D2F" w:rsidP="00DC2656">
      <w:pPr>
        <w:spacing w:before="168"/>
        <w:jc w:val="both"/>
        <w:rPr>
          <w:rFonts w:ascii="Calibri" w:hAnsi="Calibri" w:cs="Calibri"/>
        </w:rPr>
      </w:pPr>
      <w:r>
        <w:rPr>
          <w:rFonts w:ascii="Calibri" w:hAnsi="Calibri"/>
          <w:color w:val="000000"/>
          <w:sz w:val="22"/>
        </w:rPr>
        <w:t xml:space="preserve">В інструкції, яку пропонує виробник, пояснюється, що тест Xpert MTB/XDR призначений для використання як контрольний тест у зразках (необроблене мокротиння або концентровані осади мокротиння), які були виявлені позитивними на наявність MTБК. LoD для </w:t>
      </w:r>
      <w:r w:rsidRPr="0031040C">
        <w:rPr>
          <w:rFonts w:ascii="Calibri" w:hAnsi="Calibri"/>
          <w:i/>
          <w:color w:val="000000"/>
          <w:sz w:val="22"/>
        </w:rPr>
        <w:t>Mtb</w:t>
      </w:r>
      <w:r>
        <w:rPr>
          <w:rFonts w:ascii="Calibri" w:hAnsi="Calibri"/>
          <w:color w:val="000000"/>
          <w:sz w:val="22"/>
        </w:rPr>
        <w:t xml:space="preserve">, підрахований за допомогою тесту Xpert MTB/XDR (136 КУО/мл у необробленому мокротинні) подібний до результату тесту Xpert MTB/RIF (112,6 КУО/мл), але є вищим, ніж результат Xpert Ultra (15,6 КУО/мл) </w:t>
      </w:r>
      <w:r w:rsidRPr="00BE6F5B">
        <w:rPr>
          <w:rFonts w:ascii="Calibri" w:hAnsi="Calibri"/>
          <w:i/>
          <w:color w:val="000000"/>
          <w:sz w:val="22"/>
        </w:rPr>
        <w:t>(34)</w:t>
      </w:r>
      <w:r>
        <w:rPr>
          <w:rFonts w:ascii="Calibri" w:hAnsi="Calibri"/>
          <w:color w:val="000000"/>
          <w:sz w:val="22"/>
        </w:rPr>
        <w:t>. В інструкції виробник вказує: «Очікується, що зразки з результатами, в яких виявлено сліди MTB при використанні тестів Xpert MTB/RIF Ultra, будуть нижчі межі виявлення тесту MTB/XDR і тому тести Xpert MTB/XDR не рекомендуються до використання». Як і Xpert MTB/RIF та Xpert Ultra, Xpert MTB/XDR виявляє як живі, так і мертві бактерії.</w:t>
      </w:r>
    </w:p>
    <w:p w:rsidR="00ED665B" w:rsidRPr="00907702" w:rsidRDefault="006C7D2F" w:rsidP="00DC2656">
      <w:pPr>
        <w:spacing w:before="168"/>
        <w:jc w:val="both"/>
        <w:rPr>
          <w:rFonts w:ascii="Calibri" w:hAnsi="Calibri" w:cs="Calibri"/>
        </w:rPr>
      </w:pPr>
      <w:r>
        <w:rPr>
          <w:rFonts w:ascii="Calibri" w:hAnsi="Calibri"/>
          <w:color w:val="000000"/>
          <w:sz w:val="22"/>
        </w:rPr>
        <w:t>Результатами Xpert MTB/ XDR буде «</w:t>
      </w:r>
      <w:r w:rsidRPr="0031040C">
        <w:rPr>
          <w:rFonts w:ascii="Calibri" w:hAnsi="Calibri"/>
          <w:i/>
          <w:color w:val="000000"/>
          <w:sz w:val="22"/>
        </w:rPr>
        <w:t>Mtb</w:t>
      </w:r>
      <w:r>
        <w:rPr>
          <w:rFonts w:ascii="Calibri" w:hAnsi="Calibri"/>
          <w:color w:val="000000"/>
          <w:sz w:val="22"/>
        </w:rPr>
        <w:t xml:space="preserve"> не виявлено» або «</w:t>
      </w:r>
      <w:r w:rsidRPr="0031040C">
        <w:rPr>
          <w:rFonts w:ascii="Calibri" w:hAnsi="Calibri"/>
          <w:i/>
          <w:color w:val="000000"/>
          <w:sz w:val="22"/>
        </w:rPr>
        <w:t>Mtb</w:t>
      </w:r>
      <w:r>
        <w:rPr>
          <w:rFonts w:ascii="Calibri" w:hAnsi="Calibri"/>
          <w:color w:val="000000"/>
          <w:sz w:val="22"/>
        </w:rPr>
        <w:t xml:space="preserve"> виявлено». Якщо результатами є «</w:t>
      </w:r>
      <w:r w:rsidRPr="0031040C">
        <w:rPr>
          <w:rFonts w:ascii="Calibri" w:hAnsi="Calibri"/>
          <w:i/>
          <w:color w:val="000000"/>
          <w:sz w:val="22"/>
        </w:rPr>
        <w:t>Mtb</w:t>
      </w:r>
      <w:r>
        <w:rPr>
          <w:rFonts w:ascii="Calibri" w:hAnsi="Calibri"/>
          <w:color w:val="000000"/>
          <w:sz w:val="22"/>
        </w:rPr>
        <w:t xml:space="preserve"> виявлено», для кожного препарату буде результат щодо резистентності: «виявлено» або «не виявлено». Якщо результатами є “</w:t>
      </w:r>
      <w:r w:rsidRPr="0031040C">
        <w:rPr>
          <w:rFonts w:ascii="Calibri" w:hAnsi="Calibri"/>
          <w:i/>
          <w:color w:val="000000"/>
          <w:sz w:val="22"/>
        </w:rPr>
        <w:t>Mtb</w:t>
      </w:r>
      <w:r>
        <w:rPr>
          <w:rFonts w:ascii="Calibri" w:hAnsi="Calibri"/>
          <w:color w:val="000000"/>
          <w:sz w:val="22"/>
        </w:rPr>
        <w:t xml:space="preserve"> не виявлено”, “недійсний”, “помилка” або “немає результату”, результати ТМЧ не повідомляються.</w:t>
      </w:r>
    </w:p>
    <w:p w:rsidR="00C53235" w:rsidRPr="00C53235" w:rsidRDefault="00C53235" w:rsidP="00C53235">
      <w:pPr>
        <w:spacing w:before="2069"/>
        <w:rPr>
          <w:rFonts w:ascii="Calibri" w:hAnsi="Calibri" w:cs="Calibri"/>
          <w:color w:val="000000"/>
          <w:sz w:val="16"/>
          <w:szCs w:val="16"/>
          <w:u w:val="single"/>
          <w:vertAlign w:val="superscript"/>
        </w:rPr>
      </w:pPr>
      <w:r>
        <w:rPr>
          <w:rFonts w:ascii="Calibri" w:hAnsi="Calibri"/>
          <w:color w:val="000000"/>
          <w:sz w:val="16"/>
          <w:u w:val="single"/>
          <w:vertAlign w:val="superscript"/>
        </w:rPr>
        <w:tab/>
      </w:r>
      <w:r>
        <w:rPr>
          <w:rFonts w:ascii="Calibri" w:hAnsi="Calibri"/>
          <w:color w:val="000000"/>
          <w:sz w:val="16"/>
          <w:u w:val="single"/>
          <w:vertAlign w:val="superscript"/>
        </w:rPr>
        <w:tab/>
      </w:r>
      <w:r>
        <w:rPr>
          <w:rFonts w:ascii="Calibri" w:hAnsi="Calibri"/>
          <w:color w:val="000000"/>
          <w:sz w:val="16"/>
          <w:u w:val="single"/>
          <w:vertAlign w:val="superscript"/>
        </w:rPr>
        <w:tab/>
      </w:r>
    </w:p>
    <w:p w:rsidR="00ED665B" w:rsidRPr="00382A93" w:rsidRDefault="006C7D2F" w:rsidP="00C53235">
      <w:pPr>
        <w:ind w:left="221" w:hanging="221"/>
        <w:rPr>
          <w:rFonts w:ascii="Calibri" w:hAnsi="Calibri" w:cs="Calibri"/>
          <w:i/>
        </w:rPr>
      </w:pPr>
      <w:r>
        <w:rPr>
          <w:rFonts w:ascii="Calibri" w:hAnsi="Calibri"/>
          <w:color w:val="000000"/>
          <w:sz w:val="16"/>
          <w:vertAlign w:val="superscript"/>
        </w:rPr>
        <w:t>17</w:t>
      </w:r>
      <w:r>
        <w:rPr>
          <w:rFonts w:ascii="Calibri" w:hAnsi="Calibri"/>
          <w:color w:val="000000"/>
          <w:sz w:val="16"/>
          <w:vertAlign w:val="superscript"/>
        </w:rPr>
        <w:tab/>
      </w:r>
      <w:r>
        <w:rPr>
          <w:rFonts w:ascii="Calibri" w:hAnsi="Calibri"/>
          <w:color w:val="000000"/>
          <w:sz w:val="16"/>
        </w:rPr>
        <w:t xml:space="preserve">Канаміцин та капреоміцин не повинні включатись до лікування пацієнтів із МР-ТБ/РР-ТБ у довгострокових схемах. </w:t>
      </w:r>
      <w:r w:rsidRPr="00382A93">
        <w:rPr>
          <w:rFonts w:ascii="Calibri" w:hAnsi="Calibri"/>
          <w:i/>
          <w:color w:val="000000"/>
          <w:sz w:val="16"/>
        </w:rPr>
        <w:t>Умовна рекомендація, дуже низька визначеність в оцінках ефекту.</w:t>
      </w:r>
    </w:p>
    <w:p w:rsidR="00ED665B" w:rsidRPr="00907702" w:rsidRDefault="00ED665B" w:rsidP="00DC2656">
      <w:pPr>
        <w:spacing w:before="2069"/>
        <w:ind w:left="221" w:hanging="221"/>
        <w:rPr>
          <w:rFonts w:ascii="Calibri" w:hAnsi="Calibri" w:cs="Calibri"/>
        </w:rPr>
        <w:sectPr w:rsidR="00ED665B" w:rsidRPr="00907702">
          <w:pgSz w:w="11904" w:h="16838"/>
          <w:pgMar w:top="1339" w:right="1416" w:bottom="1368" w:left="1416" w:header="720" w:footer="720" w:gutter="0"/>
          <w:cols w:space="60"/>
          <w:noEndnote/>
        </w:sectPr>
      </w:pPr>
    </w:p>
    <w:tbl>
      <w:tblPr>
        <w:tblW w:w="9105" w:type="dxa"/>
        <w:tblInd w:w="40" w:type="dxa"/>
        <w:tblLayout w:type="fixed"/>
        <w:tblCellMar>
          <w:left w:w="40" w:type="dxa"/>
          <w:right w:w="40" w:type="dxa"/>
        </w:tblCellMar>
        <w:tblLook w:val="0000" w:firstRow="0" w:lastRow="0" w:firstColumn="0" w:lastColumn="0" w:noHBand="0" w:noVBand="0"/>
      </w:tblPr>
      <w:tblGrid>
        <w:gridCol w:w="1920"/>
        <w:gridCol w:w="2328"/>
        <w:gridCol w:w="2443"/>
        <w:gridCol w:w="2414"/>
      </w:tblGrid>
      <w:tr w:rsidR="00ED665B" w:rsidRPr="00DE3ED7" w:rsidTr="00E81769">
        <w:trPr>
          <w:trHeight w:hRule="exact" w:val="1042"/>
        </w:trPr>
        <w:tc>
          <w:tcPr>
            <w:tcW w:w="9105" w:type="dxa"/>
            <w:gridSpan w:val="4"/>
            <w:tcBorders>
              <w:top w:val="nil"/>
              <w:left w:val="nil"/>
              <w:bottom w:val="single" w:sz="8" w:space="0" w:color="009649"/>
              <w:right w:val="nil"/>
            </w:tcBorders>
            <w:shd w:val="clear" w:color="auto" w:fill="FFFFFF"/>
          </w:tcPr>
          <w:p w:rsidR="00ED665B" w:rsidRPr="00DE3ED7" w:rsidRDefault="006C7D2F" w:rsidP="00DC2656">
            <w:pPr>
              <w:rPr>
                <w:rFonts w:ascii="Calibri" w:hAnsi="Calibri" w:cs="Calibri"/>
                <w:b/>
                <w:bCs/>
              </w:rPr>
            </w:pPr>
            <w:bookmarkStart w:id="19" w:name="bookmark23"/>
            <w:r>
              <w:rPr>
                <w:rFonts w:ascii="Calibri" w:hAnsi="Calibri"/>
                <w:b/>
                <w:color w:val="636466"/>
                <w:sz w:val="24"/>
              </w:rPr>
              <w:lastRenderedPageBreak/>
              <w:t>Т</w:t>
            </w:r>
            <w:bookmarkEnd w:id="19"/>
            <w:r>
              <w:rPr>
                <w:rFonts w:ascii="Calibri" w:hAnsi="Calibri"/>
                <w:b/>
                <w:color w:val="636466"/>
                <w:sz w:val="24"/>
              </w:rPr>
              <w:t xml:space="preserve">аблиця 2.3.1. Гени-мішені, пов’язані з лікарськими засобами, регіони кодону та послідовності нуклеотидів, які визначають наявність варіантів, пов’язаних з резистентністю до препаратів, у аналізі Xpert MTB/XDR </w:t>
            </w:r>
            <w:r w:rsidRPr="00BE6F5B">
              <w:rPr>
                <w:rFonts w:ascii="Calibri" w:hAnsi="Calibri"/>
                <w:b/>
                <w:i/>
                <w:color w:val="636466"/>
                <w:sz w:val="24"/>
              </w:rPr>
              <w:t>(35)</w:t>
            </w:r>
          </w:p>
        </w:tc>
      </w:tr>
      <w:tr w:rsidR="00ED665B" w:rsidRPr="00DE3ED7" w:rsidTr="00E81769">
        <w:trPr>
          <w:trHeight w:hRule="exact" w:val="442"/>
        </w:trPr>
        <w:tc>
          <w:tcPr>
            <w:tcW w:w="192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E3ED7" w:rsidRDefault="006C7D2F" w:rsidP="00DE3ED7">
            <w:pPr>
              <w:ind w:left="62"/>
              <w:rPr>
                <w:rFonts w:ascii="Calibri" w:hAnsi="Calibri" w:cs="Calibri"/>
                <w:b/>
                <w:bCs/>
              </w:rPr>
            </w:pPr>
            <w:r>
              <w:rPr>
                <w:rFonts w:ascii="Calibri" w:hAnsi="Calibri"/>
                <w:b/>
                <w:color w:val="000000"/>
              </w:rPr>
              <w:t>Лікарський засіб</w:t>
            </w:r>
          </w:p>
        </w:tc>
        <w:tc>
          <w:tcPr>
            <w:tcW w:w="232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E3ED7" w:rsidRDefault="006C7D2F" w:rsidP="00DE3ED7">
            <w:pPr>
              <w:ind w:left="62"/>
              <w:jc w:val="center"/>
              <w:rPr>
                <w:rFonts w:ascii="Calibri" w:hAnsi="Calibri" w:cs="Calibri"/>
                <w:b/>
                <w:bCs/>
              </w:rPr>
            </w:pPr>
            <w:r>
              <w:rPr>
                <w:rFonts w:ascii="Calibri" w:hAnsi="Calibri"/>
                <w:b/>
                <w:color w:val="000000"/>
              </w:rPr>
              <w:t>Ген-мішень</w:t>
            </w:r>
          </w:p>
        </w:tc>
        <w:tc>
          <w:tcPr>
            <w:tcW w:w="244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E3ED7" w:rsidRDefault="006C7D2F" w:rsidP="00DE3ED7">
            <w:pPr>
              <w:jc w:val="center"/>
              <w:rPr>
                <w:rFonts w:ascii="Calibri" w:hAnsi="Calibri" w:cs="Calibri"/>
                <w:b/>
                <w:bCs/>
              </w:rPr>
            </w:pPr>
            <w:r>
              <w:rPr>
                <w:rFonts w:ascii="Calibri" w:hAnsi="Calibri"/>
                <w:b/>
                <w:color w:val="000000"/>
              </w:rPr>
              <w:t>Регіон кодону</w:t>
            </w:r>
          </w:p>
        </w:tc>
        <w:tc>
          <w:tcPr>
            <w:tcW w:w="241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DE3ED7" w:rsidRDefault="006C7D2F" w:rsidP="00DE3ED7">
            <w:pPr>
              <w:jc w:val="center"/>
              <w:rPr>
                <w:rFonts w:ascii="Calibri" w:hAnsi="Calibri" w:cs="Calibri"/>
                <w:b/>
                <w:bCs/>
              </w:rPr>
            </w:pPr>
            <w:r>
              <w:rPr>
                <w:rFonts w:ascii="Calibri" w:hAnsi="Calibri"/>
                <w:b/>
                <w:color w:val="000000"/>
              </w:rPr>
              <w:t>Нуклеотид</w:t>
            </w:r>
          </w:p>
        </w:tc>
      </w:tr>
      <w:tr w:rsidR="00E81769" w:rsidRPr="00907702" w:rsidTr="00E81769">
        <w:trPr>
          <w:trHeight w:val="20"/>
        </w:trPr>
        <w:tc>
          <w:tcPr>
            <w:tcW w:w="1920" w:type="dxa"/>
            <w:vMerge w:val="restart"/>
            <w:tcBorders>
              <w:top w:val="single" w:sz="8" w:space="0" w:color="009649"/>
            </w:tcBorders>
            <w:shd w:val="clear" w:color="auto" w:fill="FFFFFF"/>
          </w:tcPr>
          <w:p w:rsidR="00E81769" w:rsidRPr="00907702" w:rsidRDefault="00E81769" w:rsidP="00DC2656">
            <w:pPr>
              <w:ind w:left="82"/>
              <w:rPr>
                <w:rFonts w:ascii="Calibri" w:hAnsi="Calibri" w:cs="Calibri"/>
              </w:rPr>
            </w:pPr>
            <w:r>
              <w:rPr>
                <w:rFonts w:ascii="Calibri" w:hAnsi="Calibri"/>
                <w:color w:val="000000"/>
              </w:rPr>
              <w:t>Ізоніазид</w:t>
            </w:r>
          </w:p>
        </w:tc>
        <w:tc>
          <w:tcPr>
            <w:tcW w:w="2328" w:type="dxa"/>
            <w:tcBorders>
              <w:top w:val="single" w:sz="8" w:space="0" w:color="009649"/>
              <w:bottom w:val="single" w:sz="8" w:space="0" w:color="009649"/>
            </w:tcBorders>
            <w:shd w:val="clear" w:color="auto" w:fill="FFFFFF"/>
          </w:tcPr>
          <w:p w:rsidR="00E81769" w:rsidRPr="00907702" w:rsidRDefault="00E81769" w:rsidP="00DC2656">
            <w:pPr>
              <w:ind w:left="62"/>
              <w:rPr>
                <w:rFonts w:ascii="Calibri" w:hAnsi="Calibri" w:cs="Calibri"/>
              </w:rPr>
            </w:pPr>
            <w:r>
              <w:rPr>
                <w:rFonts w:ascii="Calibri" w:hAnsi="Calibri"/>
                <w:color w:val="000000"/>
              </w:rPr>
              <w:t xml:space="preserve">Промотор </w:t>
            </w:r>
            <w:r w:rsidRPr="009D59CA">
              <w:rPr>
                <w:rFonts w:ascii="Calibri" w:hAnsi="Calibri"/>
                <w:i/>
                <w:color w:val="000000"/>
              </w:rPr>
              <w:t>inhA</w:t>
            </w:r>
          </w:p>
        </w:tc>
        <w:tc>
          <w:tcPr>
            <w:tcW w:w="2443" w:type="dxa"/>
            <w:tcBorders>
              <w:top w:val="single" w:sz="8" w:space="0" w:color="009649"/>
              <w:bottom w:val="single" w:sz="8" w:space="0" w:color="009649"/>
            </w:tcBorders>
            <w:shd w:val="clear" w:color="auto" w:fill="FFFFFF"/>
          </w:tcPr>
          <w:p w:rsidR="00E81769" w:rsidRPr="00907702" w:rsidRDefault="00E81769" w:rsidP="00DC2656">
            <w:pPr>
              <w:jc w:val="center"/>
              <w:rPr>
                <w:rFonts w:ascii="Calibri" w:hAnsi="Calibri" w:cs="Calibri"/>
              </w:rPr>
            </w:pPr>
            <w:r>
              <w:rPr>
                <w:rFonts w:ascii="Calibri" w:hAnsi="Calibri"/>
                <w:color w:val="000000"/>
              </w:rPr>
              <w:t>Не застосовується</w:t>
            </w:r>
          </w:p>
        </w:tc>
        <w:tc>
          <w:tcPr>
            <w:tcW w:w="2414" w:type="dxa"/>
            <w:tcBorders>
              <w:top w:val="single" w:sz="8" w:space="0" w:color="009649"/>
              <w:bottom w:val="single" w:sz="8" w:space="0" w:color="009649"/>
            </w:tcBorders>
            <w:shd w:val="clear" w:color="auto" w:fill="FFFFFF"/>
          </w:tcPr>
          <w:p w:rsidR="00E81769" w:rsidRPr="00907702" w:rsidRDefault="00E81769" w:rsidP="00DC2656">
            <w:pPr>
              <w:ind w:left="293" w:right="307"/>
              <w:jc w:val="center"/>
              <w:rPr>
                <w:rFonts w:ascii="Calibri" w:hAnsi="Calibri" w:cs="Calibri"/>
              </w:rPr>
            </w:pPr>
            <w:r>
              <w:rPr>
                <w:rFonts w:ascii="Calibri" w:hAnsi="Calibri"/>
                <w:color w:val="000000"/>
              </w:rPr>
              <w:t>міжгенна ділянка від – 1 до –32</w:t>
            </w:r>
          </w:p>
        </w:tc>
      </w:tr>
      <w:tr w:rsidR="00E81769" w:rsidRPr="00907702" w:rsidTr="00E81769">
        <w:trPr>
          <w:trHeight w:val="20"/>
        </w:trPr>
        <w:tc>
          <w:tcPr>
            <w:tcW w:w="1920" w:type="dxa"/>
            <w:vMerge/>
            <w:shd w:val="clear" w:color="auto" w:fill="FFFFFF"/>
          </w:tcPr>
          <w:p w:rsidR="00E81769" w:rsidRPr="00907702" w:rsidRDefault="00E81769" w:rsidP="00DC2656">
            <w:pPr>
              <w:rPr>
                <w:rFonts w:ascii="Calibri" w:hAnsi="Calibri" w:cs="Calibri"/>
              </w:rPr>
            </w:pPr>
          </w:p>
        </w:tc>
        <w:tc>
          <w:tcPr>
            <w:tcW w:w="2328" w:type="dxa"/>
            <w:tcBorders>
              <w:top w:val="single" w:sz="8" w:space="0" w:color="009649"/>
              <w:bottom w:val="single" w:sz="8" w:space="0" w:color="009649"/>
            </w:tcBorders>
            <w:shd w:val="clear" w:color="auto" w:fill="FFFFFF"/>
          </w:tcPr>
          <w:p w:rsidR="00E81769" w:rsidRPr="00907702" w:rsidRDefault="00E81769" w:rsidP="00DC2656">
            <w:pPr>
              <w:ind w:left="67"/>
              <w:rPr>
                <w:rFonts w:ascii="Calibri" w:hAnsi="Calibri" w:cs="Calibri"/>
              </w:rPr>
            </w:pPr>
            <w:r>
              <w:rPr>
                <w:rFonts w:ascii="Calibri" w:hAnsi="Calibri"/>
                <w:i/>
                <w:color w:val="000000"/>
              </w:rPr>
              <w:t>katG</w:t>
            </w:r>
          </w:p>
        </w:tc>
        <w:tc>
          <w:tcPr>
            <w:tcW w:w="2443" w:type="dxa"/>
            <w:tcBorders>
              <w:top w:val="single" w:sz="8" w:space="0" w:color="009649"/>
              <w:bottom w:val="single" w:sz="8" w:space="0" w:color="009649"/>
            </w:tcBorders>
            <w:shd w:val="clear" w:color="auto" w:fill="FFFFFF"/>
          </w:tcPr>
          <w:p w:rsidR="00E81769" w:rsidRPr="00907702" w:rsidRDefault="00E81769" w:rsidP="00DC2656">
            <w:pPr>
              <w:jc w:val="center"/>
              <w:rPr>
                <w:rFonts w:ascii="Calibri" w:hAnsi="Calibri" w:cs="Calibri"/>
              </w:rPr>
            </w:pPr>
            <w:r>
              <w:rPr>
                <w:rFonts w:ascii="Calibri" w:hAnsi="Calibri"/>
                <w:color w:val="000000"/>
              </w:rPr>
              <w:t>311-319</w:t>
            </w:r>
          </w:p>
        </w:tc>
        <w:tc>
          <w:tcPr>
            <w:tcW w:w="2414" w:type="dxa"/>
            <w:tcBorders>
              <w:top w:val="single" w:sz="8" w:space="0" w:color="009649"/>
              <w:bottom w:val="single" w:sz="8" w:space="0" w:color="009649"/>
            </w:tcBorders>
            <w:shd w:val="clear" w:color="auto" w:fill="FFFFFF"/>
          </w:tcPr>
          <w:p w:rsidR="00E81769" w:rsidRPr="00907702" w:rsidRDefault="00E81769" w:rsidP="00DC2656">
            <w:pPr>
              <w:jc w:val="center"/>
              <w:rPr>
                <w:rFonts w:ascii="Calibri" w:hAnsi="Calibri" w:cs="Calibri"/>
              </w:rPr>
            </w:pPr>
            <w:r>
              <w:rPr>
                <w:rFonts w:ascii="Calibri" w:hAnsi="Calibri"/>
                <w:color w:val="000000"/>
              </w:rPr>
              <w:t>939-957</w:t>
            </w:r>
          </w:p>
        </w:tc>
      </w:tr>
      <w:tr w:rsidR="00E81769" w:rsidRPr="00907702" w:rsidTr="00E81769">
        <w:trPr>
          <w:trHeight w:val="20"/>
        </w:trPr>
        <w:tc>
          <w:tcPr>
            <w:tcW w:w="1920" w:type="dxa"/>
            <w:vMerge/>
            <w:shd w:val="clear" w:color="auto" w:fill="FFFFFF"/>
          </w:tcPr>
          <w:p w:rsidR="00E81769" w:rsidRPr="00907702" w:rsidRDefault="00E81769" w:rsidP="00DC2656">
            <w:pPr>
              <w:rPr>
                <w:rFonts w:ascii="Calibri" w:hAnsi="Calibri" w:cs="Calibri"/>
              </w:rPr>
            </w:pPr>
          </w:p>
        </w:tc>
        <w:tc>
          <w:tcPr>
            <w:tcW w:w="2328" w:type="dxa"/>
            <w:tcBorders>
              <w:top w:val="single" w:sz="8" w:space="0" w:color="009649"/>
              <w:bottom w:val="single" w:sz="8" w:space="0" w:color="009649"/>
            </w:tcBorders>
            <w:shd w:val="clear" w:color="auto" w:fill="FFFFFF"/>
          </w:tcPr>
          <w:p w:rsidR="00E81769" w:rsidRPr="00907702" w:rsidRDefault="00E81769" w:rsidP="00DC2656">
            <w:pPr>
              <w:ind w:left="72"/>
              <w:rPr>
                <w:rFonts w:ascii="Calibri" w:hAnsi="Calibri" w:cs="Calibri"/>
              </w:rPr>
            </w:pPr>
            <w:r>
              <w:rPr>
                <w:rFonts w:ascii="Calibri" w:hAnsi="Calibri"/>
                <w:i/>
                <w:color w:val="000000"/>
              </w:rPr>
              <w:t>fabG1</w:t>
            </w:r>
          </w:p>
        </w:tc>
        <w:tc>
          <w:tcPr>
            <w:tcW w:w="2443" w:type="dxa"/>
            <w:tcBorders>
              <w:top w:val="single" w:sz="8" w:space="0" w:color="009649"/>
              <w:bottom w:val="single" w:sz="8" w:space="0" w:color="009649"/>
            </w:tcBorders>
            <w:shd w:val="clear" w:color="auto" w:fill="FFFFFF"/>
          </w:tcPr>
          <w:p w:rsidR="00E81769" w:rsidRPr="00907702" w:rsidRDefault="00E81769" w:rsidP="00DC2656">
            <w:pPr>
              <w:jc w:val="center"/>
              <w:rPr>
                <w:rFonts w:ascii="Calibri" w:hAnsi="Calibri" w:cs="Calibri"/>
              </w:rPr>
            </w:pPr>
            <w:r>
              <w:rPr>
                <w:rFonts w:ascii="Calibri" w:hAnsi="Calibri"/>
                <w:color w:val="000000"/>
              </w:rPr>
              <w:t>199-210</w:t>
            </w:r>
          </w:p>
        </w:tc>
        <w:tc>
          <w:tcPr>
            <w:tcW w:w="2414" w:type="dxa"/>
            <w:tcBorders>
              <w:top w:val="single" w:sz="8" w:space="0" w:color="009649"/>
              <w:bottom w:val="single" w:sz="8" w:space="0" w:color="009649"/>
            </w:tcBorders>
            <w:shd w:val="clear" w:color="auto" w:fill="FFFFFF"/>
          </w:tcPr>
          <w:p w:rsidR="00E81769" w:rsidRPr="00907702" w:rsidRDefault="00E81769" w:rsidP="00DC2656">
            <w:pPr>
              <w:jc w:val="center"/>
              <w:rPr>
                <w:rFonts w:ascii="Calibri" w:hAnsi="Calibri" w:cs="Calibri"/>
              </w:rPr>
            </w:pPr>
            <w:r>
              <w:rPr>
                <w:rFonts w:ascii="Calibri" w:hAnsi="Calibri"/>
                <w:color w:val="000000"/>
              </w:rPr>
              <w:t>597-630</w:t>
            </w:r>
          </w:p>
        </w:tc>
      </w:tr>
      <w:tr w:rsidR="00E81769" w:rsidRPr="00907702" w:rsidTr="00E81769">
        <w:trPr>
          <w:trHeight w:val="20"/>
        </w:trPr>
        <w:tc>
          <w:tcPr>
            <w:tcW w:w="1920" w:type="dxa"/>
            <w:vMerge/>
            <w:tcBorders>
              <w:bottom w:val="single" w:sz="8" w:space="0" w:color="009649"/>
            </w:tcBorders>
            <w:shd w:val="clear" w:color="auto" w:fill="FFFFFF"/>
          </w:tcPr>
          <w:p w:rsidR="00E81769" w:rsidRPr="00907702" w:rsidRDefault="00E81769" w:rsidP="00DC2656">
            <w:pPr>
              <w:rPr>
                <w:rFonts w:ascii="Calibri" w:hAnsi="Calibri" w:cs="Calibri"/>
              </w:rPr>
            </w:pPr>
          </w:p>
        </w:tc>
        <w:tc>
          <w:tcPr>
            <w:tcW w:w="2328" w:type="dxa"/>
            <w:tcBorders>
              <w:top w:val="single" w:sz="8" w:space="0" w:color="009649"/>
              <w:bottom w:val="single" w:sz="8" w:space="0" w:color="009649"/>
            </w:tcBorders>
            <w:shd w:val="clear" w:color="auto" w:fill="FFFFFF"/>
          </w:tcPr>
          <w:p w:rsidR="00E81769" w:rsidRPr="00907702" w:rsidRDefault="00E81769" w:rsidP="00DC2656">
            <w:pPr>
              <w:ind w:left="62" w:right="456"/>
              <w:rPr>
                <w:rFonts w:ascii="Calibri" w:hAnsi="Calibri" w:cs="Calibri"/>
              </w:rPr>
            </w:pPr>
            <w:r>
              <w:rPr>
                <w:rFonts w:ascii="Calibri" w:hAnsi="Calibri"/>
                <w:color w:val="000000"/>
              </w:rPr>
              <w:t xml:space="preserve">міжгенна ділянка </w:t>
            </w:r>
            <w:r w:rsidRPr="00E81769">
              <w:rPr>
                <w:rFonts w:ascii="Calibri" w:hAnsi="Calibri"/>
                <w:i/>
                <w:color w:val="000000"/>
              </w:rPr>
              <w:t>oxyR-ahpC</w:t>
            </w:r>
          </w:p>
        </w:tc>
        <w:tc>
          <w:tcPr>
            <w:tcW w:w="2443" w:type="dxa"/>
            <w:tcBorders>
              <w:top w:val="single" w:sz="8" w:space="0" w:color="009649"/>
              <w:bottom w:val="single" w:sz="8" w:space="0" w:color="009649"/>
            </w:tcBorders>
            <w:shd w:val="clear" w:color="auto" w:fill="FFFFFF"/>
          </w:tcPr>
          <w:p w:rsidR="00E81769" w:rsidRPr="00907702" w:rsidRDefault="00E81769" w:rsidP="00DC2656">
            <w:pPr>
              <w:jc w:val="center"/>
              <w:rPr>
                <w:rFonts w:ascii="Calibri" w:hAnsi="Calibri" w:cs="Calibri"/>
              </w:rPr>
            </w:pPr>
            <w:r>
              <w:rPr>
                <w:rFonts w:ascii="Calibri" w:hAnsi="Calibri"/>
                <w:color w:val="000000"/>
              </w:rPr>
              <w:t>Не застосовується</w:t>
            </w:r>
          </w:p>
        </w:tc>
        <w:tc>
          <w:tcPr>
            <w:tcW w:w="2414" w:type="dxa"/>
            <w:tcBorders>
              <w:top w:val="single" w:sz="8" w:space="0" w:color="009649"/>
              <w:bottom w:val="single" w:sz="8" w:space="0" w:color="009649"/>
            </w:tcBorders>
            <w:shd w:val="clear" w:color="auto" w:fill="FFFFFF"/>
          </w:tcPr>
          <w:p w:rsidR="00E81769" w:rsidRPr="00907702" w:rsidRDefault="00E81769" w:rsidP="00DC2656">
            <w:pPr>
              <w:ind w:left="58" w:right="67"/>
              <w:jc w:val="center"/>
              <w:rPr>
                <w:rFonts w:ascii="Calibri" w:hAnsi="Calibri" w:cs="Calibri"/>
              </w:rPr>
            </w:pPr>
            <w:r>
              <w:rPr>
                <w:rFonts w:ascii="Calibri" w:hAnsi="Calibri"/>
                <w:color w:val="000000"/>
              </w:rPr>
              <w:t>міжгенна ділянка від –5 до –50 (або від –47 до –92</w:t>
            </w:r>
            <w:r>
              <w:rPr>
                <w:rFonts w:ascii="Calibri" w:hAnsi="Calibri"/>
                <w:color w:val="000000"/>
                <w:vertAlign w:val="superscript"/>
              </w:rPr>
              <w:t>a</w:t>
            </w:r>
            <w:r>
              <w:rPr>
                <w:rFonts w:ascii="Calibri" w:hAnsi="Calibri"/>
                <w:color w:val="000000"/>
              </w:rPr>
              <w:t>)</w:t>
            </w:r>
          </w:p>
        </w:tc>
      </w:tr>
      <w:tr w:rsidR="00ED665B" w:rsidRPr="00907702" w:rsidTr="00E81769">
        <w:trPr>
          <w:trHeight w:val="20"/>
        </w:trPr>
        <w:tc>
          <w:tcPr>
            <w:tcW w:w="1920" w:type="dxa"/>
            <w:tcBorders>
              <w:top w:val="single" w:sz="8" w:space="0" w:color="009649"/>
              <w:bottom w:val="single" w:sz="8" w:space="0" w:color="009649"/>
            </w:tcBorders>
            <w:shd w:val="clear" w:color="auto" w:fill="FFFFFF"/>
          </w:tcPr>
          <w:p w:rsidR="00ED665B" w:rsidRPr="00907702" w:rsidRDefault="006C7D2F" w:rsidP="00DC2656">
            <w:pPr>
              <w:ind w:left="82"/>
              <w:rPr>
                <w:rFonts w:ascii="Calibri" w:hAnsi="Calibri" w:cs="Calibri"/>
              </w:rPr>
            </w:pPr>
            <w:r>
              <w:rPr>
                <w:rFonts w:ascii="Calibri" w:hAnsi="Calibri"/>
                <w:color w:val="000000"/>
              </w:rPr>
              <w:t>Етіонамід</w:t>
            </w:r>
          </w:p>
        </w:tc>
        <w:tc>
          <w:tcPr>
            <w:tcW w:w="2328" w:type="dxa"/>
            <w:tcBorders>
              <w:top w:val="single" w:sz="8" w:space="0" w:color="009649"/>
              <w:bottom w:val="single" w:sz="8" w:space="0" w:color="009649"/>
            </w:tcBorders>
            <w:shd w:val="clear" w:color="auto" w:fill="FFFFFF"/>
          </w:tcPr>
          <w:p w:rsidR="00ED665B" w:rsidRPr="00907702" w:rsidRDefault="006C7D2F" w:rsidP="00DC2656">
            <w:pPr>
              <w:ind w:left="62"/>
              <w:rPr>
                <w:rFonts w:ascii="Calibri" w:hAnsi="Calibri" w:cs="Calibri"/>
              </w:rPr>
            </w:pPr>
            <w:r>
              <w:rPr>
                <w:rFonts w:ascii="Calibri" w:hAnsi="Calibri"/>
                <w:color w:val="000000"/>
              </w:rPr>
              <w:t xml:space="preserve">Промотор </w:t>
            </w:r>
            <w:r w:rsidRPr="00E81769">
              <w:rPr>
                <w:rFonts w:ascii="Calibri" w:hAnsi="Calibri"/>
                <w:i/>
                <w:color w:val="000000"/>
              </w:rPr>
              <w:t>inhA</w:t>
            </w:r>
          </w:p>
        </w:tc>
        <w:tc>
          <w:tcPr>
            <w:tcW w:w="2443"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Не застосовується</w:t>
            </w:r>
          </w:p>
        </w:tc>
        <w:tc>
          <w:tcPr>
            <w:tcW w:w="2414" w:type="dxa"/>
            <w:tcBorders>
              <w:top w:val="single" w:sz="8" w:space="0" w:color="009649"/>
              <w:bottom w:val="single" w:sz="8" w:space="0" w:color="009649"/>
            </w:tcBorders>
            <w:shd w:val="clear" w:color="auto" w:fill="FFFFFF"/>
          </w:tcPr>
          <w:p w:rsidR="00ED665B" w:rsidRPr="00907702" w:rsidRDefault="006C7D2F" w:rsidP="00DC2656">
            <w:pPr>
              <w:ind w:left="293" w:right="307"/>
              <w:jc w:val="center"/>
              <w:rPr>
                <w:rFonts w:ascii="Calibri" w:hAnsi="Calibri" w:cs="Calibri"/>
              </w:rPr>
            </w:pPr>
            <w:r>
              <w:rPr>
                <w:rFonts w:ascii="Calibri" w:hAnsi="Calibri"/>
                <w:color w:val="000000"/>
              </w:rPr>
              <w:t>міжгенна ділянка від – 1 до –32</w:t>
            </w:r>
          </w:p>
        </w:tc>
      </w:tr>
      <w:tr w:rsidR="00E81769" w:rsidRPr="00907702" w:rsidTr="00E26C0F">
        <w:trPr>
          <w:trHeight w:val="20"/>
        </w:trPr>
        <w:tc>
          <w:tcPr>
            <w:tcW w:w="1920" w:type="dxa"/>
            <w:vMerge w:val="restart"/>
            <w:tcBorders>
              <w:top w:val="single" w:sz="8" w:space="0" w:color="009649"/>
            </w:tcBorders>
            <w:shd w:val="clear" w:color="auto" w:fill="FFFFFF"/>
          </w:tcPr>
          <w:p w:rsidR="00E81769" w:rsidRPr="00907702" w:rsidRDefault="00E81769" w:rsidP="00E81769">
            <w:pPr>
              <w:ind w:left="71"/>
              <w:rPr>
                <w:rFonts w:ascii="Calibri" w:hAnsi="Calibri" w:cs="Calibri"/>
              </w:rPr>
            </w:pPr>
            <w:r>
              <w:rPr>
                <w:rFonts w:ascii="Calibri" w:hAnsi="Calibri"/>
                <w:color w:val="000000"/>
              </w:rPr>
              <w:t>Фторхінолони</w:t>
            </w:r>
          </w:p>
        </w:tc>
        <w:tc>
          <w:tcPr>
            <w:tcW w:w="2328" w:type="dxa"/>
            <w:tcBorders>
              <w:top w:val="single" w:sz="8" w:space="0" w:color="009649"/>
              <w:bottom w:val="single" w:sz="8" w:space="0" w:color="009649"/>
            </w:tcBorders>
            <w:shd w:val="clear" w:color="auto" w:fill="FFFFFF"/>
          </w:tcPr>
          <w:p w:rsidR="00E81769" w:rsidRPr="00907702" w:rsidRDefault="00E81769" w:rsidP="00DC2656">
            <w:pPr>
              <w:ind w:left="62"/>
              <w:rPr>
                <w:rFonts w:ascii="Calibri" w:hAnsi="Calibri" w:cs="Calibri"/>
              </w:rPr>
            </w:pPr>
            <w:r w:rsidRPr="00FA1569">
              <w:rPr>
                <w:rFonts w:ascii="Calibri" w:hAnsi="Calibri"/>
                <w:i/>
                <w:color w:val="000000"/>
              </w:rPr>
              <w:t>gyrA</w:t>
            </w:r>
          </w:p>
        </w:tc>
        <w:tc>
          <w:tcPr>
            <w:tcW w:w="2443" w:type="dxa"/>
            <w:tcBorders>
              <w:top w:val="single" w:sz="8" w:space="0" w:color="009649"/>
              <w:bottom w:val="single" w:sz="8" w:space="0" w:color="009649"/>
            </w:tcBorders>
            <w:shd w:val="clear" w:color="auto" w:fill="FFFFFF"/>
          </w:tcPr>
          <w:p w:rsidR="00E81769" w:rsidRPr="00907702" w:rsidRDefault="00E81769" w:rsidP="00DC2656">
            <w:pPr>
              <w:jc w:val="center"/>
              <w:rPr>
                <w:rFonts w:ascii="Calibri" w:hAnsi="Calibri" w:cs="Calibri"/>
              </w:rPr>
            </w:pPr>
            <w:r>
              <w:rPr>
                <w:rFonts w:ascii="Calibri" w:hAnsi="Calibri"/>
                <w:color w:val="000000"/>
              </w:rPr>
              <w:t>87-95</w:t>
            </w:r>
          </w:p>
        </w:tc>
        <w:tc>
          <w:tcPr>
            <w:tcW w:w="2414" w:type="dxa"/>
            <w:tcBorders>
              <w:top w:val="single" w:sz="8" w:space="0" w:color="009649"/>
              <w:bottom w:val="single" w:sz="8" w:space="0" w:color="009649"/>
            </w:tcBorders>
            <w:shd w:val="clear" w:color="auto" w:fill="FFFFFF"/>
          </w:tcPr>
          <w:p w:rsidR="00E81769" w:rsidRPr="00907702" w:rsidRDefault="00E81769" w:rsidP="00DC2656">
            <w:pPr>
              <w:jc w:val="center"/>
              <w:rPr>
                <w:rFonts w:ascii="Calibri" w:hAnsi="Calibri" w:cs="Calibri"/>
              </w:rPr>
            </w:pPr>
            <w:r>
              <w:rPr>
                <w:rFonts w:ascii="Calibri" w:hAnsi="Calibri"/>
                <w:color w:val="000000"/>
              </w:rPr>
              <w:t>261-285</w:t>
            </w:r>
          </w:p>
        </w:tc>
      </w:tr>
      <w:tr w:rsidR="00E81769" w:rsidRPr="00907702" w:rsidTr="00E26C0F">
        <w:trPr>
          <w:trHeight w:val="20"/>
        </w:trPr>
        <w:tc>
          <w:tcPr>
            <w:tcW w:w="1920" w:type="dxa"/>
            <w:vMerge/>
            <w:tcBorders>
              <w:bottom w:val="single" w:sz="8" w:space="0" w:color="009649"/>
            </w:tcBorders>
            <w:shd w:val="clear" w:color="auto" w:fill="FFFFFF"/>
          </w:tcPr>
          <w:p w:rsidR="00E81769" w:rsidRPr="00907702" w:rsidRDefault="00E81769" w:rsidP="00DC2656">
            <w:pPr>
              <w:rPr>
                <w:rFonts w:ascii="Calibri" w:hAnsi="Calibri" w:cs="Calibri"/>
              </w:rPr>
            </w:pPr>
          </w:p>
        </w:tc>
        <w:tc>
          <w:tcPr>
            <w:tcW w:w="2328" w:type="dxa"/>
            <w:tcBorders>
              <w:top w:val="single" w:sz="8" w:space="0" w:color="009649"/>
              <w:bottom w:val="single" w:sz="8" w:space="0" w:color="009649"/>
            </w:tcBorders>
            <w:shd w:val="clear" w:color="auto" w:fill="FFFFFF"/>
          </w:tcPr>
          <w:p w:rsidR="00E81769" w:rsidRPr="00907702" w:rsidRDefault="00E81769" w:rsidP="00DC2656">
            <w:pPr>
              <w:ind w:left="62"/>
              <w:rPr>
                <w:rFonts w:ascii="Calibri" w:hAnsi="Calibri" w:cs="Calibri"/>
              </w:rPr>
            </w:pPr>
            <w:r w:rsidRPr="00FA1569">
              <w:rPr>
                <w:rFonts w:ascii="Calibri" w:hAnsi="Calibri"/>
                <w:i/>
                <w:color w:val="000000"/>
              </w:rPr>
              <w:t>gyrB</w:t>
            </w:r>
          </w:p>
        </w:tc>
        <w:tc>
          <w:tcPr>
            <w:tcW w:w="2443" w:type="dxa"/>
            <w:tcBorders>
              <w:top w:val="single" w:sz="8" w:space="0" w:color="009649"/>
              <w:bottom w:val="single" w:sz="8" w:space="0" w:color="009649"/>
            </w:tcBorders>
            <w:shd w:val="clear" w:color="auto" w:fill="FFFFFF"/>
          </w:tcPr>
          <w:p w:rsidR="00E81769" w:rsidRPr="00907702" w:rsidRDefault="00E81769" w:rsidP="00DC2656">
            <w:pPr>
              <w:jc w:val="center"/>
              <w:rPr>
                <w:rFonts w:ascii="Calibri" w:hAnsi="Calibri" w:cs="Calibri"/>
              </w:rPr>
            </w:pPr>
            <w:r>
              <w:rPr>
                <w:rFonts w:ascii="Calibri" w:hAnsi="Calibri"/>
                <w:color w:val="000000"/>
              </w:rPr>
              <w:t>531–544 (або 493–505</w:t>
            </w:r>
            <w:r>
              <w:rPr>
                <w:rFonts w:ascii="Calibri" w:hAnsi="Calibri"/>
                <w:color w:val="000000"/>
                <w:vertAlign w:val="superscript"/>
              </w:rPr>
              <w:t>a</w:t>
            </w:r>
            <w:r>
              <w:rPr>
                <w:rFonts w:ascii="Calibri" w:hAnsi="Calibri"/>
                <w:color w:val="000000"/>
              </w:rPr>
              <w:t>)</w:t>
            </w:r>
          </w:p>
        </w:tc>
        <w:tc>
          <w:tcPr>
            <w:tcW w:w="2414" w:type="dxa"/>
            <w:tcBorders>
              <w:top w:val="single" w:sz="8" w:space="0" w:color="009649"/>
              <w:bottom w:val="single" w:sz="8" w:space="0" w:color="009649"/>
            </w:tcBorders>
            <w:shd w:val="clear" w:color="auto" w:fill="FFFFFF"/>
          </w:tcPr>
          <w:p w:rsidR="00E81769" w:rsidRPr="00907702" w:rsidRDefault="00E81769" w:rsidP="00DC2656">
            <w:pPr>
              <w:jc w:val="center"/>
              <w:rPr>
                <w:rFonts w:ascii="Calibri" w:hAnsi="Calibri" w:cs="Calibri"/>
              </w:rPr>
            </w:pPr>
            <w:r>
              <w:rPr>
                <w:rFonts w:ascii="Calibri" w:hAnsi="Calibri"/>
                <w:color w:val="000000"/>
              </w:rPr>
              <w:t>1596-1632</w:t>
            </w:r>
          </w:p>
        </w:tc>
      </w:tr>
      <w:tr w:rsidR="00ED665B" w:rsidRPr="00907702" w:rsidTr="00E81769">
        <w:trPr>
          <w:trHeight w:val="20"/>
        </w:trPr>
        <w:tc>
          <w:tcPr>
            <w:tcW w:w="1920" w:type="dxa"/>
            <w:tcBorders>
              <w:top w:val="single" w:sz="8" w:space="0" w:color="009649"/>
              <w:bottom w:val="single" w:sz="8" w:space="0" w:color="009649"/>
            </w:tcBorders>
            <w:shd w:val="clear" w:color="auto" w:fill="FFFFFF"/>
          </w:tcPr>
          <w:p w:rsidR="00ED665B" w:rsidRPr="00907702" w:rsidRDefault="006C7D2F" w:rsidP="00DC2656">
            <w:pPr>
              <w:ind w:left="62" w:right="48"/>
              <w:rPr>
                <w:rFonts w:ascii="Calibri" w:hAnsi="Calibri" w:cs="Calibri"/>
              </w:rPr>
            </w:pPr>
            <w:r>
              <w:rPr>
                <w:rFonts w:ascii="Calibri" w:hAnsi="Calibri"/>
                <w:color w:val="000000"/>
              </w:rPr>
              <w:t>Амікацин, капреоміцин і канаміцин</w:t>
            </w:r>
          </w:p>
        </w:tc>
        <w:tc>
          <w:tcPr>
            <w:tcW w:w="2328" w:type="dxa"/>
            <w:tcBorders>
              <w:top w:val="single" w:sz="8" w:space="0" w:color="009649"/>
              <w:bottom w:val="single" w:sz="8" w:space="0" w:color="009649"/>
            </w:tcBorders>
            <w:shd w:val="clear" w:color="auto" w:fill="FFFFFF"/>
          </w:tcPr>
          <w:p w:rsidR="00ED665B" w:rsidRPr="00907702" w:rsidRDefault="006C7D2F" w:rsidP="00DC2656">
            <w:pPr>
              <w:ind w:left="67"/>
              <w:rPr>
                <w:rFonts w:ascii="Calibri" w:hAnsi="Calibri" w:cs="Calibri"/>
              </w:rPr>
            </w:pPr>
            <w:r w:rsidRPr="00FA1569">
              <w:rPr>
                <w:rFonts w:ascii="Calibri" w:hAnsi="Calibri"/>
                <w:i/>
                <w:color w:val="000000"/>
              </w:rPr>
              <w:t>rrs</w:t>
            </w:r>
          </w:p>
        </w:tc>
        <w:tc>
          <w:tcPr>
            <w:tcW w:w="2443"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Не застосовується</w:t>
            </w:r>
          </w:p>
        </w:tc>
        <w:tc>
          <w:tcPr>
            <w:tcW w:w="2414"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1396-1417</w:t>
            </w:r>
          </w:p>
        </w:tc>
      </w:tr>
      <w:tr w:rsidR="00ED665B" w:rsidRPr="00907702" w:rsidTr="00E81769">
        <w:trPr>
          <w:trHeight w:val="20"/>
        </w:trPr>
        <w:tc>
          <w:tcPr>
            <w:tcW w:w="1920" w:type="dxa"/>
            <w:tcBorders>
              <w:top w:val="single" w:sz="8" w:space="0" w:color="009649"/>
              <w:bottom w:val="single" w:sz="8" w:space="0" w:color="009649"/>
            </w:tcBorders>
            <w:shd w:val="clear" w:color="auto" w:fill="FFFFFF"/>
          </w:tcPr>
          <w:p w:rsidR="00ED665B" w:rsidRPr="00907702" w:rsidRDefault="006C7D2F" w:rsidP="00DC2656">
            <w:pPr>
              <w:ind w:left="62" w:right="370"/>
              <w:rPr>
                <w:rFonts w:ascii="Calibri" w:hAnsi="Calibri" w:cs="Calibri"/>
              </w:rPr>
            </w:pPr>
            <w:r>
              <w:rPr>
                <w:rFonts w:ascii="Calibri" w:hAnsi="Calibri"/>
                <w:color w:val="000000"/>
              </w:rPr>
              <w:t>Амікацин і канаміцин</w:t>
            </w:r>
          </w:p>
        </w:tc>
        <w:tc>
          <w:tcPr>
            <w:tcW w:w="2328" w:type="dxa"/>
            <w:tcBorders>
              <w:top w:val="single" w:sz="8" w:space="0" w:color="009649"/>
              <w:bottom w:val="single" w:sz="8" w:space="0" w:color="009649"/>
            </w:tcBorders>
            <w:shd w:val="clear" w:color="auto" w:fill="FFFFFF"/>
          </w:tcPr>
          <w:p w:rsidR="00ED665B" w:rsidRPr="00907702" w:rsidRDefault="006C7D2F" w:rsidP="00DC2656">
            <w:pPr>
              <w:ind w:left="62"/>
              <w:rPr>
                <w:rFonts w:ascii="Calibri" w:hAnsi="Calibri" w:cs="Calibri"/>
              </w:rPr>
            </w:pPr>
            <w:r>
              <w:rPr>
                <w:rFonts w:ascii="Calibri" w:hAnsi="Calibri"/>
                <w:color w:val="000000"/>
              </w:rPr>
              <w:t xml:space="preserve">промотор </w:t>
            </w:r>
            <w:r w:rsidRPr="00FA1569">
              <w:rPr>
                <w:rFonts w:ascii="Calibri" w:hAnsi="Calibri"/>
                <w:i/>
                <w:color w:val="000000"/>
              </w:rPr>
              <w:t>eis</w:t>
            </w:r>
          </w:p>
        </w:tc>
        <w:tc>
          <w:tcPr>
            <w:tcW w:w="2443" w:type="dxa"/>
            <w:tcBorders>
              <w:top w:val="single" w:sz="8" w:space="0" w:color="009649"/>
              <w:bottom w:val="single" w:sz="8" w:space="0" w:color="009649"/>
            </w:tcBorders>
            <w:shd w:val="clear" w:color="auto" w:fill="FFFFFF"/>
          </w:tcPr>
          <w:p w:rsidR="00ED665B" w:rsidRPr="00907702" w:rsidRDefault="006C7D2F" w:rsidP="00DC2656">
            <w:pPr>
              <w:jc w:val="center"/>
              <w:rPr>
                <w:rFonts w:ascii="Calibri" w:hAnsi="Calibri" w:cs="Calibri"/>
              </w:rPr>
            </w:pPr>
            <w:r>
              <w:rPr>
                <w:rFonts w:ascii="Calibri" w:hAnsi="Calibri"/>
                <w:color w:val="000000"/>
              </w:rPr>
              <w:t>Не застосовується</w:t>
            </w:r>
          </w:p>
        </w:tc>
        <w:tc>
          <w:tcPr>
            <w:tcW w:w="2414" w:type="dxa"/>
            <w:tcBorders>
              <w:top w:val="single" w:sz="8" w:space="0" w:color="009649"/>
              <w:bottom w:val="single" w:sz="8" w:space="0" w:color="009649"/>
            </w:tcBorders>
            <w:shd w:val="clear" w:color="auto" w:fill="FFFFFF"/>
          </w:tcPr>
          <w:p w:rsidR="00ED665B" w:rsidRPr="00907702" w:rsidRDefault="006C7D2F" w:rsidP="00DC2656">
            <w:pPr>
              <w:ind w:left="293" w:right="307"/>
              <w:jc w:val="center"/>
              <w:rPr>
                <w:rFonts w:ascii="Calibri" w:hAnsi="Calibri" w:cs="Calibri"/>
              </w:rPr>
            </w:pPr>
            <w:r>
              <w:rPr>
                <w:rFonts w:ascii="Calibri" w:hAnsi="Calibri"/>
                <w:color w:val="000000"/>
              </w:rPr>
              <w:t xml:space="preserve">міжгенна ділянка від – 6 до </w:t>
            </w:r>
            <w:r w:rsidR="00E81769">
              <w:rPr>
                <w:rFonts w:ascii="Calibri" w:hAnsi="Calibri"/>
                <w:color w:val="000000"/>
              </w:rPr>
              <w:t xml:space="preserve">– </w:t>
            </w:r>
            <w:r>
              <w:rPr>
                <w:rFonts w:ascii="Calibri" w:hAnsi="Calibri"/>
                <w:color w:val="000000"/>
              </w:rPr>
              <w:t>42</w:t>
            </w:r>
          </w:p>
        </w:tc>
      </w:tr>
      <w:tr w:rsidR="00ED665B" w:rsidRPr="00907702" w:rsidTr="00E81769">
        <w:trPr>
          <w:trHeight w:hRule="exact" w:val="384"/>
        </w:trPr>
        <w:tc>
          <w:tcPr>
            <w:tcW w:w="9105" w:type="dxa"/>
            <w:gridSpan w:val="4"/>
            <w:tcBorders>
              <w:top w:val="single" w:sz="8" w:space="0" w:color="009649"/>
              <w:left w:val="nil"/>
              <w:bottom w:val="nil"/>
              <w:right w:val="nil"/>
            </w:tcBorders>
            <w:shd w:val="clear" w:color="auto" w:fill="FFFFFF"/>
          </w:tcPr>
          <w:p w:rsidR="00ED665B" w:rsidRPr="00907702" w:rsidRDefault="006C7D2F" w:rsidP="0031040C">
            <w:pPr>
              <w:spacing w:before="120"/>
              <w:rPr>
                <w:rFonts w:ascii="Calibri" w:hAnsi="Calibri" w:cs="Calibri"/>
              </w:rPr>
            </w:pPr>
            <w:r>
              <w:rPr>
                <w:rFonts w:ascii="Calibri" w:hAnsi="Calibri"/>
                <w:color w:val="000000"/>
                <w:sz w:val="16"/>
                <w:vertAlign w:val="superscript"/>
              </w:rPr>
              <w:t>а</w:t>
            </w:r>
            <w:r>
              <w:rPr>
                <w:rFonts w:ascii="Calibri" w:hAnsi="Calibri"/>
                <w:color w:val="000000"/>
                <w:sz w:val="16"/>
              </w:rPr>
              <w:t xml:space="preserve"> Система нумерації кодонів за Camus et al. (2002) </w:t>
            </w:r>
            <w:r w:rsidRPr="00BE6F5B">
              <w:rPr>
                <w:rFonts w:ascii="Calibri" w:hAnsi="Calibri"/>
                <w:i/>
                <w:color w:val="000000"/>
                <w:sz w:val="16"/>
              </w:rPr>
              <w:t>(36)</w:t>
            </w:r>
            <w:r>
              <w:rPr>
                <w:rFonts w:ascii="Calibri" w:hAnsi="Calibri"/>
                <w:color w:val="000000"/>
                <w:sz w:val="16"/>
              </w:rPr>
              <w:t>.</w:t>
            </w:r>
          </w:p>
        </w:tc>
      </w:tr>
    </w:tbl>
    <w:p w:rsidR="00ED665B" w:rsidRPr="00DE3ED7" w:rsidRDefault="00640824" w:rsidP="00DC2656">
      <w:pPr>
        <w:spacing w:before="293"/>
        <w:ind w:left="34"/>
        <w:rPr>
          <w:rFonts w:ascii="Calibri" w:hAnsi="Calibri" w:cs="Calibri"/>
          <w:b/>
          <w:bCs/>
        </w:rPr>
      </w:pPr>
      <w:r>
        <w:rPr>
          <w:rFonts w:ascii="Calibri" w:hAnsi="Calibri"/>
          <w:b/>
          <w:color w:val="009649"/>
          <w:sz w:val="28"/>
        </w:rPr>
        <w:t>Обґрунтування та дані</w:t>
      </w:r>
    </w:p>
    <w:p w:rsidR="00ED665B" w:rsidRPr="00907702" w:rsidRDefault="006C7D2F" w:rsidP="00DC2656">
      <w:pPr>
        <w:spacing w:before="168"/>
        <w:ind w:left="34"/>
        <w:jc w:val="both"/>
        <w:rPr>
          <w:rFonts w:ascii="Calibri" w:hAnsi="Calibri" w:cs="Calibri"/>
        </w:rPr>
      </w:pPr>
      <w:r>
        <w:rPr>
          <w:rFonts w:ascii="Calibri" w:hAnsi="Calibri"/>
          <w:color w:val="000000"/>
          <w:sz w:val="22"/>
        </w:rPr>
        <w:t>У своїй Глобальній програмі боротьби з туберкульозом ВООЗ ініціювала оновлення настанов та запровадила систематичний огляд використання автоматизованих ТАНК низької складності для виявлення резистентності до ізоніазиду та лікарських засобів другого ряду у людей із ознаками та симптомами туберкульозу.</w:t>
      </w:r>
    </w:p>
    <w:p w:rsidR="00ED665B" w:rsidRPr="00907702" w:rsidRDefault="006C7D2F" w:rsidP="00DC2656">
      <w:pPr>
        <w:spacing w:before="163"/>
        <w:ind w:left="34"/>
        <w:jc w:val="both"/>
        <w:rPr>
          <w:rFonts w:ascii="Calibri" w:hAnsi="Calibri" w:cs="Calibri"/>
        </w:rPr>
      </w:pPr>
      <w:r>
        <w:rPr>
          <w:rFonts w:ascii="Calibri" w:hAnsi="Calibri"/>
          <w:color w:val="000000"/>
          <w:sz w:val="22"/>
        </w:rPr>
        <w:t>Питання PICO були розроблені, щоб створити основу для пошуку, зберігання та аналізу даних:</w:t>
      </w:r>
    </w:p>
    <w:p w:rsidR="00ED665B" w:rsidRPr="00907702" w:rsidRDefault="006C7D2F" w:rsidP="00DC2656">
      <w:pPr>
        <w:numPr>
          <w:ilvl w:val="0"/>
          <w:numId w:val="20"/>
        </w:numPr>
        <w:tabs>
          <w:tab w:val="left" w:pos="317"/>
        </w:tabs>
        <w:spacing w:before="168"/>
        <w:ind w:left="317" w:hanging="283"/>
        <w:jc w:val="both"/>
        <w:rPr>
          <w:rFonts w:ascii="Calibri" w:hAnsi="Calibri" w:cs="Calibri"/>
          <w:color w:val="000000"/>
          <w:sz w:val="22"/>
          <w:szCs w:val="22"/>
        </w:rPr>
      </w:pPr>
      <w:r>
        <w:rPr>
          <w:rFonts w:ascii="Calibri" w:hAnsi="Calibri"/>
          <w:color w:val="000000"/>
          <w:sz w:val="22"/>
        </w:rPr>
        <w:t>Чи слід використовувати автоматизовані ТАНК низької складності у мокротинні у людей з ознаками та симптомами легеневого туберкульозу незалежно від резистентності до рифампіцину для виявлення резистентності до ізоніазиду порівняно з фенотипічним ТМЧ на основі посіву?</w:t>
      </w:r>
    </w:p>
    <w:p w:rsidR="00ED665B" w:rsidRPr="00907702" w:rsidRDefault="006C7D2F" w:rsidP="00DC2656">
      <w:pPr>
        <w:numPr>
          <w:ilvl w:val="0"/>
          <w:numId w:val="20"/>
        </w:numPr>
        <w:tabs>
          <w:tab w:val="left" w:pos="317"/>
        </w:tabs>
        <w:spacing w:before="163"/>
        <w:ind w:left="317" w:hanging="283"/>
        <w:jc w:val="both"/>
        <w:rPr>
          <w:rFonts w:ascii="Calibri" w:hAnsi="Calibri" w:cs="Calibri"/>
          <w:color w:val="000000"/>
          <w:sz w:val="22"/>
          <w:szCs w:val="22"/>
        </w:rPr>
      </w:pPr>
      <w:r>
        <w:rPr>
          <w:rFonts w:ascii="Calibri" w:hAnsi="Calibri"/>
          <w:color w:val="000000"/>
          <w:sz w:val="22"/>
        </w:rPr>
        <w:t>Чи слід використовувати автоматизовані ТАНК низької складності у мокротинні у людей з ознаками та симптомами легеневого туберкульозу незалежно від резистентності до рифампіцину для виявлення резистентності до фторхінолонів порівняно з фенотипічним ТМЧ на основі посіву?</w:t>
      </w:r>
    </w:p>
    <w:p w:rsidR="00ED665B" w:rsidRPr="00907702" w:rsidRDefault="006C7D2F" w:rsidP="00DC2656">
      <w:pPr>
        <w:numPr>
          <w:ilvl w:val="0"/>
          <w:numId w:val="20"/>
        </w:numPr>
        <w:tabs>
          <w:tab w:val="left" w:pos="317"/>
        </w:tabs>
        <w:spacing w:before="168"/>
        <w:ind w:left="317" w:hanging="283"/>
        <w:jc w:val="both"/>
        <w:rPr>
          <w:rFonts w:ascii="Calibri" w:hAnsi="Calibri" w:cs="Calibri"/>
          <w:color w:val="000000"/>
          <w:sz w:val="22"/>
          <w:szCs w:val="22"/>
        </w:rPr>
      </w:pPr>
      <w:r>
        <w:rPr>
          <w:rFonts w:ascii="Calibri" w:hAnsi="Calibri"/>
          <w:color w:val="000000"/>
          <w:sz w:val="22"/>
        </w:rPr>
        <w:t xml:space="preserve">Чи слід використовувати автоматизовані ТАНК низької складності у культуральних ізолятах у людей з ознаками та симптомами легеневого туберкульозу з виявленою резистентністю до рифампіцину для виявлення резистентності до етіонаміду порівняно з генотипічною послідовністю промотору </w:t>
      </w:r>
      <w:r w:rsidRPr="009D59CA">
        <w:rPr>
          <w:rFonts w:ascii="Calibri" w:hAnsi="Calibri"/>
          <w:i/>
          <w:color w:val="000000"/>
          <w:sz w:val="22"/>
        </w:rPr>
        <w:t>inhA</w:t>
      </w:r>
      <w:r>
        <w:rPr>
          <w:rFonts w:ascii="Calibri" w:hAnsi="Calibri"/>
          <w:color w:val="000000"/>
          <w:sz w:val="22"/>
        </w:rPr>
        <w:t>?</w:t>
      </w:r>
    </w:p>
    <w:p w:rsidR="00ED665B" w:rsidRPr="00907702" w:rsidRDefault="00ED665B" w:rsidP="00DC2656">
      <w:pPr>
        <w:numPr>
          <w:ilvl w:val="0"/>
          <w:numId w:val="20"/>
        </w:numPr>
        <w:tabs>
          <w:tab w:val="left" w:pos="317"/>
        </w:tabs>
        <w:spacing w:before="168"/>
        <w:ind w:left="317" w:hanging="283"/>
        <w:jc w:val="both"/>
        <w:rPr>
          <w:rFonts w:ascii="Calibri" w:hAnsi="Calibri" w:cs="Calibri"/>
          <w:color w:val="000000"/>
          <w:sz w:val="22"/>
          <w:szCs w:val="22"/>
        </w:rPr>
        <w:sectPr w:rsidR="00ED665B" w:rsidRPr="00907702">
          <w:pgSz w:w="11904" w:h="16838"/>
          <w:pgMar w:top="1397" w:right="1416" w:bottom="2333" w:left="1382" w:header="720" w:footer="720" w:gutter="0"/>
          <w:cols w:space="60"/>
          <w:noEndnote/>
        </w:sectPr>
      </w:pPr>
    </w:p>
    <w:p w:rsidR="00ED665B" w:rsidRPr="00907702" w:rsidRDefault="006C7D2F" w:rsidP="00DC2656">
      <w:pPr>
        <w:ind w:left="283" w:hanging="283"/>
        <w:jc w:val="both"/>
        <w:rPr>
          <w:rFonts w:ascii="Calibri" w:hAnsi="Calibri" w:cs="Calibri"/>
        </w:rPr>
      </w:pPr>
      <w:r>
        <w:rPr>
          <w:rFonts w:ascii="Calibri" w:hAnsi="Calibri"/>
          <w:color w:val="000000"/>
          <w:sz w:val="22"/>
        </w:rPr>
        <w:lastRenderedPageBreak/>
        <w:t xml:space="preserve">4. </w:t>
      </w:r>
      <w:r>
        <w:rPr>
          <w:rFonts w:ascii="Calibri" w:hAnsi="Calibri"/>
          <w:color w:val="000000"/>
          <w:sz w:val="22"/>
        </w:rPr>
        <w:tab/>
        <w:t>Чи слід використовувати автоматизовані ТАНК низької складності у мокротинні у людей з ознаками та симптомами легеневого туберкульозу з виявленою резистентністю до рифампіцину для виявлення резистентності до амікацину порівняно з фенотипічним ТМЧ на основі посіву?</w:t>
      </w:r>
    </w:p>
    <w:p w:rsidR="00ED665B" w:rsidRPr="00907702" w:rsidRDefault="006C7D2F" w:rsidP="00DC2656">
      <w:pPr>
        <w:spacing w:before="168"/>
        <w:jc w:val="both"/>
        <w:rPr>
          <w:rFonts w:ascii="Calibri" w:hAnsi="Calibri" w:cs="Calibri"/>
        </w:rPr>
      </w:pPr>
      <w:r>
        <w:rPr>
          <w:rFonts w:ascii="Calibri" w:hAnsi="Calibri"/>
          <w:color w:val="000000"/>
          <w:sz w:val="22"/>
        </w:rPr>
        <w:t xml:space="preserve">У базах даних Ovid Medline (Ovid, з 1946 р. по теперішній час) та Embase (Ovid, з 1947 р. по теперішній час) були проведені дослідження для оцінки тестів на основі картриджів із використанням таких пошукових термінів: туберкульоз, легеневий AND Xpert, GeneXpert, Truenat, картридж, місце лікування/місце надання медичної послуги, тест на сприйнятливість до лікарських засобів, резистентність до ізоніазидів, резистентність до фторхінолонів та резистентність до ін’єкційних препаратів другої лінії. </w:t>
      </w:r>
      <w:r>
        <w:rPr>
          <w:rFonts w:ascii="Calibri" w:hAnsi="Calibri"/>
          <w:sz w:val="22"/>
        </w:rPr>
        <w:t xml:space="preserve">Також проводилися пошуки, які тривають і досі, на вебсайті </w:t>
      </w:r>
      <w:r w:rsidRPr="00E81769">
        <w:rPr>
          <w:rFonts w:ascii="Calibri" w:hAnsi="Calibri"/>
          <w:sz w:val="22"/>
        </w:rPr>
        <w:t xml:space="preserve">Clinicaltrials.gov </w:t>
      </w:r>
      <w:r>
        <w:rPr>
          <w:rFonts w:ascii="Calibri" w:hAnsi="Calibri"/>
          <w:color w:val="000000"/>
          <w:sz w:val="22"/>
        </w:rPr>
        <w:t>та Платформі міжнародного реєстру клінічних випробувань ВООЗ. Пошуки тривали до 6 вересня 2020 року без мовних обмежень. 4 листопада 2020 року було проведено додатковий пошук із використанням пошукових термінів Zeesan та MeltPro.</w:t>
      </w:r>
    </w:p>
    <w:p w:rsidR="00ED665B" w:rsidRPr="00907702" w:rsidRDefault="006C7D2F" w:rsidP="00DC2656">
      <w:pPr>
        <w:spacing w:before="168"/>
        <w:jc w:val="both"/>
        <w:rPr>
          <w:rFonts w:ascii="Calibri" w:hAnsi="Calibri" w:cs="Calibri"/>
        </w:rPr>
      </w:pPr>
      <w:r>
        <w:rPr>
          <w:rFonts w:ascii="Calibri" w:hAnsi="Calibri"/>
          <w:color w:val="000000"/>
          <w:sz w:val="22"/>
        </w:rPr>
        <w:t>За інформацією про поточні та неопубліковані дослідження зверталися до дослідників компанії FIND, представників Глобальної програми ВООЗ з туберкульозу, виробника та інших експертів у галузі діагностики туберкульозу. Було переглянуто дані, надіслані у відповідь на публічний заклик ВООЗ.</w:t>
      </w:r>
    </w:p>
    <w:p w:rsidR="00ED665B" w:rsidRPr="00907702" w:rsidRDefault="006C7D2F" w:rsidP="00DC2656">
      <w:pPr>
        <w:spacing w:before="173"/>
        <w:jc w:val="both"/>
        <w:rPr>
          <w:rFonts w:ascii="Calibri" w:hAnsi="Calibri" w:cs="Calibri"/>
        </w:rPr>
      </w:pPr>
      <w:r>
        <w:rPr>
          <w:rFonts w:ascii="Calibri" w:hAnsi="Calibri"/>
          <w:color w:val="000000"/>
          <w:sz w:val="22"/>
        </w:rPr>
        <w:t>Резистентність до лікарських засобів порівнювали з фенотипічним референс стандартом (або генотипічним референс стандартом для виявлення резистентності до етіонаміду) , а також складеним референс стандартом, який був побудований шляхом об’єднання результатів фенотипічних та генотипічних результатів ТМЧ в дослідженнях, в яких було проведено обидва.</w:t>
      </w:r>
    </w:p>
    <w:p w:rsidR="00ED665B" w:rsidRPr="00907702" w:rsidRDefault="006C7D2F" w:rsidP="00DC2656">
      <w:pPr>
        <w:spacing w:before="168"/>
        <w:jc w:val="both"/>
        <w:rPr>
          <w:rFonts w:ascii="Calibri" w:hAnsi="Calibri" w:cs="Calibri"/>
        </w:rPr>
      </w:pPr>
      <w:r>
        <w:rPr>
          <w:rFonts w:ascii="Calibri" w:hAnsi="Calibri"/>
          <w:color w:val="000000"/>
          <w:sz w:val="22"/>
        </w:rPr>
        <w:t xml:space="preserve">Якість доказових даних оцінювалася послідовно за допомогою питань PICO і з використанням підходу оцінки рекомендацій GRADE </w:t>
      </w:r>
      <w:r w:rsidRPr="00BE6F5B">
        <w:rPr>
          <w:rFonts w:ascii="Calibri" w:hAnsi="Calibri"/>
          <w:i/>
          <w:color w:val="000000"/>
          <w:sz w:val="22"/>
        </w:rPr>
        <w:t>(10)</w:t>
      </w:r>
      <w:r>
        <w:rPr>
          <w:rFonts w:ascii="Calibri" w:hAnsi="Calibri"/>
          <w:color w:val="000000"/>
          <w:sz w:val="22"/>
        </w:rPr>
        <w:t>, який дає загальну оцінку якості (або визначеності) доказів та основу для перетворення даних у рекомендації. У підході GRADE, навіть якщо дослідження точності діагностики несуть функцію спостереження, вони починаються як доказові дані.</w:t>
      </w:r>
    </w:p>
    <w:p w:rsidR="00ED665B" w:rsidRPr="00907702" w:rsidRDefault="006C7D2F" w:rsidP="00DC2656">
      <w:pPr>
        <w:spacing w:before="168"/>
        <w:jc w:val="both"/>
        <w:rPr>
          <w:rFonts w:ascii="Calibri" w:hAnsi="Calibri" w:cs="Calibri"/>
        </w:rPr>
      </w:pPr>
      <w:r>
        <w:rPr>
          <w:rFonts w:ascii="Calibri" w:hAnsi="Calibri"/>
          <w:color w:val="000000"/>
          <w:sz w:val="22"/>
        </w:rPr>
        <w:t xml:space="preserve">Інструмент програмного забезпечення для розробки настанов GRADEpro </w:t>
      </w:r>
      <w:r w:rsidRPr="00BE6F5B">
        <w:rPr>
          <w:rFonts w:ascii="Calibri" w:hAnsi="Calibri"/>
          <w:i/>
          <w:color w:val="000000"/>
          <w:sz w:val="22"/>
        </w:rPr>
        <w:t>(19)</w:t>
      </w:r>
      <w:r>
        <w:rPr>
          <w:rFonts w:ascii="Calibri" w:hAnsi="Calibri"/>
          <w:color w:val="000000"/>
          <w:sz w:val="22"/>
        </w:rPr>
        <w:t xml:space="preserve"> використовувався для створення резюме таблиць результатів. Якість (достовірність) даних оцінювалась як висока (не знижена), середня (знижена на один рівень), низька (знижена на два рівні) або дуже низька (знижена більш ніж на два рівні) на основі п’яти факторів: ризик упередженості, непрямості, непослідовності, неточності та інших міркувань. Якість (достовірність) даних була знижена на один рівень, коли було виявлено серйозне питання, і на два рівні, коли дуже серйозне питання було виявлено в будь-якому з факторів, що використовуються для оцінки якості даних.</w:t>
      </w:r>
    </w:p>
    <w:p w:rsidR="00ED665B" w:rsidRPr="00907702" w:rsidRDefault="006C7D2F" w:rsidP="00DC2656">
      <w:pPr>
        <w:spacing w:before="163"/>
        <w:ind w:right="5"/>
        <w:jc w:val="both"/>
        <w:rPr>
          <w:rFonts w:ascii="Calibri" w:hAnsi="Calibri" w:cs="Calibri"/>
        </w:rPr>
      </w:pPr>
      <w:r>
        <w:rPr>
          <w:rFonts w:ascii="Calibri" w:hAnsi="Calibri"/>
          <w:color w:val="000000"/>
          <w:sz w:val="22"/>
        </w:rPr>
        <w:t>Синтез даних був структурований за заздалегідь заданим списком з чотирьох питань PICO. Три вебдодатки надають додаткову інформацію:</w:t>
      </w:r>
    </w:p>
    <w:p w:rsidR="00ED665B" w:rsidRPr="00907702" w:rsidRDefault="006C7D2F" w:rsidP="00DC2656">
      <w:pPr>
        <w:numPr>
          <w:ilvl w:val="0"/>
          <w:numId w:val="2"/>
        </w:numPr>
        <w:tabs>
          <w:tab w:val="left" w:pos="240"/>
        </w:tabs>
        <w:spacing w:before="82"/>
        <w:ind w:left="240" w:hanging="240"/>
        <w:jc w:val="both"/>
        <w:rPr>
          <w:rFonts w:ascii="Calibri" w:hAnsi="Calibri" w:cs="Calibri"/>
          <w:color w:val="009649"/>
          <w:sz w:val="22"/>
          <w:szCs w:val="22"/>
        </w:rPr>
      </w:pPr>
      <w:r>
        <w:rPr>
          <w:rFonts w:ascii="Calibri" w:hAnsi="Calibri"/>
          <w:color w:val="000000"/>
          <w:sz w:val="22"/>
        </w:rPr>
        <w:t>подробиці досліджень, включених до поточного аналізу (</w:t>
      </w:r>
      <w:r>
        <w:rPr>
          <w:rFonts w:ascii="Calibri" w:hAnsi="Calibri"/>
          <w:b/>
          <w:color w:val="000000"/>
          <w:sz w:val="22"/>
        </w:rPr>
        <w:t>Вебдодаток 1.6</w:t>
      </w:r>
      <w:r>
        <w:rPr>
          <w:rFonts w:ascii="Calibri" w:hAnsi="Calibri"/>
          <w:color w:val="000000"/>
          <w:sz w:val="22"/>
        </w:rPr>
        <w:t>: «Автоматизовані ТАНК низької складності»);</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огляд результатів та даних щодо оцінки якості доказових даних (</w:t>
      </w:r>
      <w:r>
        <w:rPr>
          <w:rFonts w:ascii="Calibri" w:hAnsi="Calibri"/>
          <w:b/>
          <w:color w:val="000000"/>
          <w:sz w:val="22"/>
        </w:rPr>
        <w:t xml:space="preserve">Вебдодаток 2.6 </w:t>
      </w:r>
      <w:r>
        <w:rPr>
          <w:rFonts w:ascii="Calibri" w:hAnsi="Calibri"/>
          <w:color w:val="000000"/>
          <w:sz w:val="22"/>
        </w:rPr>
        <w:t>: «Профілі GRADE: автоматизовані ТАНК низької складності»); та</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резюме суджень комісії ГРН (</w:t>
      </w:r>
      <w:r>
        <w:rPr>
          <w:rFonts w:ascii="Calibri" w:hAnsi="Calibri"/>
          <w:b/>
          <w:color w:val="000000"/>
          <w:sz w:val="22"/>
        </w:rPr>
        <w:t>Вебдодаток 3.6</w:t>
      </w:r>
      <w:r>
        <w:rPr>
          <w:rFonts w:ascii="Calibri" w:hAnsi="Calibri"/>
          <w:color w:val="000000"/>
          <w:sz w:val="22"/>
        </w:rPr>
        <w:t>: «Таблиці прийняття рішень на основі доказів: Автоматизовані ТАНК низької складності»).</w:t>
      </w:r>
    </w:p>
    <w:p w:rsidR="00ED665B" w:rsidRPr="00907702" w:rsidRDefault="00ED665B" w:rsidP="00DC2656">
      <w:pPr>
        <w:numPr>
          <w:ilvl w:val="0"/>
          <w:numId w:val="2"/>
        </w:numPr>
        <w:tabs>
          <w:tab w:val="left" w:pos="240"/>
        </w:tabs>
        <w:ind w:left="240" w:hanging="240"/>
        <w:jc w:val="both"/>
        <w:rPr>
          <w:rFonts w:ascii="Calibri" w:hAnsi="Calibri" w:cs="Calibri"/>
          <w:color w:val="009649"/>
          <w:sz w:val="22"/>
          <w:szCs w:val="22"/>
        </w:rPr>
        <w:sectPr w:rsidR="00ED665B" w:rsidRPr="00907702">
          <w:pgSz w:w="11904" w:h="16838"/>
          <w:pgMar w:top="1339" w:right="1416" w:bottom="2554" w:left="1416" w:header="720" w:footer="720" w:gutter="0"/>
          <w:cols w:space="60"/>
          <w:noEndnote/>
        </w:sectPr>
      </w:pPr>
    </w:p>
    <w:p w:rsidR="00ED665B" w:rsidRPr="00DE3ED7" w:rsidRDefault="006C7D2F" w:rsidP="00DC2656">
      <w:pPr>
        <w:ind w:left="859" w:hanging="859"/>
        <w:rPr>
          <w:rFonts w:ascii="Calibri" w:hAnsi="Calibri" w:cs="Calibri"/>
          <w:b/>
          <w:bCs/>
        </w:rPr>
      </w:pPr>
      <w:r>
        <w:rPr>
          <w:rFonts w:ascii="Calibri" w:hAnsi="Calibri"/>
          <w:b/>
          <w:color w:val="000000"/>
          <w:sz w:val="24"/>
        </w:rPr>
        <w:lastRenderedPageBreak/>
        <w:t xml:space="preserve">PICO 1: </w:t>
      </w:r>
      <w:r>
        <w:rPr>
          <w:rFonts w:ascii="Calibri" w:hAnsi="Calibri"/>
          <w:b/>
          <w:color w:val="000000"/>
          <w:sz w:val="24"/>
        </w:rPr>
        <w:tab/>
        <w:t>Чи слід використовувати автоматизовані ТАНК низької складності у мокротинні у людей з ознаками та симптомами легеневого туберкульозу незалежно від резистентності до рифампіцину для виявлення резистентності до ізоніазиду порівняно з фенотипічним ТМЧ на основі посіву?</w:t>
      </w:r>
    </w:p>
    <w:p w:rsidR="00ED665B" w:rsidRPr="00907702" w:rsidRDefault="006C7D2F" w:rsidP="00DC2656">
      <w:pPr>
        <w:spacing w:before="178"/>
        <w:jc w:val="both"/>
        <w:rPr>
          <w:rFonts w:ascii="Calibri" w:hAnsi="Calibri" w:cs="Calibri"/>
        </w:rPr>
      </w:pPr>
      <w:r>
        <w:rPr>
          <w:rFonts w:ascii="Calibri" w:hAnsi="Calibri"/>
          <w:color w:val="000000"/>
          <w:sz w:val="22"/>
        </w:rPr>
        <w:t>Три багатонаціональних дослідження, в яких взяли участь 1605 учасників, надали дані для оцінки виявлення резистентності до ізоніазидів. Референс стандартом для кожного з цих досліджень був фенотипічний ТМЧ на основі посіву. Кожен пункт дослідження у багатонаціональних дослідженнях був проаналізований як окреме дослідження (</w:t>
      </w:r>
      <w:r>
        <w:rPr>
          <w:rFonts w:ascii="Calibri" w:hAnsi="Calibri"/>
          <w:color w:val="1B61AF"/>
          <w:sz w:val="22"/>
        </w:rPr>
        <w:t>Рис. 2.3.1</w:t>
      </w:r>
      <w:r>
        <w:rPr>
          <w:rFonts w:ascii="Calibri" w:hAnsi="Calibri"/>
          <w:color w:val="000000"/>
          <w:sz w:val="22"/>
        </w:rPr>
        <w:t>).</w:t>
      </w:r>
    </w:p>
    <w:p w:rsidR="00ED665B" w:rsidRPr="00907702" w:rsidRDefault="006C7D2F" w:rsidP="00DC2656">
      <w:pPr>
        <w:spacing w:before="168"/>
        <w:jc w:val="both"/>
        <w:rPr>
          <w:rFonts w:ascii="Calibri" w:hAnsi="Calibri" w:cs="Calibri"/>
        </w:rPr>
      </w:pPr>
      <w:r>
        <w:rPr>
          <w:rFonts w:ascii="Calibri" w:hAnsi="Calibri"/>
          <w:color w:val="000000"/>
          <w:sz w:val="22"/>
        </w:rPr>
        <w:t>Було висловлено декілька побоювань щодо непрямості у досліджуваних популяціях. По-перше, помірна поширеність резистентності до ізоніазидів у включених дослідженнях становила від 67,2% (діапазон, 26,8 % [Діагностика мультирезистентного туберкульозу в Африці – DIAMA, Бенін] до 93,9% [FIND, Молдова]), що вище, ніж глобальні оцінки резистентності до ізоніазидів. Отже, застосовність до умов з меншою поширеністю резистентності до ізоніазидів супроводжується певною невизначеністю. По-друге, існують потенційні відмінності в мутаціях, присутніх у монорезистентних штамах ізоніазидів та штамах MDR; тобто деякі дослідження свідчать про те, що мутації, виявлені в монорезистентних штамах, більш різноманітні, ніж мутації, виявлені у штамах MDR. По-третє, хоча популяція, обрана для цього питання PICO, визначалась «незалежно від резистентності до рифампіцину», критерії зарахування до дослідження означали, що більшість учасників включених досліджень мали Риф-ТБ. Внаслідок цих побоювань достовірність доказових даних була знижена на один рівень через непрямість як з точки зору чутливості та специфічності, так і якості (достовірності) доказових даних, і оцінена як помірна як через чутливість, так і через специфічність.</w:t>
      </w:r>
    </w:p>
    <w:p w:rsidR="00ED665B" w:rsidRPr="00E26C0F" w:rsidRDefault="006C7D2F" w:rsidP="00DC2656">
      <w:pPr>
        <w:spacing w:before="274"/>
        <w:rPr>
          <w:rFonts w:ascii="Calibri" w:hAnsi="Calibri" w:cs="Calibri"/>
          <w:b/>
        </w:rPr>
      </w:pPr>
      <w:bookmarkStart w:id="20" w:name="bookmark24"/>
      <w:r w:rsidRPr="00E26C0F">
        <w:rPr>
          <w:rFonts w:ascii="Calibri" w:hAnsi="Calibri"/>
          <w:b/>
          <w:color w:val="636466"/>
          <w:sz w:val="24"/>
        </w:rPr>
        <w:t>Р</w:t>
      </w:r>
      <w:bookmarkEnd w:id="20"/>
      <w:r w:rsidRPr="00E26C0F">
        <w:rPr>
          <w:rFonts w:ascii="Calibri" w:hAnsi="Calibri"/>
          <w:b/>
          <w:color w:val="636466"/>
          <w:sz w:val="24"/>
        </w:rPr>
        <w:t>ис. 2.3.1. Форест-діаграма включених досліджень, присвячених виявленню резистентності до ізоніазиду, незалежно від резистентності до рифампіцину, з використанням фенотипічного ТМЧ як референс стандарту</w:t>
      </w:r>
    </w:p>
    <w:p w:rsidR="00ED665B" w:rsidRPr="00907702" w:rsidRDefault="00ED665B" w:rsidP="00DC2656">
      <w:pPr>
        <w:spacing w:after="283"/>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58"/>
        <w:gridCol w:w="446"/>
        <w:gridCol w:w="254"/>
        <w:gridCol w:w="288"/>
        <w:gridCol w:w="365"/>
        <w:gridCol w:w="1426"/>
        <w:gridCol w:w="1287"/>
        <w:gridCol w:w="1578"/>
        <w:gridCol w:w="1517"/>
      </w:tblGrid>
      <w:tr w:rsidR="00ED665B" w:rsidRPr="00907702" w:rsidTr="00E26C0F">
        <w:trPr>
          <w:trHeight w:val="20"/>
        </w:trPr>
        <w:tc>
          <w:tcPr>
            <w:tcW w:w="1858" w:type="dxa"/>
            <w:tcBorders>
              <w:top w:val="nil"/>
              <w:left w:val="nil"/>
              <w:bottom w:val="nil"/>
              <w:right w:val="nil"/>
            </w:tcBorders>
            <w:shd w:val="clear" w:color="auto" w:fill="FFFFFF"/>
          </w:tcPr>
          <w:p w:rsidR="00ED665B" w:rsidRPr="00907702" w:rsidRDefault="006C7D2F" w:rsidP="00DE3ED7">
            <w:pPr>
              <w:rPr>
                <w:rFonts w:ascii="Calibri" w:hAnsi="Calibri" w:cs="Calibri"/>
              </w:rPr>
            </w:pPr>
            <w:r>
              <w:rPr>
                <w:rFonts w:ascii="Calibri" w:hAnsi="Calibri"/>
                <w:b/>
                <w:color w:val="000000"/>
                <w:sz w:val="14"/>
              </w:rPr>
              <w:t>Дослідження</w:t>
            </w:r>
          </w:p>
        </w:tc>
        <w:tc>
          <w:tcPr>
            <w:tcW w:w="44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b/>
                <w:color w:val="000000"/>
                <w:sz w:val="14"/>
              </w:rPr>
              <w:t>ІП</w:t>
            </w:r>
          </w:p>
        </w:tc>
        <w:tc>
          <w:tcPr>
            <w:tcW w:w="25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ХП</w:t>
            </w:r>
          </w:p>
        </w:tc>
        <w:tc>
          <w:tcPr>
            <w:tcW w:w="288"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ХН</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ІН</w:t>
            </w:r>
          </w:p>
        </w:tc>
        <w:tc>
          <w:tcPr>
            <w:tcW w:w="1426"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Чутливість (95 % ДІ)</w:t>
            </w:r>
          </w:p>
        </w:tc>
        <w:tc>
          <w:tcPr>
            <w:tcW w:w="1287"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Специфічність (95 % ДІ)</w:t>
            </w:r>
          </w:p>
        </w:tc>
        <w:tc>
          <w:tcPr>
            <w:tcW w:w="1578"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Чутливість (95 % ДІ)</w:t>
            </w:r>
          </w:p>
        </w:tc>
        <w:tc>
          <w:tcPr>
            <w:tcW w:w="1517"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Специфічність (95 % ДІ)</w:t>
            </w:r>
          </w:p>
        </w:tc>
      </w:tr>
      <w:tr w:rsidR="00ED665B" w:rsidRPr="00907702" w:rsidTr="00E26C0F">
        <w:trPr>
          <w:trHeight w:val="20"/>
        </w:trPr>
        <w:tc>
          <w:tcPr>
            <w:tcW w:w="1858" w:type="dxa"/>
            <w:tcBorders>
              <w:top w:val="nil"/>
              <w:left w:val="nil"/>
              <w:bottom w:val="nil"/>
              <w:right w:val="nil"/>
            </w:tcBorders>
            <w:shd w:val="clear" w:color="auto" w:fill="FFFFFF"/>
          </w:tcPr>
          <w:p w:rsidR="00ED665B" w:rsidRPr="00907702" w:rsidRDefault="006C7D2F" w:rsidP="00DE3ED7">
            <w:pPr>
              <w:rPr>
                <w:rFonts w:ascii="Calibri" w:hAnsi="Calibri" w:cs="Calibri"/>
              </w:rPr>
            </w:pPr>
            <w:r>
              <w:rPr>
                <w:rFonts w:ascii="Calibri" w:hAnsi="Calibri"/>
                <w:color w:val="000000"/>
                <w:sz w:val="14"/>
              </w:rPr>
              <w:t>Cepheid Китай 2020</w:t>
            </w:r>
          </w:p>
        </w:tc>
        <w:tc>
          <w:tcPr>
            <w:tcW w:w="446"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117</w:t>
            </w:r>
          </w:p>
        </w:tc>
        <w:tc>
          <w:tcPr>
            <w:tcW w:w="25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88"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10</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60</w:t>
            </w:r>
          </w:p>
        </w:tc>
        <w:tc>
          <w:tcPr>
            <w:tcW w:w="142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0,92 [0,86, 0,96]</w:t>
            </w:r>
          </w:p>
        </w:tc>
        <w:tc>
          <w:tcPr>
            <w:tcW w:w="128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[0,94, 1,00]</w:t>
            </w:r>
          </w:p>
        </w:tc>
        <w:tc>
          <w:tcPr>
            <w:tcW w:w="157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27000"/>
                  <wp:effectExtent l="0" t="0" r="0" b="0"/>
                  <wp:docPr id="15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30275" cy="127000"/>
                          </a:xfrm>
                          <a:prstGeom prst="rect">
                            <a:avLst/>
                          </a:prstGeom>
                          <a:noFill/>
                          <a:ln>
                            <a:noFill/>
                          </a:ln>
                        </pic:spPr>
                      </pic:pic>
                    </a:graphicData>
                  </a:graphic>
                </wp:inline>
              </w:drawing>
            </w:r>
          </w:p>
        </w:tc>
        <w:tc>
          <w:tcPr>
            <w:tcW w:w="151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27000"/>
                  <wp:effectExtent l="0" t="0" r="0" b="0"/>
                  <wp:docPr id="160"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62025" cy="127000"/>
                          </a:xfrm>
                          <a:prstGeom prst="rect">
                            <a:avLst/>
                          </a:prstGeom>
                          <a:noFill/>
                          <a:ln>
                            <a:noFill/>
                          </a:ln>
                        </pic:spPr>
                      </pic:pic>
                    </a:graphicData>
                  </a:graphic>
                </wp:inline>
              </w:drawing>
            </w:r>
          </w:p>
        </w:tc>
      </w:tr>
      <w:tr w:rsidR="00ED665B" w:rsidRPr="00907702" w:rsidTr="00E26C0F">
        <w:trPr>
          <w:trHeight w:val="20"/>
        </w:trPr>
        <w:tc>
          <w:tcPr>
            <w:tcW w:w="1858" w:type="dxa"/>
            <w:tcBorders>
              <w:top w:val="nil"/>
              <w:left w:val="nil"/>
              <w:bottom w:val="nil"/>
              <w:right w:val="nil"/>
            </w:tcBorders>
            <w:shd w:val="clear" w:color="auto" w:fill="FFFFFF"/>
          </w:tcPr>
          <w:p w:rsidR="00ED665B" w:rsidRPr="00907702" w:rsidRDefault="006C7D2F" w:rsidP="00DE3ED7">
            <w:pPr>
              <w:rPr>
                <w:rFonts w:ascii="Calibri" w:hAnsi="Calibri" w:cs="Calibri"/>
              </w:rPr>
            </w:pPr>
            <w:r>
              <w:rPr>
                <w:rFonts w:ascii="Calibri" w:hAnsi="Calibri"/>
                <w:color w:val="000000"/>
                <w:sz w:val="14"/>
              </w:rPr>
              <w:t>Cepheid ПАР 2020</w:t>
            </w:r>
          </w:p>
        </w:tc>
        <w:tc>
          <w:tcPr>
            <w:tcW w:w="446"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127</w:t>
            </w:r>
          </w:p>
        </w:tc>
        <w:tc>
          <w:tcPr>
            <w:tcW w:w="25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2</w:t>
            </w:r>
          </w:p>
        </w:tc>
        <w:tc>
          <w:tcPr>
            <w:tcW w:w="288"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13</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149</w:t>
            </w:r>
          </w:p>
        </w:tc>
        <w:tc>
          <w:tcPr>
            <w:tcW w:w="142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0,91 [0,85, 0,95]</w:t>
            </w:r>
          </w:p>
        </w:tc>
        <w:tc>
          <w:tcPr>
            <w:tcW w:w="128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0,99 [0,95, 1,00]</w:t>
            </w:r>
          </w:p>
        </w:tc>
        <w:tc>
          <w:tcPr>
            <w:tcW w:w="157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161"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c>
          <w:tcPr>
            <w:tcW w:w="151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6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58" w:type="dxa"/>
            <w:tcBorders>
              <w:top w:val="nil"/>
              <w:left w:val="nil"/>
              <w:bottom w:val="nil"/>
              <w:right w:val="nil"/>
            </w:tcBorders>
            <w:shd w:val="clear" w:color="auto" w:fill="FFFFFF"/>
          </w:tcPr>
          <w:p w:rsidR="00ED665B" w:rsidRPr="00907702" w:rsidRDefault="006C7D2F" w:rsidP="00DE3ED7">
            <w:pPr>
              <w:rPr>
                <w:rFonts w:ascii="Calibri" w:hAnsi="Calibri" w:cs="Calibri"/>
              </w:rPr>
            </w:pPr>
            <w:r>
              <w:rPr>
                <w:rFonts w:ascii="Calibri" w:hAnsi="Calibri"/>
                <w:color w:val="000000"/>
                <w:sz w:val="14"/>
              </w:rPr>
              <w:t>DIAMA Бенін 2020</w:t>
            </w:r>
          </w:p>
        </w:tc>
        <w:tc>
          <w:tcPr>
            <w:tcW w:w="44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37</w:t>
            </w:r>
          </w:p>
        </w:tc>
        <w:tc>
          <w:tcPr>
            <w:tcW w:w="25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4</w:t>
            </w:r>
          </w:p>
        </w:tc>
        <w:tc>
          <w:tcPr>
            <w:tcW w:w="288"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5</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111</w:t>
            </w:r>
          </w:p>
        </w:tc>
        <w:tc>
          <w:tcPr>
            <w:tcW w:w="142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0,88 [0,74, 0,96]</w:t>
            </w:r>
          </w:p>
        </w:tc>
        <w:tc>
          <w:tcPr>
            <w:tcW w:w="128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0,97 [0,91, 0,99]</w:t>
            </w:r>
          </w:p>
        </w:tc>
        <w:tc>
          <w:tcPr>
            <w:tcW w:w="157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163"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c>
          <w:tcPr>
            <w:tcW w:w="151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6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58" w:type="dxa"/>
            <w:tcBorders>
              <w:top w:val="nil"/>
              <w:left w:val="nil"/>
              <w:bottom w:val="nil"/>
              <w:right w:val="nil"/>
            </w:tcBorders>
            <w:shd w:val="clear" w:color="auto" w:fill="FFFFFF"/>
          </w:tcPr>
          <w:p w:rsidR="00ED665B" w:rsidRPr="00907702" w:rsidRDefault="006C7D2F" w:rsidP="00DE3ED7">
            <w:pPr>
              <w:rPr>
                <w:rFonts w:ascii="Calibri" w:hAnsi="Calibri" w:cs="Calibri"/>
              </w:rPr>
            </w:pPr>
            <w:r>
              <w:rPr>
                <w:rFonts w:ascii="Calibri" w:hAnsi="Calibri"/>
                <w:color w:val="000000"/>
                <w:sz w:val="14"/>
              </w:rPr>
              <w:t>DIAMA Камерун 2020</w:t>
            </w:r>
          </w:p>
        </w:tc>
        <w:tc>
          <w:tcPr>
            <w:tcW w:w="446"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110</w:t>
            </w:r>
          </w:p>
        </w:tc>
        <w:tc>
          <w:tcPr>
            <w:tcW w:w="25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w:t>
            </w:r>
          </w:p>
        </w:tc>
        <w:tc>
          <w:tcPr>
            <w:tcW w:w="288"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10</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45</w:t>
            </w:r>
          </w:p>
        </w:tc>
        <w:tc>
          <w:tcPr>
            <w:tcW w:w="142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0,92 [0,85, 0,96]</w:t>
            </w:r>
          </w:p>
        </w:tc>
        <w:tc>
          <w:tcPr>
            <w:tcW w:w="128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0,98 [0,88, 1,00]</w:t>
            </w:r>
          </w:p>
        </w:tc>
        <w:tc>
          <w:tcPr>
            <w:tcW w:w="157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165"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c>
          <w:tcPr>
            <w:tcW w:w="151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66"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58" w:type="dxa"/>
            <w:tcBorders>
              <w:top w:val="nil"/>
              <w:left w:val="nil"/>
              <w:bottom w:val="nil"/>
              <w:right w:val="nil"/>
            </w:tcBorders>
            <w:shd w:val="clear" w:color="auto" w:fill="FFFFFF"/>
          </w:tcPr>
          <w:p w:rsidR="00ED665B" w:rsidRPr="00907702" w:rsidRDefault="006C7D2F" w:rsidP="00DE3ED7">
            <w:pPr>
              <w:rPr>
                <w:rFonts w:ascii="Calibri" w:hAnsi="Calibri" w:cs="Calibri"/>
              </w:rPr>
            </w:pPr>
            <w:r>
              <w:rPr>
                <w:rFonts w:ascii="Calibri" w:hAnsi="Calibri"/>
                <w:color w:val="000000"/>
                <w:sz w:val="14"/>
              </w:rPr>
              <w:t>DIAMA Руанда 2020</w:t>
            </w:r>
          </w:p>
        </w:tc>
        <w:tc>
          <w:tcPr>
            <w:tcW w:w="44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76</w:t>
            </w:r>
          </w:p>
        </w:tc>
        <w:tc>
          <w:tcPr>
            <w:tcW w:w="25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3</w:t>
            </w:r>
          </w:p>
        </w:tc>
        <w:tc>
          <w:tcPr>
            <w:tcW w:w="288"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120</w:t>
            </w:r>
          </w:p>
        </w:tc>
        <w:tc>
          <w:tcPr>
            <w:tcW w:w="142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[0,95, 1,00]</w:t>
            </w:r>
          </w:p>
        </w:tc>
        <w:tc>
          <w:tcPr>
            <w:tcW w:w="128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0,98 [0,93, 0,99]</w:t>
            </w:r>
          </w:p>
        </w:tc>
        <w:tc>
          <w:tcPr>
            <w:tcW w:w="157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167"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c>
          <w:tcPr>
            <w:tcW w:w="151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68"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58" w:type="dxa"/>
            <w:tcBorders>
              <w:top w:val="nil"/>
              <w:left w:val="nil"/>
              <w:bottom w:val="nil"/>
              <w:right w:val="nil"/>
            </w:tcBorders>
            <w:shd w:val="clear" w:color="auto" w:fill="FFFFFF"/>
          </w:tcPr>
          <w:p w:rsidR="00ED665B" w:rsidRPr="00907702" w:rsidRDefault="006C7D2F" w:rsidP="00DE3ED7">
            <w:pPr>
              <w:rPr>
                <w:rFonts w:ascii="Calibri" w:hAnsi="Calibri" w:cs="Calibri"/>
              </w:rPr>
            </w:pPr>
            <w:r>
              <w:rPr>
                <w:rFonts w:ascii="Calibri" w:hAnsi="Calibri"/>
                <w:color w:val="000000"/>
                <w:sz w:val="14"/>
              </w:rPr>
              <w:t>FIND Молдова 2020</w:t>
            </w:r>
          </w:p>
        </w:tc>
        <w:tc>
          <w:tcPr>
            <w:tcW w:w="446"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213</w:t>
            </w:r>
          </w:p>
        </w:tc>
        <w:tc>
          <w:tcPr>
            <w:tcW w:w="25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88"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3</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14</w:t>
            </w:r>
          </w:p>
        </w:tc>
        <w:tc>
          <w:tcPr>
            <w:tcW w:w="142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0,99 [0,96, 1,00]</w:t>
            </w:r>
          </w:p>
        </w:tc>
        <w:tc>
          <w:tcPr>
            <w:tcW w:w="128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[0,77, 1,00]</w:t>
            </w:r>
          </w:p>
        </w:tc>
        <w:tc>
          <w:tcPr>
            <w:tcW w:w="157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169"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c>
          <w:tcPr>
            <w:tcW w:w="151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70"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58" w:type="dxa"/>
            <w:tcBorders>
              <w:top w:val="nil"/>
              <w:left w:val="nil"/>
              <w:bottom w:val="nil"/>
              <w:right w:val="nil"/>
            </w:tcBorders>
            <w:shd w:val="clear" w:color="auto" w:fill="FFFFFF"/>
          </w:tcPr>
          <w:p w:rsidR="00ED665B" w:rsidRPr="00907702" w:rsidRDefault="006C7D2F" w:rsidP="00DE3ED7">
            <w:pPr>
              <w:rPr>
                <w:rFonts w:ascii="Calibri" w:hAnsi="Calibri" w:cs="Calibri"/>
              </w:rPr>
            </w:pPr>
            <w:r>
              <w:rPr>
                <w:rFonts w:ascii="Calibri" w:hAnsi="Calibri"/>
                <w:color w:val="000000"/>
                <w:sz w:val="14"/>
              </w:rPr>
              <w:t>FIND Мумбаї 2020</w:t>
            </w:r>
          </w:p>
        </w:tc>
        <w:tc>
          <w:tcPr>
            <w:tcW w:w="446"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143</w:t>
            </w:r>
          </w:p>
        </w:tc>
        <w:tc>
          <w:tcPr>
            <w:tcW w:w="25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88"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2</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33</w:t>
            </w:r>
          </w:p>
        </w:tc>
        <w:tc>
          <w:tcPr>
            <w:tcW w:w="142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0,99 [0,95, 1,00]</w:t>
            </w:r>
          </w:p>
        </w:tc>
        <w:tc>
          <w:tcPr>
            <w:tcW w:w="128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[0,89, 1,00]</w:t>
            </w:r>
          </w:p>
        </w:tc>
        <w:tc>
          <w:tcPr>
            <w:tcW w:w="157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17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c>
          <w:tcPr>
            <w:tcW w:w="151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72"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58" w:type="dxa"/>
            <w:tcBorders>
              <w:top w:val="nil"/>
              <w:left w:val="nil"/>
              <w:bottom w:val="nil"/>
              <w:right w:val="nil"/>
            </w:tcBorders>
            <w:shd w:val="clear" w:color="auto" w:fill="FFFFFF"/>
          </w:tcPr>
          <w:p w:rsidR="00ED665B" w:rsidRPr="00907702" w:rsidRDefault="006C7D2F" w:rsidP="00DE3ED7">
            <w:pPr>
              <w:rPr>
                <w:rFonts w:ascii="Calibri" w:hAnsi="Calibri" w:cs="Calibri"/>
              </w:rPr>
            </w:pPr>
            <w:r>
              <w:rPr>
                <w:rFonts w:ascii="Calibri" w:hAnsi="Calibri"/>
                <w:color w:val="000000"/>
                <w:sz w:val="14"/>
              </w:rPr>
              <w:t>FIND Нью-Делі 2020</w:t>
            </w:r>
          </w:p>
        </w:tc>
        <w:tc>
          <w:tcPr>
            <w:tcW w:w="44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63</w:t>
            </w:r>
          </w:p>
        </w:tc>
        <w:tc>
          <w:tcPr>
            <w:tcW w:w="25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5</w:t>
            </w:r>
          </w:p>
        </w:tc>
        <w:tc>
          <w:tcPr>
            <w:tcW w:w="288"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15</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33</w:t>
            </w:r>
          </w:p>
        </w:tc>
        <w:tc>
          <w:tcPr>
            <w:tcW w:w="142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0,81 [0,70, 0,89]</w:t>
            </w:r>
          </w:p>
        </w:tc>
        <w:tc>
          <w:tcPr>
            <w:tcW w:w="128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0,87 [0,72, 0,96]</w:t>
            </w:r>
          </w:p>
        </w:tc>
        <w:tc>
          <w:tcPr>
            <w:tcW w:w="157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111125"/>
                  <wp:effectExtent l="0" t="0" r="0" b="0"/>
                  <wp:docPr id="173"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30275" cy="111125"/>
                          </a:xfrm>
                          <a:prstGeom prst="rect">
                            <a:avLst/>
                          </a:prstGeom>
                          <a:noFill/>
                          <a:ln>
                            <a:noFill/>
                          </a:ln>
                        </pic:spPr>
                      </pic:pic>
                    </a:graphicData>
                  </a:graphic>
                </wp:inline>
              </w:drawing>
            </w:r>
          </w:p>
        </w:tc>
        <w:tc>
          <w:tcPr>
            <w:tcW w:w="151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74"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58" w:type="dxa"/>
            <w:tcBorders>
              <w:top w:val="nil"/>
              <w:left w:val="nil"/>
              <w:bottom w:val="nil"/>
              <w:right w:val="nil"/>
            </w:tcBorders>
            <w:shd w:val="clear" w:color="auto" w:fill="FFFFFF"/>
          </w:tcPr>
          <w:p w:rsidR="00ED665B" w:rsidRPr="00907702" w:rsidRDefault="006C7D2F" w:rsidP="00DE3ED7">
            <w:pPr>
              <w:rPr>
                <w:rFonts w:ascii="Calibri" w:hAnsi="Calibri" w:cs="Calibri"/>
              </w:rPr>
            </w:pPr>
            <w:r>
              <w:rPr>
                <w:rFonts w:ascii="Calibri" w:hAnsi="Calibri"/>
                <w:color w:val="000000"/>
                <w:sz w:val="14"/>
              </w:rPr>
              <w:t>FIND ПАР 2020</w:t>
            </w:r>
          </w:p>
        </w:tc>
        <w:tc>
          <w:tcPr>
            <w:tcW w:w="44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45</w:t>
            </w:r>
          </w:p>
        </w:tc>
        <w:tc>
          <w:tcPr>
            <w:tcW w:w="25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w:t>
            </w:r>
          </w:p>
        </w:tc>
        <w:tc>
          <w:tcPr>
            <w:tcW w:w="288"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5</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30</w:t>
            </w:r>
          </w:p>
        </w:tc>
        <w:tc>
          <w:tcPr>
            <w:tcW w:w="142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0,90 [0,78, 0,97]</w:t>
            </w:r>
          </w:p>
        </w:tc>
        <w:tc>
          <w:tcPr>
            <w:tcW w:w="128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0,97 [0,83, 1,00]</w:t>
            </w:r>
          </w:p>
        </w:tc>
        <w:tc>
          <w:tcPr>
            <w:tcW w:w="157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30275" cy="254635"/>
                  <wp:effectExtent l="0" t="0" r="0" b="0"/>
                  <wp:docPr id="175"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30275" cy="254635"/>
                          </a:xfrm>
                          <a:prstGeom prst="rect">
                            <a:avLst/>
                          </a:prstGeom>
                          <a:noFill/>
                          <a:ln>
                            <a:noFill/>
                          </a:ln>
                        </pic:spPr>
                      </pic:pic>
                    </a:graphicData>
                  </a:graphic>
                </wp:inline>
              </w:drawing>
            </w:r>
          </w:p>
        </w:tc>
        <w:tc>
          <w:tcPr>
            <w:tcW w:w="151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254635"/>
                  <wp:effectExtent l="0" t="0" r="0" b="0"/>
                  <wp:docPr id="176"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62025" cy="254635"/>
                          </a:xfrm>
                          <a:prstGeom prst="rect">
                            <a:avLst/>
                          </a:prstGeom>
                          <a:noFill/>
                          <a:ln>
                            <a:noFill/>
                          </a:ln>
                        </pic:spPr>
                      </pic:pic>
                    </a:graphicData>
                  </a:graphic>
                </wp:inline>
              </w:drawing>
            </w:r>
          </w:p>
        </w:tc>
      </w:tr>
    </w:tbl>
    <w:p w:rsidR="00ED665B" w:rsidRPr="00907702" w:rsidRDefault="006C7D2F" w:rsidP="00DC2656">
      <w:pPr>
        <w:spacing w:before="38"/>
        <w:ind w:right="10"/>
        <w:jc w:val="both"/>
        <w:rPr>
          <w:rFonts w:ascii="Calibri" w:hAnsi="Calibri" w:cs="Calibri"/>
        </w:rPr>
      </w:pPr>
      <w:r>
        <w:rPr>
          <w:rFonts w:ascii="Calibri" w:hAnsi="Calibri"/>
          <w:color w:val="000000"/>
          <w:sz w:val="16"/>
        </w:rPr>
        <w:t>ДІ: довірчий інтервал; DIAMA: Діагностика мультирезистентного туберкульозу в Африці; ТМЧ: тест медикаментозної чутливості; FIND: Фонд інноваційної нової діагностики; ХН: хибнонегативний; ХП: хибнопозитивний; ТБ: туберкульоз; ІН: істинно негативний; ІП: істинно позитивний.</w:t>
      </w:r>
    </w:p>
    <w:p w:rsidR="00ED665B" w:rsidRPr="00907702" w:rsidRDefault="006C7D2F" w:rsidP="00DC2656">
      <w:pPr>
        <w:spacing w:before="293"/>
        <w:ind w:right="5"/>
        <w:jc w:val="both"/>
        <w:rPr>
          <w:rFonts w:ascii="Calibri" w:hAnsi="Calibri" w:cs="Calibri"/>
        </w:rPr>
      </w:pPr>
      <w:r>
        <w:rPr>
          <w:rFonts w:ascii="Calibri" w:hAnsi="Calibri"/>
          <w:color w:val="000000"/>
          <w:sz w:val="22"/>
        </w:rPr>
        <w:t xml:space="preserve">Чутливість у цих трьох дослідженнях коливалась від 81% до 100%, а специфічність – від 87% до 100%. </w:t>
      </w:r>
      <w:r>
        <w:rPr>
          <w:rFonts w:ascii="Calibri" w:hAnsi="Calibri"/>
          <w:b/>
          <w:color w:val="000000"/>
          <w:sz w:val="22"/>
        </w:rPr>
        <w:t>Об’єднана чутливість становила 94,2% (95% ДІ: 89,3-97,0%), а сукупна специфічність – 98,0% (95% ДІ: 95,2-99,2%).</w:t>
      </w:r>
    </w:p>
    <w:p w:rsidR="00ED665B" w:rsidRPr="00907702" w:rsidRDefault="00ED665B" w:rsidP="00DC2656">
      <w:pPr>
        <w:spacing w:before="293"/>
        <w:ind w:right="5"/>
        <w:jc w:val="both"/>
        <w:rPr>
          <w:rFonts w:ascii="Calibri" w:hAnsi="Calibri" w:cs="Calibri"/>
        </w:rPr>
        <w:sectPr w:rsidR="00ED665B" w:rsidRPr="00907702" w:rsidSect="00E26C0F">
          <w:pgSz w:w="11904" w:h="16838"/>
          <w:pgMar w:top="1378" w:right="1411" w:bottom="1843" w:left="1416" w:header="720" w:footer="720" w:gutter="0"/>
          <w:cols w:space="60"/>
          <w:noEndnote/>
        </w:sectPr>
      </w:pPr>
    </w:p>
    <w:p w:rsidR="00ED665B" w:rsidRPr="00DE3ED7" w:rsidRDefault="006C7D2F" w:rsidP="00E26C0F">
      <w:pPr>
        <w:spacing w:line="216" w:lineRule="auto"/>
        <w:ind w:left="859" w:hanging="859"/>
        <w:rPr>
          <w:rFonts w:ascii="Calibri" w:hAnsi="Calibri" w:cs="Calibri"/>
          <w:b/>
          <w:bCs/>
        </w:rPr>
      </w:pPr>
      <w:r>
        <w:rPr>
          <w:rFonts w:ascii="Calibri" w:hAnsi="Calibri"/>
          <w:b/>
          <w:color w:val="000000"/>
          <w:sz w:val="24"/>
        </w:rPr>
        <w:lastRenderedPageBreak/>
        <w:t xml:space="preserve">PICO 2: </w:t>
      </w:r>
      <w:r>
        <w:rPr>
          <w:rFonts w:ascii="Calibri" w:hAnsi="Calibri"/>
          <w:b/>
          <w:color w:val="000000"/>
          <w:sz w:val="24"/>
        </w:rPr>
        <w:tab/>
        <w:t>Чи слід використовувати автоматизовані ТАНК низької складності у мокротинні у людей з ознаками та симптомами легеневого туберкульозу незалежно від резистентності до рифампіцину для виявлення резистентності до фторхінолонів порівняно з фенотипічним ТМЧ на основі посіву?</w:t>
      </w:r>
    </w:p>
    <w:p w:rsidR="00ED665B" w:rsidRPr="00907702" w:rsidRDefault="006C7D2F" w:rsidP="00E26C0F">
      <w:pPr>
        <w:spacing w:before="178" w:line="216" w:lineRule="auto"/>
        <w:jc w:val="both"/>
        <w:rPr>
          <w:rFonts w:ascii="Calibri" w:hAnsi="Calibri" w:cs="Calibri"/>
        </w:rPr>
      </w:pPr>
      <w:r>
        <w:rPr>
          <w:rFonts w:ascii="Calibri" w:hAnsi="Calibri"/>
          <w:color w:val="000000"/>
          <w:sz w:val="22"/>
        </w:rPr>
        <w:t>Три багатонаціональних дослідження, в яких взяли участь 1337 учасників, надали дані для оцінки виявлення резистентності до фторхінолонів. Референс стандартом для кожного з цих досліджень був фенотипічний ТМЧ на основі посіву. Кожен пункт дослідження у багатонаціональних дослідженнях був проаналізований як окреме дослідження (</w:t>
      </w:r>
      <w:r>
        <w:rPr>
          <w:rFonts w:ascii="Calibri" w:hAnsi="Calibri"/>
          <w:color w:val="1B61AF"/>
          <w:sz w:val="22"/>
        </w:rPr>
        <w:t>Рис. 2.3.3</w:t>
      </w:r>
      <w:r>
        <w:rPr>
          <w:rFonts w:ascii="Calibri" w:hAnsi="Calibri"/>
          <w:color w:val="000000"/>
          <w:sz w:val="22"/>
        </w:rPr>
        <w:t>).</w:t>
      </w:r>
    </w:p>
    <w:p w:rsidR="00ED665B" w:rsidRPr="00907702" w:rsidRDefault="00907702" w:rsidP="00E26C0F">
      <w:pPr>
        <w:spacing w:before="168" w:line="216" w:lineRule="auto"/>
        <w:jc w:val="both"/>
        <w:rPr>
          <w:rFonts w:ascii="Calibri" w:hAnsi="Calibri" w:cs="Calibri"/>
        </w:rPr>
      </w:pPr>
      <w:r>
        <w:rPr>
          <w:rFonts w:ascii="Calibri" w:hAnsi="Calibri"/>
          <w:color w:val="000000"/>
          <w:sz w:val="22"/>
        </w:rPr>
        <w:t>Оцінки специфічності були суперечливими: 84% (FIND, Мумбаї), 91% (FIND, Нью-Делі) і більше 96% в інших дослідженнях. Неоднорідність оцінок специфічності пояснити неможливо. Отже, достовірність доказових даних була знижена на один рівень через невідповідність; якість (достовірність) доказових даних була оцінена як висока за чутливістю та середня за специфічністю.</w:t>
      </w:r>
    </w:p>
    <w:p w:rsidR="00ED665B" w:rsidRPr="00DE3ED7" w:rsidRDefault="006C7D2F" w:rsidP="00E26C0F">
      <w:pPr>
        <w:spacing w:before="278" w:line="216" w:lineRule="auto"/>
        <w:rPr>
          <w:rFonts w:ascii="Calibri" w:hAnsi="Calibri" w:cs="Calibri"/>
          <w:b/>
          <w:bCs/>
        </w:rPr>
      </w:pPr>
      <w:bookmarkStart w:id="21" w:name="bookmark25"/>
      <w:r>
        <w:rPr>
          <w:rFonts w:ascii="Calibri" w:hAnsi="Calibri"/>
          <w:b/>
          <w:color w:val="636466"/>
          <w:sz w:val="24"/>
        </w:rPr>
        <w:t>Р</w:t>
      </w:r>
      <w:bookmarkEnd w:id="21"/>
      <w:r>
        <w:rPr>
          <w:rFonts w:ascii="Calibri" w:hAnsi="Calibri"/>
          <w:b/>
          <w:color w:val="636466"/>
          <w:sz w:val="24"/>
        </w:rPr>
        <w:t>ис. 2.3.2. Форест-діаграма включених досліджень, присвячених виявленню резистентності до фторхінолонів, незалежно від резистентності до рифампіцину, з використанням фенотипічного ТМЧ як референс стандарту</w:t>
      </w:r>
    </w:p>
    <w:p w:rsidR="00ED665B" w:rsidRPr="00907702" w:rsidRDefault="00ED665B" w:rsidP="00DC2656">
      <w:pPr>
        <w:spacing w:after="283"/>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67"/>
        <w:gridCol w:w="427"/>
        <w:gridCol w:w="283"/>
        <w:gridCol w:w="269"/>
        <w:gridCol w:w="370"/>
        <w:gridCol w:w="1421"/>
        <w:gridCol w:w="1277"/>
        <w:gridCol w:w="1608"/>
        <w:gridCol w:w="1507"/>
      </w:tblGrid>
      <w:tr w:rsidR="00ED665B" w:rsidRPr="00907702" w:rsidTr="00E26C0F">
        <w:trPr>
          <w:trHeight w:val="20"/>
        </w:trPr>
        <w:tc>
          <w:tcPr>
            <w:tcW w:w="1867"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b/>
                <w:color w:val="000000"/>
                <w:sz w:val="14"/>
              </w:rPr>
              <w:t>Дослідження</w:t>
            </w:r>
          </w:p>
        </w:tc>
        <w:tc>
          <w:tcPr>
            <w:tcW w:w="42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ІП</w:t>
            </w:r>
          </w:p>
        </w:tc>
        <w:tc>
          <w:tcPr>
            <w:tcW w:w="283"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ХП</w:t>
            </w:r>
          </w:p>
        </w:tc>
        <w:tc>
          <w:tcPr>
            <w:tcW w:w="269"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ХН</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ІН</w:t>
            </w:r>
          </w:p>
        </w:tc>
        <w:tc>
          <w:tcPr>
            <w:tcW w:w="1421"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Чутливість (95 % ДІ)</w:t>
            </w:r>
          </w:p>
        </w:tc>
        <w:tc>
          <w:tcPr>
            <w:tcW w:w="1277" w:type="dxa"/>
            <w:tcBorders>
              <w:top w:val="nil"/>
              <w:left w:val="nil"/>
              <w:bottom w:val="nil"/>
              <w:right w:val="nil"/>
            </w:tcBorders>
            <w:shd w:val="clear" w:color="auto" w:fill="FFFFFF"/>
          </w:tcPr>
          <w:p w:rsidR="00E26C0F" w:rsidRDefault="006C7D2F" w:rsidP="00DC2656">
            <w:pPr>
              <w:jc w:val="center"/>
              <w:rPr>
                <w:rFonts w:ascii="Calibri" w:hAnsi="Calibri"/>
                <w:b/>
                <w:color w:val="000000"/>
                <w:sz w:val="14"/>
              </w:rPr>
            </w:pPr>
            <w:r>
              <w:rPr>
                <w:rFonts w:ascii="Calibri" w:hAnsi="Calibri"/>
                <w:b/>
                <w:color w:val="000000"/>
                <w:sz w:val="14"/>
              </w:rPr>
              <w:t xml:space="preserve">Специфічність </w:t>
            </w:r>
          </w:p>
          <w:p w:rsidR="00ED665B" w:rsidRPr="00907702" w:rsidRDefault="006C7D2F" w:rsidP="00DC2656">
            <w:pPr>
              <w:jc w:val="center"/>
              <w:rPr>
                <w:rFonts w:ascii="Calibri" w:hAnsi="Calibri" w:cs="Calibri"/>
              </w:rPr>
            </w:pPr>
            <w:r>
              <w:rPr>
                <w:rFonts w:ascii="Calibri" w:hAnsi="Calibri"/>
                <w:color w:val="000000"/>
                <w:sz w:val="14"/>
              </w:rPr>
              <w:t>(95 % ДІ)</w:t>
            </w:r>
          </w:p>
        </w:tc>
        <w:tc>
          <w:tcPr>
            <w:tcW w:w="1608"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Чутливість (95 % ДІ)</w:t>
            </w:r>
          </w:p>
        </w:tc>
        <w:tc>
          <w:tcPr>
            <w:tcW w:w="1507"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 xml:space="preserve">Специфічність </w:t>
            </w:r>
            <w:r>
              <w:rPr>
                <w:rFonts w:ascii="Calibri" w:hAnsi="Calibri"/>
                <w:color w:val="000000"/>
                <w:sz w:val="14"/>
              </w:rPr>
              <w:t>(95 % ДІ)</w:t>
            </w:r>
          </w:p>
        </w:tc>
      </w:tr>
      <w:tr w:rsidR="00ED665B" w:rsidRPr="00907702" w:rsidTr="00E26C0F">
        <w:trPr>
          <w:trHeight w:val="20"/>
        </w:trPr>
        <w:tc>
          <w:tcPr>
            <w:tcW w:w="1867"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Cepheid Китай 2020</w:t>
            </w:r>
          </w:p>
        </w:tc>
        <w:tc>
          <w:tcPr>
            <w:tcW w:w="42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90</w:t>
            </w:r>
          </w:p>
        </w:tc>
        <w:tc>
          <w:tcPr>
            <w:tcW w:w="283"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4</w:t>
            </w:r>
          </w:p>
        </w:tc>
        <w:tc>
          <w:tcPr>
            <w:tcW w:w="269"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5</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87</w:t>
            </w:r>
          </w:p>
        </w:tc>
        <w:tc>
          <w:tcPr>
            <w:tcW w:w="1421"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0,95 [0,88, 0,98]</w:t>
            </w:r>
          </w:p>
        </w:tc>
        <w:tc>
          <w:tcPr>
            <w:tcW w:w="127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0,96 [0,89, 0,99]</w:t>
            </w:r>
          </w:p>
        </w:tc>
        <w:tc>
          <w:tcPr>
            <w:tcW w:w="160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46150" cy="127000"/>
                  <wp:effectExtent l="0" t="0" r="0" b="0"/>
                  <wp:docPr id="17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46150" cy="127000"/>
                          </a:xfrm>
                          <a:prstGeom prst="rect">
                            <a:avLst/>
                          </a:prstGeom>
                          <a:noFill/>
                          <a:ln>
                            <a:noFill/>
                          </a:ln>
                        </pic:spPr>
                      </pic:pic>
                    </a:graphicData>
                  </a:graphic>
                </wp:inline>
              </w:drawing>
            </w:r>
          </w:p>
        </w:tc>
        <w:tc>
          <w:tcPr>
            <w:tcW w:w="150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27000"/>
                  <wp:effectExtent l="0" t="0" r="0" b="0"/>
                  <wp:docPr id="17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62025" cy="127000"/>
                          </a:xfrm>
                          <a:prstGeom prst="rect">
                            <a:avLst/>
                          </a:prstGeom>
                          <a:noFill/>
                          <a:ln>
                            <a:noFill/>
                          </a:ln>
                        </pic:spPr>
                      </pic:pic>
                    </a:graphicData>
                  </a:graphic>
                </wp:inline>
              </w:drawing>
            </w:r>
          </w:p>
        </w:tc>
      </w:tr>
      <w:tr w:rsidR="00ED665B" w:rsidRPr="00907702" w:rsidTr="00E26C0F">
        <w:trPr>
          <w:trHeight w:val="20"/>
        </w:trPr>
        <w:tc>
          <w:tcPr>
            <w:tcW w:w="1867"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Cepheid ПАР 2020</w:t>
            </w:r>
          </w:p>
        </w:tc>
        <w:tc>
          <w:tcPr>
            <w:tcW w:w="42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58</w:t>
            </w:r>
          </w:p>
        </w:tc>
        <w:tc>
          <w:tcPr>
            <w:tcW w:w="283"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69"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6</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167</w:t>
            </w:r>
          </w:p>
        </w:tc>
        <w:tc>
          <w:tcPr>
            <w:tcW w:w="1421"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0,91 [0,81, 0,96]</w:t>
            </w:r>
          </w:p>
        </w:tc>
        <w:tc>
          <w:tcPr>
            <w:tcW w:w="127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[0,98, 1,00]</w:t>
            </w:r>
          </w:p>
        </w:tc>
        <w:tc>
          <w:tcPr>
            <w:tcW w:w="160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46150" cy="111125"/>
                  <wp:effectExtent l="0" t="0" r="0" b="0"/>
                  <wp:docPr id="17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46150" cy="111125"/>
                          </a:xfrm>
                          <a:prstGeom prst="rect">
                            <a:avLst/>
                          </a:prstGeom>
                          <a:noFill/>
                          <a:ln>
                            <a:noFill/>
                          </a:ln>
                        </pic:spPr>
                      </pic:pic>
                    </a:graphicData>
                  </a:graphic>
                </wp:inline>
              </w:drawing>
            </w:r>
          </w:p>
        </w:tc>
        <w:tc>
          <w:tcPr>
            <w:tcW w:w="150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8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67"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DIAMA Бенін 2020</w:t>
            </w:r>
          </w:p>
        </w:tc>
        <w:tc>
          <w:tcPr>
            <w:tcW w:w="42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2</w:t>
            </w:r>
          </w:p>
        </w:tc>
        <w:tc>
          <w:tcPr>
            <w:tcW w:w="283"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2</w:t>
            </w:r>
          </w:p>
        </w:tc>
        <w:tc>
          <w:tcPr>
            <w:tcW w:w="269"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144</w:t>
            </w:r>
          </w:p>
        </w:tc>
        <w:tc>
          <w:tcPr>
            <w:tcW w:w="1421"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[0,16, 1,00]</w:t>
            </w:r>
          </w:p>
        </w:tc>
        <w:tc>
          <w:tcPr>
            <w:tcW w:w="127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0,99 [0,95, 1,00]</w:t>
            </w:r>
          </w:p>
        </w:tc>
        <w:tc>
          <w:tcPr>
            <w:tcW w:w="160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46150" cy="111125"/>
                  <wp:effectExtent l="0" t="0" r="0" b="0"/>
                  <wp:docPr id="18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46150" cy="111125"/>
                          </a:xfrm>
                          <a:prstGeom prst="rect">
                            <a:avLst/>
                          </a:prstGeom>
                          <a:noFill/>
                          <a:ln>
                            <a:noFill/>
                          </a:ln>
                        </pic:spPr>
                      </pic:pic>
                    </a:graphicData>
                  </a:graphic>
                </wp:inline>
              </w:drawing>
            </w:r>
          </w:p>
        </w:tc>
        <w:tc>
          <w:tcPr>
            <w:tcW w:w="150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8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67"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DIAMA Камерун 2020</w:t>
            </w:r>
          </w:p>
        </w:tc>
        <w:tc>
          <w:tcPr>
            <w:tcW w:w="42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1</w:t>
            </w:r>
          </w:p>
        </w:tc>
        <w:tc>
          <w:tcPr>
            <w:tcW w:w="283"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w:t>
            </w:r>
          </w:p>
        </w:tc>
        <w:tc>
          <w:tcPr>
            <w:tcW w:w="269"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166</w:t>
            </w:r>
          </w:p>
        </w:tc>
        <w:tc>
          <w:tcPr>
            <w:tcW w:w="1421"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[0,03, 1,00]</w:t>
            </w:r>
          </w:p>
        </w:tc>
        <w:tc>
          <w:tcPr>
            <w:tcW w:w="127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0,99 [0,97, 1,00]</w:t>
            </w:r>
          </w:p>
        </w:tc>
        <w:tc>
          <w:tcPr>
            <w:tcW w:w="160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46150" cy="111125"/>
                  <wp:effectExtent l="0" t="0" r="0" b="0"/>
                  <wp:docPr id="183"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46150" cy="111125"/>
                          </a:xfrm>
                          <a:prstGeom prst="rect">
                            <a:avLst/>
                          </a:prstGeom>
                          <a:noFill/>
                          <a:ln>
                            <a:noFill/>
                          </a:ln>
                        </pic:spPr>
                      </pic:pic>
                    </a:graphicData>
                  </a:graphic>
                </wp:inline>
              </w:drawing>
            </w:r>
          </w:p>
        </w:tc>
        <w:tc>
          <w:tcPr>
            <w:tcW w:w="150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84"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67"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DIAMA Руанда 2020</w:t>
            </w:r>
          </w:p>
        </w:tc>
        <w:tc>
          <w:tcPr>
            <w:tcW w:w="42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w:t>
            </w:r>
          </w:p>
        </w:tc>
        <w:tc>
          <w:tcPr>
            <w:tcW w:w="283"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w:t>
            </w:r>
          </w:p>
        </w:tc>
        <w:tc>
          <w:tcPr>
            <w:tcW w:w="269"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186</w:t>
            </w:r>
          </w:p>
        </w:tc>
        <w:tc>
          <w:tcPr>
            <w:tcW w:w="1421"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Оцінка відсутня</w:t>
            </w:r>
          </w:p>
        </w:tc>
        <w:tc>
          <w:tcPr>
            <w:tcW w:w="127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0,99 [0,97, 1,00]</w:t>
            </w:r>
          </w:p>
        </w:tc>
        <w:tc>
          <w:tcPr>
            <w:tcW w:w="160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46150" cy="111125"/>
                  <wp:effectExtent l="0" t="0" r="0" b="0"/>
                  <wp:docPr id="185"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946150" cy="111125"/>
                          </a:xfrm>
                          <a:prstGeom prst="rect">
                            <a:avLst/>
                          </a:prstGeom>
                          <a:noFill/>
                          <a:ln>
                            <a:noFill/>
                          </a:ln>
                        </pic:spPr>
                      </pic:pic>
                    </a:graphicData>
                  </a:graphic>
                </wp:inline>
              </w:drawing>
            </w:r>
          </w:p>
        </w:tc>
        <w:tc>
          <w:tcPr>
            <w:tcW w:w="150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86"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67"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FIND Молдова 2020</w:t>
            </w:r>
          </w:p>
        </w:tc>
        <w:tc>
          <w:tcPr>
            <w:tcW w:w="42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52</w:t>
            </w:r>
          </w:p>
        </w:tc>
        <w:tc>
          <w:tcPr>
            <w:tcW w:w="283"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2</w:t>
            </w:r>
          </w:p>
        </w:tc>
        <w:tc>
          <w:tcPr>
            <w:tcW w:w="269"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4</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172</w:t>
            </w:r>
          </w:p>
        </w:tc>
        <w:tc>
          <w:tcPr>
            <w:tcW w:w="1421"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0,93 [0,83, 0,98]</w:t>
            </w:r>
          </w:p>
        </w:tc>
        <w:tc>
          <w:tcPr>
            <w:tcW w:w="127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0,99 [0,96, 1,00]</w:t>
            </w:r>
          </w:p>
        </w:tc>
        <w:tc>
          <w:tcPr>
            <w:tcW w:w="160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46150" cy="111125"/>
                  <wp:effectExtent l="0" t="0" r="0" b="0"/>
                  <wp:docPr id="187"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46150" cy="111125"/>
                          </a:xfrm>
                          <a:prstGeom prst="rect">
                            <a:avLst/>
                          </a:prstGeom>
                          <a:noFill/>
                          <a:ln>
                            <a:noFill/>
                          </a:ln>
                        </pic:spPr>
                      </pic:pic>
                    </a:graphicData>
                  </a:graphic>
                </wp:inline>
              </w:drawing>
            </w:r>
          </w:p>
        </w:tc>
        <w:tc>
          <w:tcPr>
            <w:tcW w:w="150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88"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67"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FIND Мумбаї 2020</w:t>
            </w:r>
          </w:p>
        </w:tc>
        <w:tc>
          <w:tcPr>
            <w:tcW w:w="427"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102</w:t>
            </w:r>
          </w:p>
        </w:tc>
        <w:tc>
          <w:tcPr>
            <w:tcW w:w="283"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12</w:t>
            </w:r>
          </w:p>
        </w:tc>
        <w:tc>
          <w:tcPr>
            <w:tcW w:w="269"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2</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62</w:t>
            </w:r>
          </w:p>
        </w:tc>
        <w:tc>
          <w:tcPr>
            <w:tcW w:w="1421"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0,98 [0,93, 1,00]</w:t>
            </w:r>
          </w:p>
        </w:tc>
        <w:tc>
          <w:tcPr>
            <w:tcW w:w="127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0,84 [0,73, 0,91]</w:t>
            </w:r>
          </w:p>
        </w:tc>
        <w:tc>
          <w:tcPr>
            <w:tcW w:w="160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46150" cy="111125"/>
                  <wp:effectExtent l="0" t="0" r="0" b="0"/>
                  <wp:docPr id="189"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46150" cy="111125"/>
                          </a:xfrm>
                          <a:prstGeom prst="rect">
                            <a:avLst/>
                          </a:prstGeom>
                          <a:noFill/>
                          <a:ln>
                            <a:noFill/>
                          </a:ln>
                        </pic:spPr>
                      </pic:pic>
                    </a:graphicData>
                  </a:graphic>
                </wp:inline>
              </w:drawing>
            </w:r>
          </w:p>
        </w:tc>
        <w:tc>
          <w:tcPr>
            <w:tcW w:w="150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90"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67"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FIND Нью-Делі 2020</w:t>
            </w:r>
          </w:p>
        </w:tc>
        <w:tc>
          <w:tcPr>
            <w:tcW w:w="42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38</w:t>
            </w:r>
          </w:p>
        </w:tc>
        <w:tc>
          <w:tcPr>
            <w:tcW w:w="283"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6</w:t>
            </w:r>
          </w:p>
        </w:tc>
        <w:tc>
          <w:tcPr>
            <w:tcW w:w="269"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8</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64</w:t>
            </w:r>
          </w:p>
        </w:tc>
        <w:tc>
          <w:tcPr>
            <w:tcW w:w="1421"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0,83 [0,69, 0,92]</w:t>
            </w:r>
          </w:p>
        </w:tc>
        <w:tc>
          <w:tcPr>
            <w:tcW w:w="127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0,91 [0,82, 0,97]</w:t>
            </w:r>
          </w:p>
        </w:tc>
        <w:tc>
          <w:tcPr>
            <w:tcW w:w="160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46150" cy="111125"/>
                  <wp:effectExtent l="0" t="0" r="0" b="0"/>
                  <wp:docPr id="191"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46150" cy="111125"/>
                          </a:xfrm>
                          <a:prstGeom prst="rect">
                            <a:avLst/>
                          </a:prstGeom>
                          <a:noFill/>
                          <a:ln>
                            <a:noFill/>
                          </a:ln>
                        </pic:spPr>
                      </pic:pic>
                    </a:graphicData>
                  </a:graphic>
                </wp:inline>
              </w:drawing>
            </w:r>
          </w:p>
        </w:tc>
        <w:tc>
          <w:tcPr>
            <w:tcW w:w="150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111125"/>
                  <wp:effectExtent l="0" t="0" r="0" b="0"/>
                  <wp:docPr id="192"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62025" cy="111125"/>
                          </a:xfrm>
                          <a:prstGeom prst="rect">
                            <a:avLst/>
                          </a:prstGeom>
                          <a:noFill/>
                          <a:ln>
                            <a:noFill/>
                          </a:ln>
                        </pic:spPr>
                      </pic:pic>
                    </a:graphicData>
                  </a:graphic>
                </wp:inline>
              </w:drawing>
            </w:r>
          </w:p>
        </w:tc>
      </w:tr>
      <w:tr w:rsidR="00ED665B" w:rsidRPr="00907702" w:rsidTr="00E26C0F">
        <w:trPr>
          <w:trHeight w:val="20"/>
        </w:trPr>
        <w:tc>
          <w:tcPr>
            <w:tcW w:w="1867"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FIND ПАР 2020</w:t>
            </w:r>
          </w:p>
        </w:tc>
        <w:tc>
          <w:tcPr>
            <w:tcW w:w="42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15</w:t>
            </w:r>
          </w:p>
        </w:tc>
        <w:tc>
          <w:tcPr>
            <w:tcW w:w="283"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69"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64</w:t>
            </w:r>
          </w:p>
        </w:tc>
        <w:tc>
          <w:tcPr>
            <w:tcW w:w="1421"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0,94 [0,70, 1,00]</w:t>
            </w:r>
          </w:p>
        </w:tc>
        <w:tc>
          <w:tcPr>
            <w:tcW w:w="1277"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[0,94, 1,00]</w:t>
            </w:r>
          </w:p>
        </w:tc>
        <w:tc>
          <w:tcPr>
            <w:tcW w:w="1608"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46150" cy="238760"/>
                  <wp:effectExtent l="0" t="0" r="0" b="0"/>
                  <wp:docPr id="193"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46150" cy="238760"/>
                          </a:xfrm>
                          <a:prstGeom prst="rect">
                            <a:avLst/>
                          </a:prstGeom>
                          <a:noFill/>
                          <a:ln>
                            <a:noFill/>
                          </a:ln>
                        </pic:spPr>
                      </pic:pic>
                    </a:graphicData>
                  </a:graphic>
                </wp:inline>
              </w:drawing>
            </w:r>
          </w:p>
        </w:tc>
        <w:tc>
          <w:tcPr>
            <w:tcW w:w="1507"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62025" cy="238760"/>
                  <wp:effectExtent l="0" t="0" r="0" b="0"/>
                  <wp:docPr id="194"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p>
        </w:tc>
      </w:tr>
    </w:tbl>
    <w:p w:rsidR="00ED665B" w:rsidRPr="00907702" w:rsidRDefault="006C7D2F" w:rsidP="00DC2656">
      <w:pPr>
        <w:spacing w:before="67"/>
        <w:ind w:right="5"/>
        <w:jc w:val="both"/>
        <w:rPr>
          <w:rFonts w:ascii="Calibri" w:hAnsi="Calibri" w:cs="Calibri"/>
        </w:rPr>
      </w:pPr>
      <w:r>
        <w:rPr>
          <w:rFonts w:ascii="Calibri" w:hAnsi="Calibri"/>
          <w:color w:val="000000"/>
          <w:sz w:val="16"/>
        </w:rPr>
        <w:t>ДІ: довірчий інтервал; DIAMA: Діагностика мультирезистентного туберкульозу в Африці; ТМЧ: тест медикаментозної чутливості; FIND: Фонд інноваційної нової діагностики; ХН: хибнонегативний; ХП: хибнопозитивний; ТБ: туберкульоз; ІН: істинно негативний; ІП: істинно позитивний.</w:t>
      </w:r>
    </w:p>
    <w:p w:rsidR="00ED665B" w:rsidRPr="00E26C0F" w:rsidRDefault="006C7D2F" w:rsidP="00E26C0F">
      <w:pPr>
        <w:spacing w:before="307" w:line="216" w:lineRule="auto"/>
        <w:ind w:right="5"/>
        <w:jc w:val="both"/>
        <w:rPr>
          <w:rFonts w:ascii="Calibri" w:hAnsi="Calibri" w:cs="Calibri"/>
          <w:b/>
        </w:rPr>
      </w:pPr>
      <w:r>
        <w:rPr>
          <w:rFonts w:ascii="Calibri" w:hAnsi="Calibri"/>
          <w:color w:val="000000"/>
          <w:sz w:val="22"/>
        </w:rPr>
        <w:t xml:space="preserve">Чутливість щодо резистентності до фторхінолонів у цих трьох дослідженнях коливалась від 83% до 100%, а специфічність – від 84% до 100%. </w:t>
      </w:r>
      <w:r w:rsidRPr="00E26C0F">
        <w:rPr>
          <w:rFonts w:ascii="Calibri" w:hAnsi="Calibri"/>
          <w:b/>
          <w:color w:val="000000"/>
          <w:sz w:val="22"/>
        </w:rPr>
        <w:t>Об’єднана чутливість становила 93,1% (95% ДІ: 88,0-96,1%), а сукупна специфічність – 98,3% (95% ДІ: 94,5-99,5%).</w:t>
      </w:r>
    </w:p>
    <w:p w:rsidR="00ED665B" w:rsidRPr="00DE3ED7" w:rsidRDefault="006C7D2F" w:rsidP="00E26C0F">
      <w:pPr>
        <w:spacing w:before="274" w:line="216" w:lineRule="auto"/>
        <w:ind w:left="859" w:hanging="859"/>
        <w:rPr>
          <w:rFonts w:ascii="Calibri" w:hAnsi="Calibri" w:cs="Calibri"/>
          <w:b/>
          <w:bCs/>
        </w:rPr>
      </w:pPr>
      <w:r>
        <w:rPr>
          <w:rFonts w:ascii="Calibri" w:hAnsi="Calibri"/>
          <w:b/>
          <w:color w:val="000000"/>
          <w:sz w:val="24"/>
        </w:rPr>
        <w:t xml:space="preserve">PICO 3: </w:t>
      </w:r>
      <w:r>
        <w:rPr>
          <w:rFonts w:ascii="Calibri" w:hAnsi="Calibri"/>
          <w:b/>
          <w:color w:val="000000"/>
          <w:sz w:val="24"/>
        </w:rPr>
        <w:tab/>
        <w:t xml:space="preserve">Чи слід використовувати автоматизовані ТАНК низької складності у культуральних ізолятах у людей з ознаками та симптомами легеневого туберкульозу з виявленою резистентністю до рифампіцину для виявлення резистентності до етіонаміду порівняно з генотипічною послідовністю промотору </w:t>
      </w:r>
      <w:r w:rsidRPr="009D59CA">
        <w:rPr>
          <w:rFonts w:ascii="Calibri" w:hAnsi="Calibri"/>
          <w:b/>
          <w:i/>
          <w:color w:val="000000"/>
          <w:sz w:val="24"/>
        </w:rPr>
        <w:t>inhA</w:t>
      </w:r>
      <w:r>
        <w:rPr>
          <w:rFonts w:ascii="Calibri" w:hAnsi="Calibri"/>
          <w:b/>
          <w:color w:val="000000"/>
          <w:sz w:val="24"/>
        </w:rPr>
        <w:t>?</w:t>
      </w:r>
    </w:p>
    <w:p w:rsidR="00ED665B" w:rsidRPr="00907702" w:rsidRDefault="006C7D2F" w:rsidP="00E26C0F">
      <w:pPr>
        <w:spacing w:before="173" w:line="216" w:lineRule="auto"/>
        <w:ind w:right="5"/>
        <w:jc w:val="both"/>
        <w:rPr>
          <w:rFonts w:ascii="Calibri" w:hAnsi="Calibri" w:cs="Calibri"/>
        </w:rPr>
      </w:pPr>
      <w:r>
        <w:rPr>
          <w:rFonts w:ascii="Calibri" w:hAnsi="Calibri"/>
          <w:color w:val="000000"/>
          <w:sz w:val="22"/>
        </w:rPr>
        <w:t xml:space="preserve">Одне багатонаціональне дослідження, в якому взяли участь 434 учасники, надали дані для оцінки виявлення резистентності до етіонаміду. Референс стандартом для цього дослідження було секвенування ДНК промотору </w:t>
      </w:r>
      <w:r w:rsidRPr="00B1493F">
        <w:rPr>
          <w:rFonts w:ascii="Calibri" w:hAnsi="Calibri"/>
          <w:i/>
          <w:color w:val="000000"/>
          <w:sz w:val="22"/>
        </w:rPr>
        <w:t>inhA</w:t>
      </w:r>
      <w:r>
        <w:rPr>
          <w:rFonts w:ascii="Calibri" w:hAnsi="Calibri"/>
          <w:color w:val="000000"/>
          <w:sz w:val="22"/>
        </w:rPr>
        <w:t>. Кожен пункт дослідження у багатонаціональному дослідженні був проаналізований як окреме дослідження (</w:t>
      </w:r>
      <w:r>
        <w:rPr>
          <w:rFonts w:ascii="Calibri" w:hAnsi="Calibri"/>
          <w:color w:val="1B61AF"/>
          <w:sz w:val="22"/>
        </w:rPr>
        <w:t>Рис. 2.3.2</w:t>
      </w:r>
      <w:r>
        <w:rPr>
          <w:rFonts w:ascii="Calibri" w:hAnsi="Calibri"/>
          <w:color w:val="000000"/>
          <w:sz w:val="22"/>
        </w:rPr>
        <w:t>).</w:t>
      </w:r>
    </w:p>
    <w:p w:rsidR="00ED665B" w:rsidRPr="00907702" w:rsidRDefault="006C7D2F" w:rsidP="00E26C0F">
      <w:pPr>
        <w:spacing w:before="168" w:line="216" w:lineRule="auto"/>
        <w:ind w:right="5"/>
        <w:jc w:val="both"/>
        <w:rPr>
          <w:rFonts w:ascii="Calibri" w:hAnsi="Calibri" w:cs="Calibri"/>
        </w:rPr>
      </w:pPr>
      <w:r>
        <w:rPr>
          <w:rFonts w:ascii="Calibri" w:hAnsi="Calibri"/>
          <w:color w:val="000000"/>
          <w:sz w:val="22"/>
        </w:rPr>
        <w:t xml:space="preserve">Було визнано, що дослідження має дуже серйозний ризик упередженості у домені референс стандарту, оскільки воно не включає всі локуси (тобто промотори </w:t>
      </w:r>
      <w:r w:rsidRPr="00B1493F">
        <w:rPr>
          <w:rFonts w:ascii="Calibri" w:hAnsi="Calibri"/>
          <w:i/>
          <w:color w:val="000000"/>
          <w:sz w:val="22"/>
        </w:rPr>
        <w:t>ethA</w:t>
      </w:r>
      <w:r>
        <w:rPr>
          <w:rFonts w:ascii="Calibri" w:hAnsi="Calibri"/>
          <w:color w:val="000000"/>
          <w:sz w:val="22"/>
        </w:rPr>
        <w:t xml:space="preserve">, </w:t>
      </w:r>
      <w:r w:rsidRPr="00B1493F">
        <w:rPr>
          <w:rFonts w:ascii="Calibri" w:hAnsi="Calibri"/>
          <w:i/>
          <w:color w:val="000000"/>
          <w:sz w:val="22"/>
        </w:rPr>
        <w:t>ethR</w:t>
      </w:r>
      <w:r>
        <w:rPr>
          <w:rFonts w:ascii="Calibri" w:hAnsi="Calibri"/>
          <w:color w:val="000000"/>
          <w:sz w:val="22"/>
        </w:rPr>
        <w:t xml:space="preserve"> та </w:t>
      </w:r>
      <w:r w:rsidRPr="00B1493F">
        <w:rPr>
          <w:rFonts w:ascii="Calibri" w:hAnsi="Calibri"/>
          <w:i/>
          <w:color w:val="000000"/>
          <w:sz w:val="22"/>
        </w:rPr>
        <w:t>inhA</w:t>
      </w:r>
      <w:r>
        <w:rPr>
          <w:rFonts w:ascii="Calibri" w:hAnsi="Calibri"/>
          <w:color w:val="000000"/>
          <w:sz w:val="22"/>
        </w:rPr>
        <w:t>), необхідні для референс стандарту для правильної класифікації цільових умов. На відміну від референс стандарту фенотипічного ТМЧ, об’єднана чутливість була значно нижчою і становила 51,7% (95% ДІ: 33,1-69,8%). Отже, достовірність доказових даних була знижена на два рівні щодо ризику упередженості як для чутливості, так і специфічності. Крім того,</w:t>
      </w:r>
    </w:p>
    <w:p w:rsidR="00ED665B" w:rsidRPr="00907702" w:rsidRDefault="00ED665B" w:rsidP="00DC2656">
      <w:pPr>
        <w:spacing w:before="168"/>
        <w:ind w:right="5"/>
        <w:jc w:val="both"/>
        <w:rPr>
          <w:rFonts w:ascii="Calibri" w:hAnsi="Calibri" w:cs="Calibri"/>
        </w:rPr>
        <w:sectPr w:rsidR="00ED665B" w:rsidRPr="00907702">
          <w:pgSz w:w="11904" w:h="16838"/>
          <w:pgMar w:top="1378" w:right="1416" w:bottom="1661" w:left="1416" w:header="720" w:footer="720" w:gutter="0"/>
          <w:cols w:space="60"/>
          <w:noEndnote/>
        </w:sectPr>
      </w:pPr>
    </w:p>
    <w:p w:rsidR="00ED665B" w:rsidRPr="00907702" w:rsidRDefault="006C7D2F" w:rsidP="00B1493F">
      <w:pPr>
        <w:spacing w:line="216" w:lineRule="auto"/>
        <w:ind w:right="24"/>
        <w:jc w:val="both"/>
        <w:rPr>
          <w:rFonts w:ascii="Calibri" w:hAnsi="Calibri" w:cs="Calibri"/>
        </w:rPr>
      </w:pPr>
      <w:r>
        <w:rPr>
          <w:rFonts w:ascii="Calibri" w:hAnsi="Calibri"/>
          <w:color w:val="000000"/>
          <w:sz w:val="22"/>
        </w:rPr>
        <w:lastRenderedPageBreak/>
        <w:t>95% ДІ були широкими як для чутливості, так і для специфічності, що може призвести до різних рішень, залежно від того, які довірчі межі допускаються. Отже, визначеність доказових даних було знижено на один рівень за неточність як для чутливості, так і специфічності; якість (достовірність) доказових даних була оцінена як дуже низька як з точки зору чутливості, так і специфічності.</w:t>
      </w:r>
    </w:p>
    <w:p w:rsidR="00ED665B" w:rsidRPr="0031040C" w:rsidRDefault="006C7D2F" w:rsidP="0031040C">
      <w:pPr>
        <w:spacing w:before="240" w:line="216" w:lineRule="auto"/>
        <w:rPr>
          <w:rFonts w:ascii="Calibri" w:hAnsi="Calibri" w:cs="Calibri"/>
          <w:b/>
          <w:bCs/>
          <w:sz w:val="22"/>
        </w:rPr>
      </w:pPr>
      <w:bookmarkStart w:id="22" w:name="bookmark26"/>
      <w:r w:rsidRPr="0031040C">
        <w:rPr>
          <w:rFonts w:ascii="Calibri" w:hAnsi="Calibri"/>
          <w:b/>
          <w:color w:val="636466"/>
          <w:sz w:val="24"/>
        </w:rPr>
        <w:t>Р</w:t>
      </w:r>
      <w:bookmarkEnd w:id="22"/>
      <w:r w:rsidRPr="0031040C">
        <w:rPr>
          <w:rFonts w:ascii="Calibri" w:hAnsi="Calibri"/>
          <w:b/>
          <w:color w:val="636466"/>
          <w:sz w:val="24"/>
        </w:rPr>
        <w:t>ис. 2.3.3. Форест-діаграма включених досліджень, присвячених виявленню резистентності до етіонамідів, з використанням генотипічного ТМЧ як референс стандарту</w:t>
      </w:r>
    </w:p>
    <w:p w:rsidR="00ED665B" w:rsidRPr="00907702" w:rsidRDefault="00ED665B" w:rsidP="0031040C">
      <w:pPr>
        <w:spacing w:after="120"/>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46"/>
        <w:gridCol w:w="432"/>
        <w:gridCol w:w="269"/>
        <w:gridCol w:w="283"/>
        <w:gridCol w:w="350"/>
        <w:gridCol w:w="1421"/>
        <w:gridCol w:w="1409"/>
        <w:gridCol w:w="1716"/>
        <w:gridCol w:w="1502"/>
      </w:tblGrid>
      <w:tr w:rsidR="00ED665B" w:rsidRPr="00907702" w:rsidTr="00B1493F">
        <w:trPr>
          <w:trHeight w:val="20"/>
        </w:trPr>
        <w:tc>
          <w:tcPr>
            <w:tcW w:w="1646"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b/>
                <w:color w:val="000000"/>
                <w:sz w:val="14"/>
              </w:rPr>
              <w:t>Дослідження</w:t>
            </w:r>
          </w:p>
        </w:tc>
        <w:tc>
          <w:tcPr>
            <w:tcW w:w="432"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b/>
                <w:color w:val="000000"/>
                <w:sz w:val="14"/>
              </w:rPr>
              <w:t>ІП</w:t>
            </w:r>
          </w:p>
        </w:tc>
        <w:tc>
          <w:tcPr>
            <w:tcW w:w="269"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b/>
                <w:color w:val="000000"/>
                <w:sz w:val="14"/>
              </w:rPr>
              <w:t>ХП</w:t>
            </w:r>
          </w:p>
        </w:tc>
        <w:tc>
          <w:tcPr>
            <w:tcW w:w="283"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b/>
                <w:color w:val="000000"/>
                <w:sz w:val="14"/>
              </w:rPr>
              <w:t>ХН</w:t>
            </w:r>
          </w:p>
        </w:tc>
        <w:tc>
          <w:tcPr>
            <w:tcW w:w="350"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b/>
                <w:color w:val="000000"/>
                <w:sz w:val="14"/>
              </w:rPr>
              <w:t>ІН</w:t>
            </w:r>
          </w:p>
        </w:tc>
        <w:tc>
          <w:tcPr>
            <w:tcW w:w="1421"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b/>
                <w:color w:val="000000"/>
                <w:sz w:val="14"/>
              </w:rPr>
              <w:t>Чутливість (95 % ДІ)</w:t>
            </w:r>
          </w:p>
        </w:tc>
        <w:tc>
          <w:tcPr>
            <w:tcW w:w="1409" w:type="dxa"/>
            <w:tcBorders>
              <w:top w:val="nil"/>
              <w:left w:val="nil"/>
              <w:bottom w:val="nil"/>
              <w:right w:val="nil"/>
            </w:tcBorders>
            <w:shd w:val="clear" w:color="auto" w:fill="FFFFFF"/>
          </w:tcPr>
          <w:p w:rsidR="00B1493F" w:rsidRDefault="006C7D2F" w:rsidP="00B1493F">
            <w:pPr>
              <w:jc w:val="right"/>
              <w:rPr>
                <w:rFonts w:ascii="Calibri" w:hAnsi="Calibri"/>
                <w:b/>
                <w:color w:val="000000"/>
                <w:sz w:val="14"/>
              </w:rPr>
            </w:pPr>
            <w:r>
              <w:rPr>
                <w:rFonts w:ascii="Calibri" w:hAnsi="Calibri"/>
                <w:b/>
                <w:color w:val="000000"/>
                <w:sz w:val="14"/>
              </w:rPr>
              <w:t xml:space="preserve">Специфічність </w:t>
            </w:r>
          </w:p>
          <w:p w:rsidR="00ED665B" w:rsidRPr="00907702" w:rsidRDefault="006C7D2F" w:rsidP="00B1493F">
            <w:pPr>
              <w:jc w:val="right"/>
              <w:rPr>
                <w:rFonts w:ascii="Calibri" w:hAnsi="Calibri" w:cs="Calibri"/>
              </w:rPr>
            </w:pPr>
            <w:r>
              <w:rPr>
                <w:rFonts w:ascii="Calibri" w:hAnsi="Calibri"/>
                <w:b/>
                <w:color w:val="000000"/>
                <w:sz w:val="14"/>
              </w:rPr>
              <w:t>(95 % ДІ)</w:t>
            </w:r>
          </w:p>
        </w:tc>
        <w:tc>
          <w:tcPr>
            <w:tcW w:w="171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b/>
                <w:color w:val="000000"/>
                <w:sz w:val="14"/>
              </w:rPr>
              <w:t>Чутливість (95 % ДІ)</w:t>
            </w:r>
          </w:p>
        </w:tc>
        <w:tc>
          <w:tcPr>
            <w:tcW w:w="1502"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b/>
                <w:color w:val="000000"/>
                <w:sz w:val="14"/>
              </w:rPr>
              <w:t>Специфічність (95 % ДІ)</w:t>
            </w:r>
          </w:p>
        </w:tc>
      </w:tr>
      <w:tr w:rsidR="00ED665B" w:rsidRPr="00907702" w:rsidTr="00B1493F">
        <w:trPr>
          <w:trHeight w:val="20"/>
        </w:trPr>
        <w:tc>
          <w:tcPr>
            <w:tcW w:w="1646"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FIND Молдова 2020</w:t>
            </w:r>
          </w:p>
        </w:tc>
        <w:tc>
          <w:tcPr>
            <w:tcW w:w="432"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103</w:t>
            </w:r>
          </w:p>
        </w:tc>
        <w:tc>
          <w:tcPr>
            <w:tcW w:w="269"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3</w:t>
            </w:r>
          </w:p>
        </w:tc>
        <w:tc>
          <w:tcPr>
            <w:tcW w:w="283"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0</w:t>
            </w:r>
          </w:p>
        </w:tc>
        <w:tc>
          <w:tcPr>
            <w:tcW w:w="350"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103</w:t>
            </w:r>
          </w:p>
        </w:tc>
        <w:tc>
          <w:tcPr>
            <w:tcW w:w="1421"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[0,96, 1,00]</w:t>
            </w:r>
          </w:p>
        </w:tc>
        <w:tc>
          <w:tcPr>
            <w:tcW w:w="1409"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0,97 [0,92, 0,99]</w:t>
            </w:r>
          </w:p>
        </w:tc>
        <w:tc>
          <w:tcPr>
            <w:tcW w:w="171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09650" cy="127000"/>
                  <wp:effectExtent l="0" t="0" r="0" b="0"/>
                  <wp:docPr id="195"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09650" cy="127000"/>
                          </a:xfrm>
                          <a:prstGeom prst="rect">
                            <a:avLst/>
                          </a:prstGeom>
                          <a:noFill/>
                          <a:ln>
                            <a:noFill/>
                          </a:ln>
                        </pic:spPr>
                      </pic:pic>
                    </a:graphicData>
                  </a:graphic>
                </wp:inline>
              </w:drawing>
            </w:r>
          </w:p>
        </w:tc>
        <w:tc>
          <w:tcPr>
            <w:tcW w:w="1502"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46150" cy="127000"/>
                  <wp:effectExtent l="0" t="0" r="0" b="0"/>
                  <wp:docPr id="196"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946150" cy="127000"/>
                          </a:xfrm>
                          <a:prstGeom prst="rect">
                            <a:avLst/>
                          </a:prstGeom>
                          <a:noFill/>
                          <a:ln>
                            <a:noFill/>
                          </a:ln>
                        </pic:spPr>
                      </pic:pic>
                    </a:graphicData>
                  </a:graphic>
                </wp:inline>
              </w:drawing>
            </w:r>
          </w:p>
        </w:tc>
      </w:tr>
      <w:tr w:rsidR="00ED665B" w:rsidRPr="00907702" w:rsidTr="00B1493F">
        <w:trPr>
          <w:trHeight w:val="20"/>
        </w:trPr>
        <w:tc>
          <w:tcPr>
            <w:tcW w:w="1646"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FIND Мумбаї 2020</w:t>
            </w:r>
          </w:p>
        </w:tc>
        <w:tc>
          <w:tcPr>
            <w:tcW w:w="432"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39</w:t>
            </w:r>
          </w:p>
        </w:tc>
        <w:tc>
          <w:tcPr>
            <w:tcW w:w="269"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0</w:t>
            </w:r>
          </w:p>
        </w:tc>
        <w:tc>
          <w:tcPr>
            <w:tcW w:w="283"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0</w:t>
            </w:r>
          </w:p>
        </w:tc>
        <w:tc>
          <w:tcPr>
            <w:tcW w:w="350"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94</w:t>
            </w:r>
          </w:p>
        </w:tc>
        <w:tc>
          <w:tcPr>
            <w:tcW w:w="1421"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1,00 [0,91, 1,00]</w:t>
            </w:r>
          </w:p>
        </w:tc>
        <w:tc>
          <w:tcPr>
            <w:tcW w:w="1409"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1,00 [0,96, 1,00]</w:t>
            </w:r>
          </w:p>
        </w:tc>
        <w:tc>
          <w:tcPr>
            <w:tcW w:w="171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09650" cy="111125"/>
                  <wp:effectExtent l="0" t="0" r="0" b="0"/>
                  <wp:docPr id="197"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009650" cy="111125"/>
                          </a:xfrm>
                          <a:prstGeom prst="rect">
                            <a:avLst/>
                          </a:prstGeom>
                          <a:noFill/>
                          <a:ln>
                            <a:noFill/>
                          </a:ln>
                        </pic:spPr>
                      </pic:pic>
                    </a:graphicData>
                  </a:graphic>
                </wp:inline>
              </w:drawing>
            </w:r>
          </w:p>
        </w:tc>
        <w:tc>
          <w:tcPr>
            <w:tcW w:w="1502"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46150" cy="111125"/>
                  <wp:effectExtent l="0" t="0" r="0" b="0"/>
                  <wp:docPr id="198"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46150" cy="111125"/>
                          </a:xfrm>
                          <a:prstGeom prst="rect">
                            <a:avLst/>
                          </a:prstGeom>
                          <a:noFill/>
                          <a:ln>
                            <a:noFill/>
                          </a:ln>
                        </pic:spPr>
                      </pic:pic>
                    </a:graphicData>
                  </a:graphic>
                </wp:inline>
              </w:drawing>
            </w:r>
          </w:p>
        </w:tc>
      </w:tr>
      <w:tr w:rsidR="00ED665B" w:rsidRPr="00907702" w:rsidTr="00B1493F">
        <w:trPr>
          <w:trHeight w:val="20"/>
        </w:trPr>
        <w:tc>
          <w:tcPr>
            <w:tcW w:w="1646"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FIND Нью-Делі 2020</w:t>
            </w:r>
          </w:p>
        </w:tc>
        <w:tc>
          <w:tcPr>
            <w:tcW w:w="432"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7</w:t>
            </w:r>
          </w:p>
        </w:tc>
        <w:tc>
          <w:tcPr>
            <w:tcW w:w="269"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0</w:t>
            </w:r>
          </w:p>
        </w:tc>
        <w:tc>
          <w:tcPr>
            <w:tcW w:w="283"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2</w:t>
            </w:r>
          </w:p>
        </w:tc>
        <w:tc>
          <w:tcPr>
            <w:tcW w:w="350"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57</w:t>
            </w:r>
          </w:p>
        </w:tc>
        <w:tc>
          <w:tcPr>
            <w:tcW w:w="1421"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0,78 [0,40, 0,97]</w:t>
            </w:r>
          </w:p>
        </w:tc>
        <w:tc>
          <w:tcPr>
            <w:tcW w:w="1409"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1,00 [0,94, 1,00]</w:t>
            </w:r>
          </w:p>
        </w:tc>
        <w:tc>
          <w:tcPr>
            <w:tcW w:w="171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09650" cy="111125"/>
                  <wp:effectExtent l="0" t="0" r="0" b="0"/>
                  <wp:docPr id="199"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09650" cy="111125"/>
                          </a:xfrm>
                          <a:prstGeom prst="rect">
                            <a:avLst/>
                          </a:prstGeom>
                          <a:noFill/>
                          <a:ln>
                            <a:noFill/>
                          </a:ln>
                        </pic:spPr>
                      </pic:pic>
                    </a:graphicData>
                  </a:graphic>
                </wp:inline>
              </w:drawing>
            </w:r>
          </w:p>
        </w:tc>
        <w:tc>
          <w:tcPr>
            <w:tcW w:w="1502"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46150" cy="111125"/>
                  <wp:effectExtent l="0" t="0" r="0" b="0"/>
                  <wp:docPr id="20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46150" cy="111125"/>
                          </a:xfrm>
                          <a:prstGeom prst="rect">
                            <a:avLst/>
                          </a:prstGeom>
                          <a:noFill/>
                          <a:ln>
                            <a:noFill/>
                          </a:ln>
                        </pic:spPr>
                      </pic:pic>
                    </a:graphicData>
                  </a:graphic>
                </wp:inline>
              </w:drawing>
            </w:r>
          </w:p>
        </w:tc>
      </w:tr>
      <w:tr w:rsidR="00ED665B" w:rsidRPr="00907702" w:rsidTr="00B1493F">
        <w:trPr>
          <w:trHeight w:val="20"/>
        </w:trPr>
        <w:tc>
          <w:tcPr>
            <w:tcW w:w="1646"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FIND ПАР 2020</w:t>
            </w:r>
          </w:p>
        </w:tc>
        <w:tc>
          <w:tcPr>
            <w:tcW w:w="432"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14</w:t>
            </w:r>
          </w:p>
        </w:tc>
        <w:tc>
          <w:tcPr>
            <w:tcW w:w="269"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0</w:t>
            </w:r>
          </w:p>
        </w:tc>
        <w:tc>
          <w:tcPr>
            <w:tcW w:w="283"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2</w:t>
            </w:r>
          </w:p>
        </w:tc>
        <w:tc>
          <w:tcPr>
            <w:tcW w:w="350"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10</w:t>
            </w:r>
          </w:p>
        </w:tc>
        <w:tc>
          <w:tcPr>
            <w:tcW w:w="1421"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0,88 [0,62, 0,98]</w:t>
            </w:r>
          </w:p>
        </w:tc>
        <w:tc>
          <w:tcPr>
            <w:tcW w:w="1409" w:type="dxa"/>
            <w:tcBorders>
              <w:top w:val="nil"/>
              <w:left w:val="nil"/>
              <w:bottom w:val="nil"/>
              <w:right w:val="nil"/>
            </w:tcBorders>
            <w:shd w:val="clear" w:color="auto" w:fill="FFFFFF"/>
          </w:tcPr>
          <w:p w:rsidR="00ED665B" w:rsidRPr="00907702" w:rsidRDefault="006C7D2F" w:rsidP="00B1493F">
            <w:pPr>
              <w:jc w:val="right"/>
              <w:rPr>
                <w:rFonts w:ascii="Calibri" w:hAnsi="Calibri" w:cs="Calibri"/>
              </w:rPr>
            </w:pPr>
            <w:r>
              <w:rPr>
                <w:rFonts w:ascii="Calibri" w:hAnsi="Calibri"/>
                <w:color w:val="000000"/>
                <w:sz w:val="14"/>
              </w:rPr>
              <w:t>1,00 [0,69, 1,00]</w:t>
            </w:r>
          </w:p>
        </w:tc>
        <w:tc>
          <w:tcPr>
            <w:tcW w:w="171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09650" cy="222885"/>
                  <wp:effectExtent l="0" t="0" r="0" b="0"/>
                  <wp:docPr id="20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09650" cy="222885"/>
                          </a:xfrm>
                          <a:prstGeom prst="rect">
                            <a:avLst/>
                          </a:prstGeom>
                          <a:noFill/>
                          <a:ln>
                            <a:noFill/>
                          </a:ln>
                        </pic:spPr>
                      </pic:pic>
                    </a:graphicData>
                  </a:graphic>
                </wp:inline>
              </w:drawing>
            </w:r>
          </w:p>
        </w:tc>
        <w:tc>
          <w:tcPr>
            <w:tcW w:w="1502"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46150" cy="222885"/>
                  <wp:effectExtent l="0" t="0" r="0" b="0"/>
                  <wp:docPr id="20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46150" cy="222885"/>
                          </a:xfrm>
                          <a:prstGeom prst="rect">
                            <a:avLst/>
                          </a:prstGeom>
                          <a:noFill/>
                          <a:ln>
                            <a:noFill/>
                          </a:ln>
                        </pic:spPr>
                      </pic:pic>
                    </a:graphicData>
                  </a:graphic>
                </wp:inline>
              </w:drawing>
            </w:r>
          </w:p>
        </w:tc>
      </w:tr>
    </w:tbl>
    <w:p w:rsidR="00ED665B" w:rsidRPr="00907702" w:rsidRDefault="006C7D2F" w:rsidP="00DC2656">
      <w:pPr>
        <w:spacing w:before="91"/>
        <w:ind w:right="19"/>
        <w:jc w:val="both"/>
        <w:rPr>
          <w:rFonts w:ascii="Calibri" w:hAnsi="Calibri" w:cs="Calibri"/>
        </w:rPr>
      </w:pPr>
      <w:r>
        <w:rPr>
          <w:rFonts w:ascii="Calibri" w:hAnsi="Calibri"/>
          <w:color w:val="000000"/>
          <w:sz w:val="16"/>
        </w:rPr>
        <w:t>ДІ: довірчий інтервал; ТМЧ: тест медикаментозної чутливості; FIND: Фонд інноваційної нової діагностики; ХН: хибнонегативний; ХП: хибнопозитивний; ТБ: туберкульоз; ІН: істинно негативний; ІП: істинно позитивний.</w:t>
      </w:r>
    </w:p>
    <w:p w:rsidR="00ED665B" w:rsidRPr="00907702" w:rsidRDefault="006C7D2F" w:rsidP="00B1493F">
      <w:pPr>
        <w:spacing w:before="302" w:line="216" w:lineRule="auto"/>
        <w:ind w:right="19"/>
        <w:jc w:val="both"/>
        <w:rPr>
          <w:rFonts w:ascii="Calibri" w:hAnsi="Calibri" w:cs="Calibri"/>
        </w:rPr>
      </w:pPr>
      <w:r>
        <w:rPr>
          <w:rFonts w:ascii="Calibri" w:hAnsi="Calibri"/>
          <w:color w:val="000000"/>
          <w:sz w:val="22"/>
        </w:rPr>
        <w:t xml:space="preserve">Чутливість щодо резистентності до етіонамідів у цьому дослідженні коливалась від 78% до 100%, а специфічність – від 97% до 100%. </w:t>
      </w:r>
      <w:r w:rsidRPr="00B1493F">
        <w:rPr>
          <w:rFonts w:ascii="Calibri" w:hAnsi="Calibri"/>
          <w:b/>
          <w:color w:val="000000"/>
          <w:sz w:val="22"/>
        </w:rPr>
        <w:t>Об’єднана чутливість становила 98,0% (95% ДІ: 74,2-99,9%), а сукупна специфічність – 99,7% (95% ДІ: 83,5-100,0 %).</w:t>
      </w:r>
    </w:p>
    <w:p w:rsidR="00ED665B" w:rsidRPr="0031040C" w:rsidRDefault="006C7D2F" w:rsidP="00B1493F">
      <w:pPr>
        <w:spacing w:before="274" w:line="216" w:lineRule="auto"/>
        <w:ind w:left="859" w:hanging="859"/>
        <w:rPr>
          <w:rFonts w:ascii="Calibri" w:hAnsi="Calibri" w:cs="Calibri"/>
          <w:b/>
          <w:bCs/>
          <w:sz w:val="22"/>
        </w:rPr>
      </w:pPr>
      <w:r w:rsidRPr="0031040C">
        <w:rPr>
          <w:rFonts w:ascii="Calibri" w:hAnsi="Calibri"/>
          <w:b/>
          <w:color w:val="000000"/>
          <w:sz w:val="24"/>
        </w:rPr>
        <w:t xml:space="preserve">PICO 4: </w:t>
      </w:r>
      <w:r w:rsidRPr="0031040C">
        <w:rPr>
          <w:rFonts w:ascii="Calibri" w:hAnsi="Calibri"/>
          <w:b/>
          <w:color w:val="000000"/>
          <w:sz w:val="24"/>
        </w:rPr>
        <w:tab/>
        <w:t>Чи слід використовувати автоматизовані ТАНК низької складності у мокротинні у людей з ознаками та симптомами легеневого туберкульозу з виявленою резистентністю до рифампіцину для виявлення резистентності до амікацину порівняно з фенотипічним ТМЧ на основі посіву?</w:t>
      </w:r>
    </w:p>
    <w:p w:rsidR="00ED665B" w:rsidRPr="00907702" w:rsidRDefault="006C7D2F" w:rsidP="00B1493F">
      <w:pPr>
        <w:spacing w:before="178" w:line="216" w:lineRule="auto"/>
        <w:ind w:right="14"/>
        <w:jc w:val="both"/>
        <w:rPr>
          <w:rFonts w:ascii="Calibri" w:hAnsi="Calibri" w:cs="Calibri"/>
        </w:rPr>
      </w:pPr>
      <w:r>
        <w:rPr>
          <w:rFonts w:ascii="Calibri" w:hAnsi="Calibri"/>
          <w:color w:val="000000"/>
          <w:sz w:val="22"/>
        </w:rPr>
        <w:t>Одне багатонаціональне дослідження, в якому взяли участь 490 учасники, надали дані для оцінки виявлення резистентності до амікацину. Референс стандартом для цього дослідження був фенотипічний ТМЧ на основі посіву. Кожен пункт дослідження у багатонаціональному дослідженні був проаналізований як окреме дослідження (</w:t>
      </w:r>
      <w:r>
        <w:rPr>
          <w:rFonts w:ascii="Calibri" w:hAnsi="Calibri"/>
          <w:color w:val="1B61AF"/>
          <w:sz w:val="22"/>
        </w:rPr>
        <w:t>Рис. 2.3.4</w:t>
      </w:r>
      <w:r>
        <w:rPr>
          <w:rFonts w:ascii="Calibri" w:hAnsi="Calibri"/>
          <w:color w:val="000000"/>
          <w:sz w:val="22"/>
        </w:rPr>
        <w:t>).</w:t>
      </w:r>
    </w:p>
    <w:p w:rsidR="00ED665B" w:rsidRPr="00907702" w:rsidRDefault="006C7D2F" w:rsidP="00B1493F">
      <w:pPr>
        <w:spacing w:before="173" w:line="216" w:lineRule="auto"/>
        <w:ind w:right="24"/>
        <w:jc w:val="both"/>
        <w:rPr>
          <w:rFonts w:ascii="Calibri" w:hAnsi="Calibri" w:cs="Calibri"/>
        </w:rPr>
      </w:pPr>
      <w:r>
        <w:rPr>
          <w:rFonts w:ascii="Calibri" w:hAnsi="Calibri"/>
          <w:color w:val="000000"/>
          <w:sz w:val="22"/>
        </w:rPr>
        <w:t>95% ДІ для чутливості був широким, що могло призвести до різних рішень щодо істинно позитивних і хибнонегативних результатів, залежно від того, які довірчі межі допускаються. Крім того, у дослідженні брали участь декілька учасників з резистентністю до амікацину, які зробили свій внесок у цей аналіз для спостережуваної чутливості. Отже, визначеність доказових даних було знижено на два рівні за неточність Крім того, у дослідженні брали участь декілька учасників з резистентністю до амікацину, які зробили свій внесок у цей аналіз для спостережуваної чутливості. Отже, достовірність доказових даних була знижена на два рівні через неточність; якість (достовірність) доказових даних була оцінена як низька за чутливістю та висока за специфічністю.</w:t>
      </w:r>
    </w:p>
    <w:p w:rsidR="00ED665B" w:rsidRPr="00DE3ED7" w:rsidRDefault="006C7D2F" w:rsidP="0031040C">
      <w:pPr>
        <w:spacing w:before="240" w:line="216" w:lineRule="auto"/>
        <w:rPr>
          <w:rFonts w:ascii="Calibri" w:hAnsi="Calibri" w:cs="Calibri"/>
          <w:b/>
          <w:bCs/>
        </w:rPr>
      </w:pPr>
      <w:bookmarkStart w:id="23" w:name="bookmark27"/>
      <w:r>
        <w:rPr>
          <w:rFonts w:ascii="Calibri" w:hAnsi="Calibri"/>
          <w:b/>
          <w:color w:val="636466"/>
          <w:sz w:val="22"/>
        </w:rPr>
        <w:t>Р</w:t>
      </w:r>
      <w:bookmarkEnd w:id="23"/>
      <w:r>
        <w:rPr>
          <w:rFonts w:ascii="Calibri" w:hAnsi="Calibri"/>
          <w:b/>
          <w:color w:val="636466"/>
          <w:sz w:val="22"/>
        </w:rPr>
        <w:t>ис. 2.3.4. Форест-діаграма включених досліджень, присвячених виявленню резистентності до амікацину, з використанням фенотипічного ТМЧ на основі посіву як референс стандарту</w:t>
      </w:r>
    </w:p>
    <w:p w:rsidR="00ED665B" w:rsidRPr="00907702" w:rsidRDefault="00ED665B" w:rsidP="00DC2656">
      <w:pPr>
        <w:spacing w:after="283"/>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66"/>
        <w:gridCol w:w="370"/>
        <w:gridCol w:w="274"/>
        <w:gridCol w:w="274"/>
        <w:gridCol w:w="365"/>
        <w:gridCol w:w="1435"/>
        <w:gridCol w:w="1478"/>
        <w:gridCol w:w="1646"/>
        <w:gridCol w:w="1560"/>
      </w:tblGrid>
      <w:tr w:rsidR="00ED665B" w:rsidRPr="00907702" w:rsidTr="00B1493F">
        <w:trPr>
          <w:trHeight w:val="20"/>
        </w:trPr>
        <w:tc>
          <w:tcPr>
            <w:tcW w:w="1666"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b/>
                <w:color w:val="000000"/>
                <w:sz w:val="14"/>
              </w:rPr>
              <w:t>Дослідження</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ІП</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ХП</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ХН</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ІН</w:t>
            </w:r>
          </w:p>
        </w:tc>
        <w:tc>
          <w:tcPr>
            <w:tcW w:w="143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Чутливість (95 % ДІ)</w:t>
            </w:r>
          </w:p>
        </w:tc>
        <w:tc>
          <w:tcPr>
            <w:tcW w:w="1478" w:type="dxa"/>
            <w:tcBorders>
              <w:top w:val="nil"/>
              <w:left w:val="nil"/>
              <w:bottom w:val="nil"/>
              <w:right w:val="nil"/>
            </w:tcBorders>
            <w:shd w:val="clear" w:color="auto" w:fill="FFFFFF"/>
          </w:tcPr>
          <w:p w:rsidR="00B1493F" w:rsidRDefault="006C7D2F" w:rsidP="00B1493F">
            <w:pPr>
              <w:jc w:val="right"/>
              <w:rPr>
                <w:rFonts w:ascii="Calibri" w:hAnsi="Calibri"/>
                <w:b/>
                <w:color w:val="000000"/>
                <w:sz w:val="14"/>
              </w:rPr>
            </w:pPr>
            <w:r>
              <w:rPr>
                <w:rFonts w:ascii="Calibri" w:hAnsi="Calibri"/>
                <w:b/>
                <w:color w:val="000000"/>
                <w:sz w:val="14"/>
              </w:rPr>
              <w:t xml:space="preserve">Специфічність </w:t>
            </w:r>
          </w:p>
          <w:p w:rsidR="00ED665B" w:rsidRPr="00907702" w:rsidRDefault="006C7D2F" w:rsidP="00B1493F">
            <w:pPr>
              <w:jc w:val="right"/>
              <w:rPr>
                <w:rFonts w:ascii="Calibri" w:hAnsi="Calibri" w:cs="Calibri"/>
              </w:rPr>
            </w:pPr>
            <w:r>
              <w:rPr>
                <w:rFonts w:ascii="Calibri" w:hAnsi="Calibri"/>
                <w:b/>
                <w:color w:val="000000"/>
                <w:sz w:val="14"/>
              </w:rPr>
              <w:t>(95 % ДІ)</w:t>
            </w:r>
          </w:p>
        </w:tc>
        <w:tc>
          <w:tcPr>
            <w:tcW w:w="1646"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b/>
                <w:color w:val="000000"/>
                <w:sz w:val="14"/>
              </w:rPr>
              <w:t>Чутливість (95 % ДІ)</w:t>
            </w:r>
          </w:p>
        </w:tc>
        <w:tc>
          <w:tcPr>
            <w:tcW w:w="1560"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b/>
                <w:color w:val="000000"/>
                <w:sz w:val="14"/>
              </w:rPr>
              <w:t>Специфічність (95 % ДІ)</w:t>
            </w:r>
          </w:p>
        </w:tc>
      </w:tr>
      <w:tr w:rsidR="00ED665B" w:rsidRPr="00907702" w:rsidTr="00B1493F">
        <w:trPr>
          <w:trHeight w:val="20"/>
        </w:trPr>
        <w:tc>
          <w:tcPr>
            <w:tcW w:w="1666"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DIAMA Бенін 2020</w:t>
            </w:r>
          </w:p>
        </w:tc>
        <w:tc>
          <w:tcPr>
            <w:tcW w:w="370"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51</w:t>
            </w:r>
          </w:p>
        </w:tc>
        <w:tc>
          <w:tcPr>
            <w:tcW w:w="1435"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Оцінка відсутня</w:t>
            </w:r>
          </w:p>
        </w:tc>
        <w:tc>
          <w:tcPr>
            <w:tcW w:w="1478" w:type="dxa"/>
            <w:tcBorders>
              <w:top w:val="nil"/>
              <w:left w:val="nil"/>
              <w:bottom w:val="nil"/>
              <w:right w:val="nil"/>
            </w:tcBorders>
            <w:shd w:val="clear" w:color="auto" w:fill="FFFFFF"/>
          </w:tcPr>
          <w:p w:rsidR="00ED665B" w:rsidRPr="00907702" w:rsidRDefault="006C7D2F" w:rsidP="00DC2656">
            <w:pPr>
              <w:ind w:right="24"/>
              <w:jc w:val="right"/>
              <w:rPr>
                <w:rFonts w:ascii="Calibri" w:hAnsi="Calibri" w:cs="Calibri"/>
              </w:rPr>
            </w:pPr>
            <w:r>
              <w:rPr>
                <w:rFonts w:ascii="Calibri" w:hAnsi="Calibri"/>
                <w:color w:val="000000"/>
                <w:sz w:val="14"/>
              </w:rPr>
              <w:t>1,00 [0,93, 1,00]</w:t>
            </w:r>
          </w:p>
        </w:tc>
        <w:tc>
          <w:tcPr>
            <w:tcW w:w="164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41400" cy="111125"/>
                  <wp:effectExtent l="0" t="0" r="0" b="0"/>
                  <wp:docPr id="20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041400" cy="1111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20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r>
      <w:tr w:rsidR="00ED665B" w:rsidRPr="00907702" w:rsidTr="00B1493F">
        <w:trPr>
          <w:trHeight w:val="20"/>
        </w:trPr>
        <w:tc>
          <w:tcPr>
            <w:tcW w:w="1666" w:type="dxa"/>
            <w:tcBorders>
              <w:top w:val="nil"/>
              <w:left w:val="nil"/>
              <w:bottom w:val="nil"/>
              <w:right w:val="nil"/>
            </w:tcBorders>
            <w:shd w:val="clear" w:color="auto" w:fill="FFFFFF"/>
          </w:tcPr>
          <w:p w:rsidR="00ED665B" w:rsidRPr="00907702" w:rsidRDefault="006C7D2F" w:rsidP="00B1493F">
            <w:pPr>
              <w:rPr>
                <w:rFonts w:ascii="Calibri" w:hAnsi="Calibri" w:cs="Calibri"/>
              </w:rPr>
            </w:pPr>
            <w:r>
              <w:rPr>
                <w:rFonts w:ascii="Calibri" w:hAnsi="Calibri"/>
                <w:color w:val="000000"/>
                <w:sz w:val="14"/>
              </w:rPr>
              <w:t>DIAMA Камерун 2020</w:t>
            </w:r>
          </w:p>
        </w:tc>
        <w:tc>
          <w:tcPr>
            <w:tcW w:w="370"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39</w:t>
            </w:r>
          </w:p>
        </w:tc>
        <w:tc>
          <w:tcPr>
            <w:tcW w:w="1435"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Оцінка відсутня</w:t>
            </w:r>
          </w:p>
        </w:tc>
        <w:tc>
          <w:tcPr>
            <w:tcW w:w="1478" w:type="dxa"/>
            <w:tcBorders>
              <w:top w:val="nil"/>
              <w:left w:val="nil"/>
              <w:bottom w:val="nil"/>
              <w:right w:val="nil"/>
            </w:tcBorders>
            <w:shd w:val="clear" w:color="auto" w:fill="FFFFFF"/>
          </w:tcPr>
          <w:p w:rsidR="00ED665B" w:rsidRPr="00907702" w:rsidRDefault="006C7D2F" w:rsidP="00DC2656">
            <w:pPr>
              <w:ind w:right="24"/>
              <w:jc w:val="right"/>
              <w:rPr>
                <w:rFonts w:ascii="Calibri" w:hAnsi="Calibri" w:cs="Calibri"/>
              </w:rPr>
            </w:pPr>
            <w:r>
              <w:rPr>
                <w:rFonts w:ascii="Calibri" w:hAnsi="Calibri"/>
                <w:color w:val="000000"/>
                <w:sz w:val="14"/>
              </w:rPr>
              <w:t>1,00 [0,91, 1,00]</w:t>
            </w:r>
          </w:p>
        </w:tc>
        <w:tc>
          <w:tcPr>
            <w:tcW w:w="164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41400" cy="111125"/>
                  <wp:effectExtent l="0" t="0" r="0" b="0"/>
                  <wp:docPr id="20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041400" cy="1111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206"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r>
      <w:tr w:rsidR="00ED665B" w:rsidRPr="00907702" w:rsidTr="00B1493F">
        <w:trPr>
          <w:trHeight w:val="20"/>
        </w:trPr>
        <w:tc>
          <w:tcPr>
            <w:tcW w:w="1666"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FIND Молдова 2020</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10</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8</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2</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192</w:t>
            </w:r>
          </w:p>
        </w:tc>
        <w:tc>
          <w:tcPr>
            <w:tcW w:w="1435"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0,83 [0,52, 0,98]</w:t>
            </w:r>
          </w:p>
        </w:tc>
        <w:tc>
          <w:tcPr>
            <w:tcW w:w="1478" w:type="dxa"/>
            <w:tcBorders>
              <w:top w:val="nil"/>
              <w:left w:val="nil"/>
              <w:bottom w:val="nil"/>
              <w:right w:val="nil"/>
            </w:tcBorders>
            <w:shd w:val="clear" w:color="auto" w:fill="FFFFFF"/>
          </w:tcPr>
          <w:p w:rsidR="00ED665B" w:rsidRPr="00907702" w:rsidRDefault="006C7D2F" w:rsidP="00DC2656">
            <w:pPr>
              <w:ind w:right="24"/>
              <w:jc w:val="right"/>
              <w:rPr>
                <w:rFonts w:ascii="Calibri" w:hAnsi="Calibri" w:cs="Calibri"/>
              </w:rPr>
            </w:pPr>
            <w:r>
              <w:rPr>
                <w:rFonts w:ascii="Calibri" w:hAnsi="Calibri"/>
                <w:color w:val="000000"/>
                <w:sz w:val="14"/>
              </w:rPr>
              <w:t>0,96 [0,92, 0,98]</w:t>
            </w:r>
          </w:p>
        </w:tc>
        <w:tc>
          <w:tcPr>
            <w:tcW w:w="164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41400" cy="127000"/>
                  <wp:effectExtent l="0" t="0" r="0" b="0"/>
                  <wp:docPr id="207"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041400" cy="12700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27000"/>
                  <wp:effectExtent l="0" t="0" r="0" b="0"/>
                  <wp:docPr id="208"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993775" cy="127000"/>
                          </a:xfrm>
                          <a:prstGeom prst="rect">
                            <a:avLst/>
                          </a:prstGeom>
                          <a:noFill/>
                          <a:ln>
                            <a:noFill/>
                          </a:ln>
                        </pic:spPr>
                      </pic:pic>
                    </a:graphicData>
                  </a:graphic>
                </wp:inline>
              </w:drawing>
            </w:r>
          </w:p>
        </w:tc>
      </w:tr>
      <w:tr w:rsidR="00ED665B" w:rsidRPr="00907702" w:rsidTr="00B1493F">
        <w:trPr>
          <w:trHeight w:val="20"/>
        </w:trPr>
        <w:tc>
          <w:tcPr>
            <w:tcW w:w="1666"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FIND Мумбаї 2020</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19</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4"/>
              </w:rPr>
              <w:t>4</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120</w:t>
            </w:r>
          </w:p>
        </w:tc>
        <w:tc>
          <w:tcPr>
            <w:tcW w:w="1435"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0,83 [0,61, 0,95]</w:t>
            </w:r>
          </w:p>
        </w:tc>
        <w:tc>
          <w:tcPr>
            <w:tcW w:w="1478" w:type="dxa"/>
            <w:tcBorders>
              <w:top w:val="nil"/>
              <w:left w:val="nil"/>
              <w:bottom w:val="nil"/>
              <w:right w:val="nil"/>
            </w:tcBorders>
            <w:shd w:val="clear" w:color="auto" w:fill="FFFFFF"/>
          </w:tcPr>
          <w:p w:rsidR="00ED665B" w:rsidRPr="00907702" w:rsidRDefault="006C7D2F" w:rsidP="00DC2656">
            <w:pPr>
              <w:ind w:right="24"/>
              <w:jc w:val="right"/>
              <w:rPr>
                <w:rFonts w:ascii="Calibri" w:hAnsi="Calibri" w:cs="Calibri"/>
              </w:rPr>
            </w:pPr>
            <w:r>
              <w:rPr>
                <w:rFonts w:ascii="Calibri" w:hAnsi="Calibri"/>
                <w:color w:val="000000"/>
                <w:sz w:val="14"/>
              </w:rPr>
              <w:t>0,99 [0,95, 1,00]</w:t>
            </w:r>
          </w:p>
        </w:tc>
        <w:tc>
          <w:tcPr>
            <w:tcW w:w="164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41400" cy="111125"/>
                  <wp:effectExtent l="0" t="0" r="0" b="0"/>
                  <wp:docPr id="209"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41400" cy="1111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210"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r>
      <w:tr w:rsidR="00ED665B" w:rsidRPr="00907702" w:rsidTr="00B1493F">
        <w:trPr>
          <w:trHeight w:val="20"/>
        </w:trPr>
        <w:tc>
          <w:tcPr>
            <w:tcW w:w="1666"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FIND Нью-Делі 2020</w:t>
            </w:r>
          </w:p>
        </w:tc>
        <w:tc>
          <w:tcPr>
            <w:tcW w:w="370"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6</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2</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65</w:t>
            </w:r>
          </w:p>
        </w:tc>
        <w:tc>
          <w:tcPr>
            <w:tcW w:w="1435"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0,75 [0,35, 0,97]</w:t>
            </w:r>
          </w:p>
        </w:tc>
        <w:tc>
          <w:tcPr>
            <w:tcW w:w="1478" w:type="dxa"/>
            <w:tcBorders>
              <w:top w:val="nil"/>
              <w:left w:val="nil"/>
              <w:bottom w:val="nil"/>
              <w:right w:val="nil"/>
            </w:tcBorders>
            <w:shd w:val="clear" w:color="auto" w:fill="FFFFFF"/>
          </w:tcPr>
          <w:p w:rsidR="00ED665B" w:rsidRPr="00907702" w:rsidRDefault="006C7D2F" w:rsidP="00DC2656">
            <w:pPr>
              <w:ind w:right="24"/>
              <w:jc w:val="right"/>
              <w:rPr>
                <w:rFonts w:ascii="Calibri" w:hAnsi="Calibri" w:cs="Calibri"/>
              </w:rPr>
            </w:pPr>
            <w:r>
              <w:rPr>
                <w:rFonts w:ascii="Calibri" w:hAnsi="Calibri"/>
                <w:color w:val="000000"/>
                <w:sz w:val="14"/>
              </w:rPr>
              <w:t>1,00 [0,94, 1,00]</w:t>
            </w:r>
          </w:p>
        </w:tc>
        <w:tc>
          <w:tcPr>
            <w:tcW w:w="164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41400" cy="111125"/>
                  <wp:effectExtent l="0" t="0" r="0" b="0"/>
                  <wp:docPr id="211"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041400" cy="1111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111125"/>
                  <wp:effectExtent l="0" t="0" r="0" b="0"/>
                  <wp:docPr id="212"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93775" cy="111125"/>
                          </a:xfrm>
                          <a:prstGeom prst="rect">
                            <a:avLst/>
                          </a:prstGeom>
                          <a:noFill/>
                          <a:ln>
                            <a:noFill/>
                          </a:ln>
                        </pic:spPr>
                      </pic:pic>
                    </a:graphicData>
                  </a:graphic>
                </wp:inline>
              </w:drawing>
            </w:r>
          </w:p>
        </w:tc>
      </w:tr>
      <w:tr w:rsidR="00ED665B" w:rsidRPr="00907702" w:rsidTr="00B1493F">
        <w:trPr>
          <w:trHeight w:val="20"/>
        </w:trPr>
        <w:tc>
          <w:tcPr>
            <w:tcW w:w="1666"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4"/>
              </w:rPr>
              <w:t>FIND ПАР 2020</w:t>
            </w:r>
          </w:p>
        </w:tc>
        <w:tc>
          <w:tcPr>
            <w:tcW w:w="37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21</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0</w:t>
            </w:r>
          </w:p>
        </w:tc>
        <w:tc>
          <w:tcPr>
            <w:tcW w:w="27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1</w:t>
            </w:r>
          </w:p>
        </w:tc>
        <w:tc>
          <w:tcPr>
            <w:tcW w:w="365"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color w:val="000000"/>
                <w:sz w:val="14"/>
              </w:rPr>
              <w:t>39</w:t>
            </w:r>
          </w:p>
        </w:tc>
        <w:tc>
          <w:tcPr>
            <w:tcW w:w="1435"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4"/>
              </w:rPr>
              <w:t>0,95 [0,77, 1,00]</w:t>
            </w:r>
          </w:p>
        </w:tc>
        <w:tc>
          <w:tcPr>
            <w:tcW w:w="1478" w:type="dxa"/>
            <w:tcBorders>
              <w:top w:val="nil"/>
              <w:left w:val="nil"/>
              <w:bottom w:val="nil"/>
              <w:right w:val="nil"/>
            </w:tcBorders>
            <w:shd w:val="clear" w:color="auto" w:fill="FFFFFF"/>
          </w:tcPr>
          <w:p w:rsidR="00ED665B" w:rsidRPr="00907702" w:rsidRDefault="006C7D2F" w:rsidP="00DC2656">
            <w:pPr>
              <w:ind w:right="24"/>
              <w:jc w:val="right"/>
              <w:rPr>
                <w:rFonts w:ascii="Calibri" w:hAnsi="Calibri" w:cs="Calibri"/>
              </w:rPr>
            </w:pPr>
            <w:r>
              <w:rPr>
                <w:rFonts w:ascii="Calibri" w:hAnsi="Calibri"/>
                <w:color w:val="000000"/>
                <w:sz w:val="14"/>
              </w:rPr>
              <w:t>1,00 [0,91, 1,00]</w:t>
            </w:r>
          </w:p>
        </w:tc>
        <w:tc>
          <w:tcPr>
            <w:tcW w:w="1646"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41400" cy="238760"/>
                  <wp:effectExtent l="0" t="0" r="0" b="0"/>
                  <wp:docPr id="21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041400" cy="23876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993775" cy="238760"/>
                  <wp:effectExtent l="0" t="0" r="0" b="0"/>
                  <wp:docPr id="214"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93775" cy="238760"/>
                          </a:xfrm>
                          <a:prstGeom prst="rect">
                            <a:avLst/>
                          </a:prstGeom>
                          <a:noFill/>
                          <a:ln>
                            <a:noFill/>
                          </a:ln>
                        </pic:spPr>
                      </pic:pic>
                    </a:graphicData>
                  </a:graphic>
                </wp:inline>
              </w:drawing>
            </w:r>
          </w:p>
        </w:tc>
      </w:tr>
    </w:tbl>
    <w:p w:rsidR="00ED665B" w:rsidRPr="00907702" w:rsidRDefault="006C7D2F" w:rsidP="00DC2656">
      <w:pPr>
        <w:spacing w:before="48"/>
        <w:ind w:right="24"/>
        <w:jc w:val="both"/>
        <w:rPr>
          <w:rFonts w:ascii="Calibri" w:hAnsi="Calibri" w:cs="Calibri"/>
        </w:rPr>
      </w:pPr>
      <w:r>
        <w:rPr>
          <w:rFonts w:ascii="Calibri" w:hAnsi="Calibri"/>
          <w:color w:val="000000"/>
          <w:sz w:val="16"/>
        </w:rPr>
        <w:t>ДІ: довірчий інтервал; DIAMA: Діагностика мультирезистентного туберкульозу в Африці; ТМЧ: тест медикаментозної чутливості; FIND: Фонд інноваційної нової діагностики; ХН: хибнонегативний; ХП: хибнопозитивний; ТБ: туберкульоз; ІН: істинно негативний; ІП: істинно позитивний.</w:t>
      </w:r>
    </w:p>
    <w:p w:rsidR="00ED665B" w:rsidRPr="00907702" w:rsidRDefault="00ED665B" w:rsidP="00DC2656">
      <w:pPr>
        <w:spacing w:before="48"/>
        <w:ind w:right="24"/>
        <w:jc w:val="both"/>
        <w:rPr>
          <w:rFonts w:ascii="Calibri" w:hAnsi="Calibri" w:cs="Calibri"/>
        </w:rPr>
        <w:sectPr w:rsidR="00ED665B" w:rsidRPr="00907702" w:rsidSect="00DE3ED7">
          <w:pgSz w:w="11904" w:h="16838"/>
          <w:pgMar w:top="1339" w:right="1397" w:bottom="1418" w:left="1416" w:header="720" w:footer="720" w:gutter="0"/>
          <w:cols w:space="60"/>
          <w:noEndnote/>
        </w:sectPr>
      </w:pPr>
    </w:p>
    <w:p w:rsidR="00ED665B" w:rsidRPr="00DE3ED7" w:rsidRDefault="006C7D2F" w:rsidP="00DC2656">
      <w:pPr>
        <w:ind w:right="5"/>
        <w:jc w:val="both"/>
        <w:rPr>
          <w:rFonts w:ascii="Calibri" w:hAnsi="Calibri" w:cs="Calibri"/>
          <w:b/>
          <w:bCs/>
        </w:rPr>
      </w:pPr>
      <w:r>
        <w:rPr>
          <w:rFonts w:ascii="Calibri" w:hAnsi="Calibri"/>
          <w:color w:val="000000"/>
          <w:sz w:val="22"/>
        </w:rPr>
        <w:lastRenderedPageBreak/>
        <w:t xml:space="preserve">Чутливість щодо резистентності до амікацину у цьому дослідженні коливалась від 75% до 95%, а специфічність – від 96% до 100%. </w:t>
      </w:r>
      <w:r>
        <w:rPr>
          <w:rFonts w:ascii="Calibri" w:hAnsi="Calibri"/>
          <w:b/>
          <w:color w:val="000000"/>
          <w:sz w:val="22"/>
        </w:rPr>
        <w:t>Об’єднана чутливість становила 86,1% (95% ДІ: 75,0-92,7%), а сукупна специфічність – 98,9% (95% ДІ: 93,0-99,8%).</w:t>
      </w:r>
    </w:p>
    <w:p w:rsidR="00ED665B" w:rsidRPr="00DE3ED7" w:rsidRDefault="006C7D2F" w:rsidP="00DC2656">
      <w:pPr>
        <w:spacing w:before="235"/>
        <w:rPr>
          <w:rFonts w:ascii="Calibri" w:hAnsi="Calibri" w:cs="Calibri"/>
          <w:b/>
          <w:bCs/>
        </w:rPr>
      </w:pPr>
      <w:r>
        <w:rPr>
          <w:rFonts w:ascii="Calibri" w:hAnsi="Calibri"/>
          <w:b/>
          <w:color w:val="009649"/>
          <w:sz w:val="28"/>
        </w:rPr>
        <w:t>Аналіз співвідношення витрати / ефективність</w:t>
      </w:r>
    </w:p>
    <w:p w:rsidR="00ED665B" w:rsidRPr="00907702" w:rsidRDefault="006C7D2F" w:rsidP="00DC2656">
      <w:pPr>
        <w:spacing w:before="211"/>
        <w:rPr>
          <w:rFonts w:ascii="Calibri" w:hAnsi="Calibri" w:cs="Calibri"/>
        </w:rPr>
      </w:pPr>
      <w:r>
        <w:rPr>
          <w:rFonts w:ascii="Calibri" w:hAnsi="Calibri"/>
          <w:color w:val="000000"/>
          <w:sz w:val="22"/>
        </w:rPr>
        <w:t>У цьому розділі дається відповідь на наступне додаткове питання:</w:t>
      </w:r>
    </w:p>
    <w:p w:rsidR="00ED665B" w:rsidRPr="0031040C" w:rsidRDefault="006C7D2F" w:rsidP="00B1493F">
      <w:pPr>
        <w:spacing w:before="288"/>
        <w:ind w:right="5"/>
        <w:rPr>
          <w:rFonts w:ascii="Calibri" w:hAnsi="Calibri" w:cs="Calibri"/>
          <w:b/>
          <w:bCs/>
          <w:i/>
          <w:iCs/>
          <w:sz w:val="22"/>
        </w:rPr>
      </w:pPr>
      <w:r w:rsidRPr="0031040C">
        <w:rPr>
          <w:rFonts w:ascii="Calibri" w:hAnsi="Calibri"/>
          <w:b/>
          <w:i/>
          <w:color w:val="000000"/>
          <w:sz w:val="24"/>
        </w:rPr>
        <w:t>Які порівняльні витрати, доступність та співвідношення витрати / ефективність щодо впровадження тестів автоматизованих ТАНК низької складності?</w:t>
      </w:r>
    </w:p>
    <w:p w:rsidR="00ED665B" w:rsidRPr="00907702" w:rsidRDefault="006C7D2F" w:rsidP="00DC2656">
      <w:pPr>
        <w:spacing w:before="178"/>
        <w:ind w:right="5"/>
        <w:jc w:val="both"/>
        <w:rPr>
          <w:rFonts w:ascii="Calibri" w:hAnsi="Calibri" w:cs="Calibri"/>
        </w:rPr>
      </w:pPr>
      <w:r>
        <w:rPr>
          <w:rFonts w:ascii="Calibri" w:hAnsi="Calibri"/>
          <w:color w:val="000000"/>
          <w:sz w:val="22"/>
        </w:rPr>
        <w:t>Було проведено систематичний огляд, зосереджений на економічних оцінках автоматизованих ТАНК низької складності. В чотирьох онлайн-базах даних (Embase, Medline, Web of Science та Scopus) було проведено пошук нових досліджень, опублікованих з 1 січня 2010 року по 17 вересня 2020 року. Для додаткових досліджень було переглянуто цитати зі всіх статей, вказівок та оглядів, що відповідають необхідним критеріям. Також було встановлено зв’язок з експертами, а також виробниками тестів з метою виявлення будь-яких додаткових неопублікованих досліджень.</w:t>
      </w:r>
    </w:p>
    <w:p w:rsidR="00ED665B" w:rsidRPr="00907702" w:rsidRDefault="006C7D2F" w:rsidP="00DC2656">
      <w:pPr>
        <w:spacing w:before="163"/>
        <w:ind w:right="5"/>
        <w:jc w:val="both"/>
        <w:rPr>
          <w:rFonts w:ascii="Calibri" w:hAnsi="Calibri" w:cs="Calibri"/>
        </w:rPr>
      </w:pPr>
      <w:r>
        <w:rPr>
          <w:rFonts w:ascii="Calibri" w:hAnsi="Calibri"/>
          <w:color w:val="000000"/>
          <w:sz w:val="22"/>
        </w:rPr>
        <w:t>Мета цього огляду полягала в узагальненні поточних економічних даних та подальшому розумінні витрат, співвідношення витрати / ефективність та доступності автоматизованих ТАНК низької складності.</w:t>
      </w:r>
    </w:p>
    <w:p w:rsidR="00ED665B" w:rsidRPr="00907702" w:rsidRDefault="006C7D2F" w:rsidP="00DC2656">
      <w:pPr>
        <w:spacing w:before="168"/>
        <w:ind w:right="5"/>
        <w:jc w:val="both"/>
        <w:rPr>
          <w:rFonts w:ascii="Calibri" w:hAnsi="Calibri" w:cs="Calibri"/>
        </w:rPr>
      </w:pPr>
      <w:r>
        <w:rPr>
          <w:rFonts w:ascii="Calibri" w:hAnsi="Calibri"/>
          <w:color w:val="000000"/>
          <w:sz w:val="22"/>
        </w:rPr>
        <w:t>Було ідентифіковано два автоматизованих ТАНК низької складності: MeltPro MTB/RIF (Xiamen Zeesan Biotech Co Ltd, Китай) та тест Xpert MTB/XDR (Cepheid, Саннівейл, США). До цього огляду включено тільки дані щодо тесту Xpert MTB/XDR. Як і у випадку з Xpert MTB/RIF, новий тест XDR може використовуватися для тестування як необробленого, так і концентрованого мокротиння. Жодних опублікованих досліджень, які б надавали прямі доказові дані щодо вартості або співвідношення витрати / ефективність автоматизованих ТАНК низької складності, виявлено не було.</w:t>
      </w:r>
    </w:p>
    <w:p w:rsidR="00ED665B" w:rsidRPr="00907702" w:rsidRDefault="006C7D2F" w:rsidP="00DC2656">
      <w:pPr>
        <w:spacing w:before="168"/>
        <w:ind w:right="5"/>
        <w:jc w:val="both"/>
        <w:rPr>
          <w:rFonts w:ascii="Calibri" w:hAnsi="Calibri" w:cs="Calibri"/>
        </w:rPr>
      </w:pPr>
      <w:r>
        <w:rPr>
          <w:rFonts w:ascii="Calibri" w:hAnsi="Calibri"/>
          <w:color w:val="000000"/>
          <w:sz w:val="22"/>
        </w:rPr>
        <w:t>Завдяки прямій комунікації з виробником Xpert MTB/XDR очікується, що вартість картриджа XDR у країні з низьким та середнім рівнем доходу (LMIC) буде становити 19,80 дол. США безпосередньо на заводі. Додаткові витрати на доставку та митницю будуть покриті країнами-організаціями, що замовляють тести, як зараз практикується з картриджами Xpert MTB/RIF та Ultra.</w:t>
      </w:r>
    </w:p>
    <w:p w:rsidR="00ED665B" w:rsidRPr="00907702" w:rsidRDefault="006C7D2F" w:rsidP="00DC2656">
      <w:pPr>
        <w:spacing w:before="173"/>
        <w:jc w:val="both"/>
        <w:rPr>
          <w:rFonts w:ascii="Calibri" w:hAnsi="Calibri" w:cs="Calibri"/>
        </w:rPr>
      </w:pPr>
      <w:r>
        <w:rPr>
          <w:rFonts w:ascii="Calibri" w:hAnsi="Calibri"/>
          <w:color w:val="000000"/>
          <w:sz w:val="22"/>
        </w:rPr>
        <w:t>Як у випадку з тестами Xpert MTB/RIF та Ultra, витрати на тест-картридж представляють лише одну складову загальних витрат на один тест, які необхідно враховувати. Ще одним важливим фактором є обладнання. Тест Xpert MTB/XDR не працюватиме на наявних шестиколірних модулях і вимагатиме від лабораторій оновлення до 10-кольорових модулів GeneXpert. Для 10-колірної системи будуть запропоновані різні варіанти оновлення з різними цінами залежно від потреб та наявних ресурсів. Варіанти оновлення включають:</w:t>
      </w:r>
    </w:p>
    <w:p w:rsidR="00ED665B" w:rsidRPr="00907702" w:rsidRDefault="006C7D2F" w:rsidP="00B1493F">
      <w:pPr>
        <w:numPr>
          <w:ilvl w:val="0"/>
          <w:numId w:val="2"/>
        </w:numPr>
        <w:tabs>
          <w:tab w:val="left" w:pos="240"/>
        </w:tabs>
        <w:spacing w:before="82"/>
        <w:ind w:left="240" w:hanging="240"/>
        <w:jc w:val="both"/>
        <w:rPr>
          <w:rFonts w:ascii="Calibri" w:hAnsi="Calibri" w:cs="Calibri"/>
          <w:color w:val="009649"/>
          <w:sz w:val="22"/>
          <w:szCs w:val="22"/>
        </w:rPr>
      </w:pPr>
      <w:r>
        <w:rPr>
          <w:rFonts w:ascii="Calibri" w:hAnsi="Calibri"/>
          <w:color w:val="000000"/>
          <w:sz w:val="22"/>
        </w:rPr>
        <w:t>нову 10-кольорову систему (найдорожчий варіант): від 9420 доларів США за один модуль до 72 350 доларів США за 16 модулів, в тому числі платформу GeneXpert, комп’ютер і сканер;</w:t>
      </w:r>
    </w:p>
    <w:p w:rsidR="00ED665B" w:rsidRPr="00907702" w:rsidRDefault="006C7D2F" w:rsidP="00B1493F">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новий 10-кольоровий супутниковий інструмент з GeneXpert, підключений до наявної системи, що вартує від 6495 доларів США за один модуль до 69 525 доларів США за 16 модулів; та</w:t>
      </w:r>
    </w:p>
    <w:p w:rsidR="00ED665B" w:rsidRPr="00907702" w:rsidRDefault="006C7D2F" w:rsidP="00B1493F">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перехід наявної системи GeneXpert із шестиколірної на 10-колірну систему шляхом заміни модулів. Комплект 10-кольорових модулів коштує 3860 доларів США.</w:t>
      </w:r>
    </w:p>
    <w:p w:rsidR="00ED665B" w:rsidRPr="00907702" w:rsidRDefault="00ED665B" w:rsidP="00DC2656">
      <w:pPr>
        <w:numPr>
          <w:ilvl w:val="0"/>
          <w:numId w:val="2"/>
        </w:numPr>
        <w:tabs>
          <w:tab w:val="left" w:pos="240"/>
        </w:tabs>
        <w:ind w:left="240" w:hanging="240"/>
        <w:rPr>
          <w:rFonts w:ascii="Calibri" w:hAnsi="Calibri" w:cs="Calibri"/>
          <w:color w:val="009649"/>
          <w:sz w:val="22"/>
          <w:szCs w:val="22"/>
        </w:rPr>
        <w:sectPr w:rsidR="00ED665B" w:rsidRPr="00907702">
          <w:pgSz w:w="11904" w:h="16838"/>
          <w:pgMar w:top="1339" w:right="1411" w:bottom="2088" w:left="1416" w:header="720" w:footer="720" w:gutter="0"/>
          <w:cols w:space="60"/>
          <w:noEndnote/>
        </w:sectPr>
      </w:pPr>
    </w:p>
    <w:p w:rsidR="00ED665B" w:rsidRPr="00907702" w:rsidRDefault="006C7D2F" w:rsidP="00DC2656">
      <w:pPr>
        <w:jc w:val="both"/>
        <w:rPr>
          <w:rFonts w:ascii="Calibri" w:hAnsi="Calibri" w:cs="Calibri"/>
        </w:rPr>
      </w:pPr>
      <w:r>
        <w:rPr>
          <w:rFonts w:ascii="Calibri" w:hAnsi="Calibri"/>
          <w:color w:val="000000"/>
          <w:sz w:val="22"/>
        </w:rPr>
        <w:lastRenderedPageBreak/>
        <w:t>Додаткові міркування щодо вартості Xpert MTB/XDR включають додаткове тестування або повторне тестування у разі невизначених або недійсних результатів (невизначених, незрозумілих або недійсних). Потенційний тягар вартості від цього, ймовірно, буде змінюватися залежно від частки невизначених результатів тестування в різних умовах та відповідних протоколів повторного тестування.</w:t>
      </w:r>
    </w:p>
    <w:p w:rsidR="00ED665B" w:rsidRPr="00907702" w:rsidRDefault="006C7D2F" w:rsidP="00DC2656">
      <w:pPr>
        <w:spacing w:before="168"/>
        <w:jc w:val="both"/>
        <w:rPr>
          <w:rFonts w:ascii="Calibri" w:hAnsi="Calibri" w:cs="Calibri"/>
        </w:rPr>
      </w:pPr>
      <w:r>
        <w:rPr>
          <w:rFonts w:ascii="Calibri" w:hAnsi="Calibri"/>
          <w:color w:val="000000"/>
          <w:sz w:val="22"/>
        </w:rPr>
        <w:t>Жодних досліджень, які б безпосередньо оцінювали співвідношення витрати / ефективність картриджа Xpert MTB/XDR, виявлено не було. Хоча екстраполяція з інших платформ та підходи тестування для визначення витрат може бути доречним, екстраполяція даних щодо співвідношення витрати / ефективність з тесту Xpert MTB/RIF (Ultra) або інших ТАНК не рекомендується через відмінності в точності діагностики, витрати, пов’язані з лікуванням ШЛС, та різні каскади лікування та тестування.</w:t>
      </w:r>
    </w:p>
    <w:p w:rsidR="00ED665B" w:rsidRPr="00907702" w:rsidRDefault="006C7D2F" w:rsidP="00DC2656">
      <w:pPr>
        <w:spacing w:before="168"/>
        <w:jc w:val="both"/>
        <w:rPr>
          <w:rFonts w:ascii="Calibri" w:hAnsi="Calibri" w:cs="Calibri"/>
        </w:rPr>
      </w:pPr>
      <w:r>
        <w:rPr>
          <w:rFonts w:ascii="Calibri" w:hAnsi="Calibri"/>
          <w:color w:val="000000"/>
          <w:sz w:val="22"/>
        </w:rPr>
        <w:t>Існує декілька факторів, які можуть вплинути на співвідношення витрати / ефективність тесту Xpert MTB/XDR; це наступні: діагностична точність, що може призвести до того, що більшій чи меншій кількості людей буде поставлено діагноз порівняно зі стандартною практикою (що, у свою чергу, буде змінюватися залежно від місцевого стандарту надання медичної допомоги). Окрім діагностичної точності, пов’язаної з самим тестом, діагностичний алгоритм і проведення тесту Xpert MTB/XDR в алгоритмі також має важливі наслідки.</w:t>
      </w:r>
    </w:p>
    <w:p w:rsidR="00ED665B" w:rsidRPr="00907702" w:rsidRDefault="006C7D2F" w:rsidP="00DC2656">
      <w:pPr>
        <w:spacing w:before="173"/>
        <w:jc w:val="both"/>
        <w:rPr>
          <w:rFonts w:ascii="Calibri" w:hAnsi="Calibri" w:cs="Calibri"/>
        </w:rPr>
      </w:pPr>
      <w:r>
        <w:rPr>
          <w:rFonts w:ascii="Calibri" w:hAnsi="Calibri"/>
          <w:color w:val="000000"/>
          <w:sz w:val="22"/>
        </w:rPr>
        <w:t>Новий тест Xpert MTB/XDR дає результати менш ніж за 90 хвилин. Тож запровадження цього тесту, швидше за все, призведе до прискорення отримання результату генотипічного ТМЧ та може покращити співвідношення витрати / ефективність, підвищивши кількість пацієнтів, які розпочинають лікування, зменшуючи втрати на подальше спостереження та покращуючи виживання. Витрати, пов’язані з лікуванням ШЛС, будуть, ймовірно, важливим чинником встановлення співвідношення витрати / ефективність та економічної ефективності, оскільки попередня робота показала, що ці витрати є високими порівняно з діагностичними та іншими витратами на лікування. Зростання кількості пацієнтів зі встановленою ШЛС, які потребують лікування, вимагають покращення загальних ресурсів, необхідних для лікування цих осіб.</w:t>
      </w:r>
    </w:p>
    <w:p w:rsidR="00ED665B" w:rsidRPr="00907702" w:rsidRDefault="006C7D2F" w:rsidP="00DC2656">
      <w:pPr>
        <w:spacing w:before="168"/>
        <w:jc w:val="both"/>
        <w:rPr>
          <w:rFonts w:ascii="Calibri" w:hAnsi="Calibri" w:cs="Calibri"/>
        </w:rPr>
      </w:pPr>
      <w:r>
        <w:rPr>
          <w:rFonts w:ascii="Calibri" w:hAnsi="Calibri"/>
          <w:color w:val="000000"/>
          <w:sz w:val="22"/>
        </w:rPr>
        <w:t>За відсутності досліджень моделювання передачі, відсутня також інформація про довгостроковий вплив використання тестів Xpert MTB/XDR на рівень популяції. Проте, переваги виявлення більшої кількості випадків на більш ранньому етапі можуть призвести до скорочення поточної передачі та потенційної економії коштів у довгостроковій перспективі. Це вимагає ретельного дослідження шляхом моделювання передачі захворювання.</w:t>
      </w:r>
    </w:p>
    <w:p w:rsidR="00ED665B" w:rsidRPr="002A4324" w:rsidRDefault="006C7D2F" w:rsidP="00DC2656">
      <w:pPr>
        <w:spacing w:before="216"/>
        <w:rPr>
          <w:rFonts w:ascii="Calibri" w:hAnsi="Calibri" w:cs="Calibri"/>
          <w:i/>
          <w:iCs/>
        </w:rPr>
      </w:pPr>
      <w:r>
        <w:rPr>
          <w:rFonts w:ascii="Calibri" w:hAnsi="Calibri"/>
          <w:i/>
          <w:color w:val="000000"/>
          <w:sz w:val="22"/>
        </w:rPr>
        <w:t>Наскільки високі вимоги до ресурсів (витрати)?</w:t>
      </w:r>
    </w:p>
    <w:p w:rsidR="00ED665B" w:rsidRPr="00907702" w:rsidRDefault="006C7D2F" w:rsidP="00DC2656">
      <w:pPr>
        <w:spacing w:before="101"/>
        <w:jc w:val="both"/>
        <w:rPr>
          <w:rFonts w:ascii="Calibri" w:hAnsi="Calibri" w:cs="Calibri"/>
        </w:rPr>
      </w:pPr>
      <w:r>
        <w:rPr>
          <w:rFonts w:ascii="Calibri" w:hAnsi="Calibri"/>
          <w:color w:val="000000"/>
          <w:sz w:val="22"/>
        </w:rPr>
        <w:t>Жодне опубліковане дослідження не надало прямих даних щодо загального обсягу необхідних ресурсів. Вимоги до ресурсів включатимуть закупівлю картриджів (19,8 доларів США за картридж), оновлення наявних платформ до 10-кольорових модулів (оновлення, яке врешті-решт буде потрібним для всіх платформ Xpert: від 3860 доларів США до &gt;72 350 доларів США) та операційні та програмні витрати, пов’язані з впровадженням нових діагностичних засобів. Вимоги до ресурсів для лікування ШЛС (наприклад, ліків, наявності ліжкомісць у медичних закладах та персоналу) також, ймовірно, зростуть зі збільшенням кількості діагностованих людей. Загальні витрати будуть змінюватися залежно від обсягу тестування та поширеність ШЛС у населення; також вплив на бюджет залежатиме від поточного стандарту надання медичної допомоги та використання відповідних ресурсів.</w:t>
      </w:r>
    </w:p>
    <w:p w:rsidR="00ED665B" w:rsidRPr="002A4324" w:rsidRDefault="006C7D2F" w:rsidP="00DC2656">
      <w:pPr>
        <w:spacing w:before="216"/>
        <w:rPr>
          <w:rFonts w:ascii="Calibri" w:hAnsi="Calibri" w:cs="Calibri"/>
          <w:i/>
          <w:iCs/>
        </w:rPr>
      </w:pPr>
      <w:r>
        <w:rPr>
          <w:rFonts w:ascii="Calibri" w:hAnsi="Calibri"/>
          <w:i/>
          <w:color w:val="000000"/>
          <w:sz w:val="22"/>
        </w:rPr>
        <w:t>Яка якість доказових даних про потреби у ресурсах (витрати)?</w:t>
      </w:r>
    </w:p>
    <w:p w:rsidR="00ED665B" w:rsidRPr="00907702" w:rsidRDefault="006C7D2F" w:rsidP="00DC2656">
      <w:pPr>
        <w:spacing w:before="101"/>
        <w:jc w:val="both"/>
        <w:rPr>
          <w:rFonts w:ascii="Calibri" w:hAnsi="Calibri" w:cs="Calibri"/>
        </w:rPr>
      </w:pPr>
      <w:r>
        <w:rPr>
          <w:rFonts w:ascii="Calibri" w:hAnsi="Calibri"/>
          <w:color w:val="000000"/>
          <w:sz w:val="22"/>
        </w:rPr>
        <w:t>Прямі витрати, пов’язані з придбанням картриджів та обладнання, надаються виробником; однак кілька важливих пунктів, пов’язаних із використанням ресурсів для впровадження Xpert MTB/XDR, не досліджувались (наприклад, час персоналу, накладні та операційні витрати).</w:t>
      </w:r>
    </w:p>
    <w:p w:rsidR="00ED665B" w:rsidRPr="00907702" w:rsidRDefault="00ED665B" w:rsidP="00DC2656">
      <w:pPr>
        <w:spacing w:before="101"/>
        <w:jc w:val="both"/>
        <w:rPr>
          <w:rFonts w:ascii="Calibri" w:hAnsi="Calibri" w:cs="Calibri"/>
        </w:rPr>
        <w:sectPr w:rsidR="00ED665B" w:rsidRPr="00907702">
          <w:pgSz w:w="11904" w:h="16838"/>
          <w:pgMar w:top="1339" w:right="1416" w:bottom="1507" w:left="1416" w:header="720" w:footer="720" w:gutter="0"/>
          <w:cols w:space="60"/>
          <w:noEndnote/>
        </w:sectPr>
      </w:pPr>
    </w:p>
    <w:p w:rsidR="00ED665B" w:rsidRPr="00907702" w:rsidRDefault="009D73BB" w:rsidP="00DC2656">
      <w:pPr>
        <w:ind w:right="5"/>
        <w:jc w:val="both"/>
        <w:rPr>
          <w:rFonts w:ascii="Calibri" w:hAnsi="Calibri" w:cs="Calibri"/>
        </w:rPr>
      </w:pPr>
      <w:r>
        <w:rPr>
          <w:rFonts w:ascii="Calibri" w:hAnsi="Calibri"/>
          <w:color w:val="000000"/>
          <w:sz w:val="22"/>
        </w:rPr>
        <w:lastRenderedPageBreak/>
        <w:t>Різниця у використанні ресурсів між Xpert MTB/XDR та існуючими підходами буде відрізнятися в залежності від умов з використанням різних фенотипічних та генотипічних ТМЧ. Залежно від установи, буде проявлятися важлива різниця у витратах на час персоналу та операційних витратах (наприклад, обсязі тестування).</w:t>
      </w:r>
    </w:p>
    <w:p w:rsidR="00ED665B" w:rsidRPr="00B1493F" w:rsidRDefault="006C7D2F" w:rsidP="00DC2656">
      <w:pPr>
        <w:spacing w:before="216"/>
        <w:rPr>
          <w:rFonts w:ascii="Calibri" w:hAnsi="Calibri" w:cs="Calibri"/>
          <w:i/>
        </w:rPr>
      </w:pPr>
      <w:r w:rsidRPr="00B1493F">
        <w:rPr>
          <w:rFonts w:ascii="Calibri" w:hAnsi="Calibri"/>
          <w:i/>
          <w:color w:val="000000"/>
          <w:sz w:val="22"/>
        </w:rPr>
        <w:t>Співвідношення витрати / ефективність втручання сприяє втручанню або порівнянню?</w:t>
      </w:r>
    </w:p>
    <w:p w:rsidR="00ED665B" w:rsidRPr="00907702" w:rsidRDefault="006C7D2F" w:rsidP="00DC2656">
      <w:pPr>
        <w:spacing w:before="101"/>
        <w:ind w:right="5"/>
        <w:jc w:val="both"/>
        <w:rPr>
          <w:rFonts w:ascii="Calibri" w:hAnsi="Calibri" w:cs="Calibri"/>
        </w:rPr>
      </w:pPr>
      <w:r>
        <w:rPr>
          <w:rFonts w:ascii="Calibri" w:hAnsi="Calibri"/>
          <w:color w:val="000000"/>
          <w:sz w:val="22"/>
        </w:rPr>
        <w:t>Жодних досліджень співвідношення витрати / ефективність з використанням тесту Xpert MTB/XDR не виявлено. Екстраполяція даних щодо співвідношення витрати / ефективність з тесту Xpert MTB/RIF або інших ТАНК не рекомендується через відмінності в точності діагностики, витрати, пов’язані з лікуванням ШЛС, та каскади лікування і тестування.</w:t>
      </w:r>
    </w:p>
    <w:p w:rsidR="00ED665B" w:rsidRPr="00907702" w:rsidRDefault="006C7D2F" w:rsidP="00DC2656">
      <w:pPr>
        <w:spacing w:before="168"/>
        <w:ind w:right="5"/>
        <w:jc w:val="both"/>
        <w:rPr>
          <w:rFonts w:ascii="Calibri" w:hAnsi="Calibri" w:cs="Calibri"/>
        </w:rPr>
      </w:pPr>
      <w:r>
        <w:rPr>
          <w:rFonts w:ascii="Calibri" w:hAnsi="Calibri"/>
          <w:color w:val="000000"/>
          <w:sz w:val="22"/>
        </w:rPr>
        <w:t xml:space="preserve">Більше інформації про синтез та аналіз економічних даних наведено у </w:t>
      </w:r>
      <w:r>
        <w:rPr>
          <w:rFonts w:ascii="Calibri" w:hAnsi="Calibri"/>
          <w:b/>
          <w:color w:val="000000"/>
          <w:sz w:val="22"/>
        </w:rPr>
        <w:t>Вебдодатку 4.9</w:t>
      </w:r>
      <w:r>
        <w:rPr>
          <w:rFonts w:ascii="Calibri" w:hAnsi="Calibri"/>
          <w:color w:val="000000"/>
          <w:sz w:val="22"/>
        </w:rPr>
        <w:t>: «Систематичний огляд літератури стосовно економічних даних для тестів на ампліфікацію нуклеїнової кислоти (ТАНК) для виявлення ТБ та резистентного ТБ у дорослих та дітей».</w:t>
      </w:r>
    </w:p>
    <w:p w:rsidR="00ED665B" w:rsidRPr="002A4324" w:rsidRDefault="006C7D2F" w:rsidP="00DC2656">
      <w:pPr>
        <w:spacing w:before="235"/>
        <w:rPr>
          <w:rFonts w:ascii="Calibri" w:hAnsi="Calibri" w:cs="Calibri"/>
          <w:b/>
          <w:bCs/>
        </w:rPr>
      </w:pPr>
      <w:r>
        <w:rPr>
          <w:rFonts w:ascii="Calibri" w:hAnsi="Calibri"/>
          <w:b/>
          <w:color w:val="009649"/>
          <w:sz w:val="28"/>
        </w:rPr>
        <w:t>Перспективи тестування</w:t>
      </w:r>
    </w:p>
    <w:p w:rsidR="00ED665B" w:rsidRPr="002A4324" w:rsidRDefault="006C7D2F" w:rsidP="00B1493F">
      <w:pPr>
        <w:spacing w:before="173"/>
        <w:ind w:right="5"/>
        <w:jc w:val="both"/>
        <w:rPr>
          <w:rFonts w:ascii="Calibri" w:hAnsi="Calibri" w:cs="Calibri"/>
          <w:b/>
          <w:bCs/>
        </w:rPr>
      </w:pPr>
      <w:r>
        <w:rPr>
          <w:rFonts w:ascii="Calibri" w:hAnsi="Calibri"/>
          <w:color w:val="000000"/>
          <w:sz w:val="22"/>
        </w:rPr>
        <w:t xml:space="preserve">У цьому розділі даються відповіді на наступне запитання про </w:t>
      </w:r>
      <w:r>
        <w:rPr>
          <w:rFonts w:ascii="Calibri" w:hAnsi="Calibri"/>
          <w:b/>
          <w:color w:val="000000"/>
          <w:sz w:val="22"/>
        </w:rPr>
        <w:t>погляди та перспективи, представлені ключовими інформаторами, на використання автоматизованих ТАНК низької складності:</w:t>
      </w:r>
    </w:p>
    <w:p w:rsidR="00ED665B" w:rsidRPr="00907702" w:rsidRDefault="006C7D2F" w:rsidP="00B1493F">
      <w:pPr>
        <w:numPr>
          <w:ilvl w:val="0"/>
          <w:numId w:val="2"/>
        </w:numPr>
        <w:tabs>
          <w:tab w:val="left" w:pos="240"/>
        </w:tabs>
        <w:spacing w:before="163"/>
        <w:ind w:left="240" w:hanging="240"/>
        <w:jc w:val="both"/>
        <w:rPr>
          <w:rFonts w:ascii="Calibri" w:hAnsi="Calibri" w:cs="Calibri"/>
          <w:color w:val="009649"/>
          <w:sz w:val="22"/>
          <w:szCs w:val="22"/>
        </w:rPr>
      </w:pPr>
      <w:r>
        <w:rPr>
          <w:rFonts w:ascii="Calibri" w:hAnsi="Calibri"/>
          <w:color w:val="000000"/>
          <w:sz w:val="22"/>
        </w:rPr>
        <w:t>Чи є важлива невизначеність або різниця в тому, наскільки кінцеві користувачі оцінюють основні результати?</w:t>
      </w:r>
    </w:p>
    <w:p w:rsidR="00ED665B" w:rsidRPr="00907702" w:rsidRDefault="006C7D2F" w:rsidP="00B1493F">
      <w:pPr>
        <w:numPr>
          <w:ilvl w:val="0"/>
          <w:numId w:val="2"/>
        </w:numPr>
        <w:tabs>
          <w:tab w:val="left" w:pos="240"/>
        </w:tabs>
        <w:jc w:val="both"/>
        <w:rPr>
          <w:rFonts w:ascii="Calibri" w:hAnsi="Calibri" w:cs="Calibri"/>
          <w:color w:val="009649"/>
          <w:sz w:val="22"/>
          <w:szCs w:val="22"/>
        </w:rPr>
      </w:pPr>
      <w:r>
        <w:rPr>
          <w:rFonts w:ascii="Calibri" w:hAnsi="Calibri"/>
          <w:color w:val="000000"/>
          <w:sz w:val="22"/>
        </w:rPr>
        <w:t>Яким би був вплив на рівність у питанні надання послуг у сфері охорони здоров’я?</w:t>
      </w:r>
    </w:p>
    <w:p w:rsidR="00ED665B" w:rsidRPr="00907702" w:rsidRDefault="006C7D2F" w:rsidP="00B1493F">
      <w:pPr>
        <w:numPr>
          <w:ilvl w:val="0"/>
          <w:numId w:val="2"/>
        </w:numPr>
        <w:tabs>
          <w:tab w:val="left" w:pos="240"/>
        </w:tabs>
        <w:jc w:val="both"/>
        <w:rPr>
          <w:rFonts w:ascii="Calibri" w:hAnsi="Calibri" w:cs="Calibri"/>
          <w:color w:val="009649"/>
          <w:sz w:val="22"/>
          <w:szCs w:val="22"/>
        </w:rPr>
      </w:pPr>
      <w:r>
        <w:rPr>
          <w:rFonts w:ascii="Calibri" w:hAnsi="Calibri"/>
          <w:color w:val="000000"/>
          <w:sz w:val="22"/>
        </w:rPr>
        <w:t>Чи є втручання прийнятним для ключових зацікавлених сторін?</w:t>
      </w:r>
    </w:p>
    <w:p w:rsidR="00ED665B" w:rsidRPr="00907702" w:rsidRDefault="006C7D2F" w:rsidP="00B1493F">
      <w:pPr>
        <w:numPr>
          <w:ilvl w:val="0"/>
          <w:numId w:val="2"/>
        </w:numPr>
        <w:tabs>
          <w:tab w:val="left" w:pos="240"/>
        </w:tabs>
        <w:jc w:val="both"/>
        <w:rPr>
          <w:rFonts w:ascii="Calibri" w:hAnsi="Calibri" w:cs="Calibri"/>
          <w:color w:val="009649"/>
          <w:sz w:val="22"/>
          <w:szCs w:val="22"/>
        </w:rPr>
      </w:pPr>
      <w:r>
        <w:rPr>
          <w:rFonts w:ascii="Calibri" w:hAnsi="Calibri"/>
          <w:color w:val="000000"/>
          <w:sz w:val="22"/>
        </w:rPr>
        <w:t>Чи можливо реалізувати втручання?</w:t>
      </w:r>
    </w:p>
    <w:p w:rsidR="00ED665B" w:rsidRPr="00907702" w:rsidRDefault="006C7D2F" w:rsidP="00B1493F">
      <w:pPr>
        <w:spacing w:before="163"/>
        <w:ind w:right="10"/>
        <w:jc w:val="both"/>
        <w:rPr>
          <w:rFonts w:ascii="Calibri" w:hAnsi="Calibri" w:cs="Calibri"/>
        </w:rPr>
      </w:pPr>
      <w:r>
        <w:rPr>
          <w:rFonts w:ascii="Calibri" w:hAnsi="Calibri"/>
          <w:color w:val="000000"/>
          <w:sz w:val="22"/>
        </w:rPr>
        <w:t>Синтез та аналіз якісних доказових даних щодо перспектив кінцевих користувачів обговорюються вище у розділі “Перспектива користувачів” для автоматизованих ТАНК помірної складності (стор. 73–77).</w:t>
      </w:r>
    </w:p>
    <w:p w:rsidR="00ED665B" w:rsidRPr="002A4324" w:rsidRDefault="006C7D2F" w:rsidP="00B1493F">
      <w:pPr>
        <w:spacing w:before="230"/>
        <w:jc w:val="both"/>
        <w:rPr>
          <w:rFonts w:ascii="Calibri" w:hAnsi="Calibri" w:cs="Calibri"/>
          <w:b/>
          <w:bCs/>
        </w:rPr>
      </w:pPr>
      <w:r>
        <w:rPr>
          <w:rFonts w:ascii="Calibri" w:hAnsi="Calibri"/>
          <w:b/>
          <w:color w:val="009649"/>
          <w:sz w:val="28"/>
        </w:rPr>
        <w:t>Висновки огляду та опитування</w:t>
      </w:r>
    </w:p>
    <w:p w:rsidR="00ED665B" w:rsidRPr="00907702" w:rsidRDefault="006C7D2F" w:rsidP="00B1493F">
      <w:pPr>
        <w:spacing w:before="168"/>
        <w:ind w:right="5"/>
        <w:jc w:val="both"/>
        <w:rPr>
          <w:rFonts w:ascii="Calibri" w:hAnsi="Calibri" w:cs="Calibri"/>
        </w:rPr>
      </w:pPr>
      <w:r>
        <w:rPr>
          <w:rFonts w:ascii="Calibri" w:hAnsi="Calibri"/>
          <w:color w:val="000000"/>
          <w:sz w:val="22"/>
        </w:rPr>
        <w:t>Нижче наведені основні висновки систематичного огляду та опитування. Якщо є інформація щодо огляду, надається рівень достовірності у синтезі якісних доказів (СЯК); якщо інформацію отримано з опитувань, вказується «опитування».</w:t>
      </w:r>
    </w:p>
    <w:p w:rsidR="00ED665B" w:rsidRPr="002A4324" w:rsidRDefault="006C7D2F" w:rsidP="00B1493F">
      <w:pPr>
        <w:spacing w:before="173"/>
        <w:ind w:right="14"/>
        <w:jc w:val="both"/>
        <w:rPr>
          <w:rFonts w:ascii="Calibri" w:hAnsi="Calibri" w:cs="Calibri"/>
          <w:b/>
          <w:bCs/>
        </w:rPr>
      </w:pPr>
      <w:r>
        <w:rPr>
          <w:rFonts w:ascii="Calibri" w:hAnsi="Calibri"/>
          <w:b/>
          <w:color w:val="000000"/>
          <w:sz w:val="22"/>
        </w:rPr>
        <w:t>Чи є важлива невизначеність або різниця в тому, наскільки кінцеві користувачі оцінюють основні результати?</w:t>
      </w:r>
    </w:p>
    <w:p w:rsidR="00ED665B" w:rsidRPr="00907702" w:rsidRDefault="006C7D2F" w:rsidP="00B1493F">
      <w:pPr>
        <w:tabs>
          <w:tab w:val="left" w:pos="240"/>
        </w:tabs>
        <w:spacing w:before="168"/>
        <w:jc w:val="both"/>
        <w:rPr>
          <w:rFonts w:ascii="Calibri" w:hAnsi="Calibri" w:cs="Calibri"/>
        </w:rPr>
      </w:pPr>
      <w:r>
        <w:rPr>
          <w:rFonts w:ascii="Calibri" w:hAnsi="Calibri"/>
          <w:color w:val="009649"/>
          <w:sz w:val="22"/>
        </w:rPr>
        <w:t>•</w:t>
      </w:r>
      <w:r>
        <w:rPr>
          <w:rFonts w:ascii="Calibri" w:hAnsi="Calibri"/>
          <w:color w:val="009649"/>
          <w:sz w:val="22"/>
        </w:rPr>
        <w:tab/>
      </w:r>
      <w:r w:rsidRPr="00B1493F">
        <w:rPr>
          <w:rFonts w:ascii="Calibri" w:hAnsi="Calibri"/>
          <w:b/>
          <w:color w:val="000000"/>
          <w:sz w:val="22"/>
        </w:rPr>
        <w:t>Пацієнти</w:t>
      </w:r>
      <w:r>
        <w:rPr>
          <w:rFonts w:ascii="Calibri" w:hAnsi="Calibri"/>
          <w:color w:val="000000"/>
          <w:sz w:val="22"/>
        </w:rPr>
        <w:t xml:space="preserve"> в умовах з високим тягарем ТБ:</w:t>
      </w:r>
    </w:p>
    <w:p w:rsidR="002A4324" w:rsidRDefault="006C7D2F" w:rsidP="00B1493F">
      <w:pPr>
        <w:ind w:left="567" w:hanging="284"/>
        <w:jc w:val="both"/>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встановлення точного діагнозу та завершення діагностики (нарешті поінформованість щодо питання: «що зі мною не так»); </w:t>
      </w:r>
    </w:p>
    <w:p w:rsidR="002A4324" w:rsidRDefault="006C7D2F" w:rsidP="00B1493F">
      <w:pPr>
        <w:ind w:left="567" w:hanging="284"/>
        <w:jc w:val="both"/>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уникнення діагностичних затримок, оскільки вони посилюють наявні фінансові труднощі та емоційні та фізичні страждання, а також викликають у пацієнтів почуття провини за зараження інших (особливо дітей); </w:t>
      </w:r>
    </w:p>
    <w:p w:rsidR="002A4324" w:rsidRDefault="006C7D2F" w:rsidP="00B1493F">
      <w:pPr>
        <w:ind w:left="567" w:hanging="284"/>
        <w:jc w:val="both"/>
        <w:rPr>
          <w:rFonts w:ascii="Calibri" w:hAnsi="Calibri" w:cs="Calibri"/>
          <w:color w:val="000000"/>
          <w:sz w:val="22"/>
          <w:szCs w:val="22"/>
        </w:rPr>
      </w:pPr>
      <w:r>
        <w:rPr>
          <w:rFonts w:ascii="Calibri" w:hAnsi="Calibri"/>
          <w:color w:val="009649"/>
          <w:sz w:val="22"/>
        </w:rPr>
        <w:t>–</w:t>
      </w:r>
      <w:r>
        <w:rPr>
          <w:rFonts w:ascii="Calibri" w:hAnsi="Calibri"/>
          <w:color w:val="009649"/>
          <w:sz w:val="22"/>
        </w:rPr>
        <w:tab/>
      </w:r>
      <w:r>
        <w:rPr>
          <w:rFonts w:ascii="Calibri" w:hAnsi="Calibri"/>
          <w:color w:val="000000"/>
          <w:sz w:val="22"/>
        </w:rPr>
        <w:t xml:space="preserve">наявність доступних приміщень; та </w:t>
      </w:r>
    </w:p>
    <w:p w:rsidR="00ED665B" w:rsidRPr="00907702" w:rsidRDefault="006C7D2F" w:rsidP="00B1493F">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зменшення витрат, пов’язаних з діагностикою (наприклад, подорожі, відсутність роботи), як важливих результатів діагностики.</w:t>
      </w:r>
    </w:p>
    <w:p w:rsidR="00ED665B" w:rsidRPr="00B1493F" w:rsidRDefault="006C7D2F" w:rsidP="00B1493F">
      <w:pPr>
        <w:ind w:left="567"/>
        <w:jc w:val="both"/>
        <w:rPr>
          <w:rFonts w:ascii="Calibri" w:hAnsi="Calibri" w:cs="Calibri"/>
          <w:i/>
        </w:rPr>
      </w:pPr>
      <w:r w:rsidRPr="00B1493F">
        <w:rPr>
          <w:rFonts w:ascii="Calibri" w:hAnsi="Calibri"/>
          <w:i/>
          <w:color w:val="000000"/>
          <w:sz w:val="22"/>
        </w:rPr>
        <w:t>СЯК: помірна достовірність</w:t>
      </w:r>
    </w:p>
    <w:p w:rsidR="00ED665B" w:rsidRPr="00907702" w:rsidRDefault="00ED665B" w:rsidP="00DC2656">
      <w:pPr>
        <w:ind w:left="542"/>
        <w:rPr>
          <w:rFonts w:ascii="Calibri" w:hAnsi="Calibri" w:cs="Calibri"/>
        </w:rPr>
        <w:sectPr w:rsidR="00ED665B" w:rsidRPr="00907702">
          <w:pgSz w:w="11904" w:h="16838"/>
          <w:pgMar w:top="1339" w:right="1411" w:bottom="1723" w:left="1416" w:header="720" w:footer="720" w:gutter="0"/>
          <w:cols w:space="60"/>
          <w:noEndnote/>
        </w:sectPr>
      </w:pPr>
    </w:p>
    <w:p w:rsidR="00ED665B" w:rsidRPr="00907702" w:rsidRDefault="006C7D2F" w:rsidP="0031040C">
      <w:pPr>
        <w:tabs>
          <w:tab w:val="left" w:pos="240"/>
        </w:tabs>
        <w:ind w:left="240" w:right="5" w:hanging="240"/>
        <w:jc w:val="both"/>
        <w:rPr>
          <w:rFonts w:ascii="Calibri" w:hAnsi="Calibri" w:cs="Calibri"/>
        </w:rPr>
      </w:pPr>
      <w:r>
        <w:rPr>
          <w:rFonts w:ascii="Calibri" w:hAnsi="Calibri"/>
          <w:color w:val="009649"/>
          <w:sz w:val="22"/>
        </w:rPr>
        <w:lastRenderedPageBreak/>
        <w:t>•</w:t>
      </w:r>
      <w:r>
        <w:rPr>
          <w:rFonts w:ascii="Calibri" w:hAnsi="Calibri"/>
          <w:color w:val="009649"/>
          <w:sz w:val="22"/>
        </w:rPr>
        <w:tab/>
      </w:r>
      <w:r>
        <w:rPr>
          <w:rFonts w:ascii="Calibri" w:hAnsi="Calibri"/>
          <w:color w:val="000000"/>
          <w:sz w:val="22"/>
        </w:rPr>
        <w:t xml:space="preserve">Автоматизовані ТАНК з низькою складністю в порівнянні з наявними тестами або мікроскопією мокротиння оцінені </w:t>
      </w:r>
      <w:r w:rsidRPr="00B1493F">
        <w:rPr>
          <w:rFonts w:ascii="Calibri" w:hAnsi="Calibri"/>
          <w:b/>
          <w:color w:val="000000"/>
          <w:sz w:val="22"/>
        </w:rPr>
        <w:t>медичними працівниками</w:t>
      </w:r>
      <w:r>
        <w:rPr>
          <w:rFonts w:ascii="Calibri" w:hAnsi="Calibri"/>
          <w:color w:val="000000"/>
          <w:sz w:val="22"/>
        </w:rPr>
        <w:t xml:space="preserve"> завдяки наступним характеристикам:</w:t>
      </w:r>
    </w:p>
    <w:p w:rsidR="00ED665B" w:rsidRPr="00907702" w:rsidRDefault="006C7D2F" w:rsidP="0031040C">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швидкість і точність результатів;</w:t>
      </w:r>
    </w:p>
    <w:p w:rsidR="00ED665B" w:rsidRPr="00907702" w:rsidRDefault="006C7D2F" w:rsidP="0031040C">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впевненість, що результат стимулюватиме розпочати лікування та мотивувати пацієнтів;</w:t>
      </w:r>
    </w:p>
    <w:p w:rsidR="00ED665B" w:rsidRPr="00907702" w:rsidRDefault="006C7D2F" w:rsidP="0031040C">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різноманітність типів зразків;</w:t>
      </w:r>
    </w:p>
    <w:p w:rsidR="0031040C" w:rsidRDefault="006C7D2F" w:rsidP="0031040C">
      <w:pPr>
        <w:ind w:left="567" w:hanging="284"/>
        <w:jc w:val="both"/>
        <w:rPr>
          <w:rFonts w:ascii="Calibri" w:hAnsi="Calibri"/>
          <w:color w:val="000000"/>
          <w:sz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можливість виявити медикаментозну резистентність раніше або взагалі для якомога більшої кількості лікарських засобів (змінюючи сприйняття лікарем ризику щодо медикаментозної резистентності у дітей), а також, як наслідок, уникнути більш дорогих обстежень або перебування в лікарні. </w:t>
      </w:r>
    </w:p>
    <w:p w:rsidR="00ED665B" w:rsidRPr="0031040C" w:rsidRDefault="006C7D2F" w:rsidP="0031040C">
      <w:pPr>
        <w:ind w:left="567"/>
        <w:jc w:val="both"/>
        <w:rPr>
          <w:rFonts w:ascii="Calibri" w:hAnsi="Calibri" w:cs="Calibri"/>
          <w:i/>
        </w:rPr>
      </w:pPr>
      <w:r w:rsidRPr="0031040C">
        <w:rPr>
          <w:rFonts w:ascii="Calibri" w:hAnsi="Calibri"/>
          <w:i/>
          <w:color w:val="000000"/>
          <w:sz w:val="22"/>
        </w:rPr>
        <w:t>СЯК: висока достовірність</w:t>
      </w:r>
    </w:p>
    <w:p w:rsidR="00ED665B" w:rsidRPr="00907702" w:rsidRDefault="006C7D2F" w:rsidP="0031040C">
      <w:pPr>
        <w:ind w:left="567" w:right="5"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У порівнянні з іншими доступними методами діагностики картридж має швидший час обробки для ТМЧ до препаратів першого та другого ряду. Медичні працівники цінують більш швидкий час обробки, потенційну здатність провести додатковий контроль зразків від тесту Xpert MTB/RIF до картриджа Xpert MTB/XDR та отримати інформацію про декілька лікарських засобів та високий або низький рівень резистентності одночасно, оскільки це може передбачати більш швидку діагностику та оптимізоване лікування для пацієнтів. </w:t>
      </w:r>
      <w:r w:rsidRPr="0031040C">
        <w:rPr>
          <w:rFonts w:ascii="Calibri" w:hAnsi="Calibri"/>
          <w:i/>
          <w:color w:val="000000"/>
          <w:sz w:val="22"/>
        </w:rPr>
        <w:t>Опитування</w:t>
      </w:r>
    </w:p>
    <w:p w:rsidR="00ED665B" w:rsidRPr="00907702" w:rsidRDefault="006C7D2F" w:rsidP="0031040C">
      <w:pPr>
        <w:tabs>
          <w:tab w:val="left" w:pos="240"/>
        </w:tabs>
        <w:ind w:left="240"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Лаборанти цінують автоматизовані ТАНК низької складності з таких причин:</w:t>
      </w:r>
    </w:p>
    <w:p w:rsidR="00ED665B" w:rsidRPr="00907702" w:rsidRDefault="006C7D2F" w:rsidP="0031040C">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Загалом, тести покращують лабораторну роботу порівняно з мікроскопією мокротиння завдяки простоті використання, ергономіці та біобезпеці.</w:t>
      </w:r>
    </w:p>
    <w:p w:rsidR="00F67B06" w:rsidRPr="00B1493F" w:rsidRDefault="00F67B06" w:rsidP="0031040C">
      <w:pPr>
        <w:ind w:left="567" w:hanging="284"/>
        <w:jc w:val="both"/>
        <w:rPr>
          <w:rFonts w:ascii="Calibri" w:hAnsi="Calibri" w:cs="Calibri"/>
          <w:i/>
          <w:color w:val="000000"/>
          <w:sz w:val="22"/>
          <w:szCs w:val="22"/>
        </w:rPr>
      </w:pPr>
      <w:r>
        <w:rPr>
          <w:rFonts w:ascii="Calibri" w:hAnsi="Calibri"/>
          <w:color w:val="000000"/>
          <w:sz w:val="22"/>
        </w:rPr>
        <w:tab/>
      </w:r>
      <w:r w:rsidRPr="00B1493F">
        <w:rPr>
          <w:rFonts w:ascii="Calibri" w:hAnsi="Calibri"/>
          <w:i/>
          <w:color w:val="000000"/>
          <w:sz w:val="22"/>
        </w:rPr>
        <w:t xml:space="preserve">СЯК: висока достовірність </w:t>
      </w:r>
    </w:p>
    <w:p w:rsidR="00ED665B" w:rsidRPr="00907702" w:rsidRDefault="006C7D2F" w:rsidP="0031040C">
      <w:pPr>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Ці тести вимагають від користувача мінімальних кроків, а платформа GeneXpert – це вже знайома система, в якій людям буде комфортно працювати та інтерпретувати результати.</w:t>
      </w:r>
    </w:p>
    <w:p w:rsidR="00ED665B" w:rsidRPr="00B1493F" w:rsidRDefault="006C7D2F" w:rsidP="0031040C">
      <w:pPr>
        <w:ind w:left="542"/>
        <w:jc w:val="both"/>
        <w:rPr>
          <w:rFonts w:ascii="Calibri" w:hAnsi="Calibri" w:cs="Calibri"/>
          <w:i/>
        </w:rPr>
      </w:pPr>
      <w:r w:rsidRPr="00B1493F">
        <w:rPr>
          <w:rFonts w:ascii="Calibri" w:hAnsi="Calibri"/>
          <w:i/>
          <w:color w:val="000000"/>
          <w:sz w:val="22"/>
        </w:rPr>
        <w:t>Опитування</w:t>
      </w:r>
    </w:p>
    <w:p w:rsidR="0031040C" w:rsidRDefault="006C7D2F" w:rsidP="0031040C">
      <w:pPr>
        <w:tabs>
          <w:tab w:val="left" w:pos="240"/>
        </w:tabs>
        <w:ind w:left="240" w:right="5" w:hanging="240"/>
        <w:jc w:val="both"/>
        <w:rPr>
          <w:rFonts w:ascii="Calibri" w:hAnsi="Calibri"/>
          <w:color w:val="000000"/>
          <w:sz w:val="22"/>
        </w:rPr>
      </w:pPr>
      <w:r>
        <w:rPr>
          <w:rFonts w:ascii="Calibri" w:hAnsi="Calibri"/>
          <w:color w:val="009649"/>
          <w:sz w:val="22"/>
        </w:rPr>
        <w:t>•</w:t>
      </w:r>
      <w:r>
        <w:rPr>
          <w:rFonts w:ascii="Calibri" w:hAnsi="Calibri"/>
          <w:color w:val="009649"/>
          <w:sz w:val="22"/>
        </w:rPr>
        <w:tab/>
      </w:r>
      <w:r>
        <w:rPr>
          <w:rFonts w:ascii="Calibri" w:hAnsi="Calibri"/>
          <w:color w:val="000000"/>
          <w:sz w:val="22"/>
        </w:rPr>
        <w:t xml:space="preserve">Керівники лабораторій цінують той факт, що моніторинг лабораторної роботи та навчання стають простіше, ніж для виконання мікроскопії мокротиння, а також те, що використання автоматизованих ТАНК низької складності полегшує утримання персоналу, оскільки підвищує рівень задоволеності персоналу та є символом прогресу у світі туберкульозу. </w:t>
      </w:r>
    </w:p>
    <w:p w:rsidR="00ED665B" w:rsidRPr="0031040C" w:rsidRDefault="006C7D2F" w:rsidP="0031040C">
      <w:pPr>
        <w:tabs>
          <w:tab w:val="left" w:pos="240"/>
        </w:tabs>
        <w:ind w:left="240" w:right="5" w:firstLine="44"/>
        <w:jc w:val="both"/>
        <w:rPr>
          <w:rFonts w:ascii="Calibri" w:hAnsi="Calibri" w:cs="Calibri"/>
          <w:i/>
        </w:rPr>
      </w:pPr>
      <w:r w:rsidRPr="0031040C">
        <w:rPr>
          <w:rFonts w:ascii="Calibri" w:hAnsi="Calibri"/>
          <w:i/>
          <w:color w:val="000000"/>
          <w:sz w:val="22"/>
        </w:rPr>
        <w:t>СЯК: низька достовірність</w:t>
      </w:r>
    </w:p>
    <w:p w:rsidR="00ED665B" w:rsidRPr="00F67B06" w:rsidRDefault="006C7D2F" w:rsidP="00DC2656">
      <w:pPr>
        <w:spacing w:before="216"/>
        <w:rPr>
          <w:rFonts w:ascii="Calibri" w:hAnsi="Calibri" w:cs="Calibri"/>
          <w:b/>
          <w:bCs/>
        </w:rPr>
      </w:pPr>
      <w:r>
        <w:rPr>
          <w:rFonts w:ascii="Calibri" w:hAnsi="Calibri"/>
          <w:b/>
          <w:color w:val="000000"/>
          <w:sz w:val="22"/>
        </w:rPr>
        <w:t>Яким би був вплив на рівність у питанні надання послуг у сфері охорони здоров’я?</w:t>
      </w:r>
    </w:p>
    <w:p w:rsidR="00ED665B" w:rsidRPr="00907702" w:rsidRDefault="006C7D2F" w:rsidP="00DC2656">
      <w:pPr>
        <w:spacing w:before="178"/>
        <w:rPr>
          <w:rFonts w:ascii="Calibri" w:hAnsi="Calibri" w:cs="Calibri"/>
        </w:rPr>
      </w:pPr>
      <w:r>
        <w:rPr>
          <w:rFonts w:ascii="Calibri" w:hAnsi="Calibri"/>
          <w:color w:val="000000"/>
          <w:sz w:val="22"/>
        </w:rPr>
        <w:t>Вплив на рівність у питанні надання послуг у сфері охорони здоров’я буде подібним до впливу автоматизованих ТАНК помірної складності (стор. 73–77).</w:t>
      </w:r>
    </w:p>
    <w:p w:rsidR="00ED665B" w:rsidRPr="00F67B06" w:rsidRDefault="006C7D2F" w:rsidP="00DC2656">
      <w:pPr>
        <w:spacing w:before="216"/>
        <w:rPr>
          <w:rFonts w:ascii="Calibri" w:hAnsi="Calibri" w:cs="Calibri"/>
          <w:b/>
          <w:bCs/>
        </w:rPr>
      </w:pPr>
      <w:r>
        <w:rPr>
          <w:rFonts w:ascii="Calibri" w:hAnsi="Calibri"/>
          <w:b/>
          <w:color w:val="000000"/>
          <w:sz w:val="22"/>
        </w:rPr>
        <w:t>Чи є втручання прийнятним для ключових зацікавлених сторін?</w:t>
      </w:r>
    </w:p>
    <w:p w:rsidR="00ED665B" w:rsidRPr="00907702" w:rsidRDefault="006C7D2F" w:rsidP="00DC2656">
      <w:pPr>
        <w:spacing w:before="178"/>
        <w:rPr>
          <w:rFonts w:ascii="Calibri" w:hAnsi="Calibri" w:cs="Calibri"/>
        </w:rPr>
      </w:pPr>
      <w:r>
        <w:rPr>
          <w:rFonts w:ascii="Calibri" w:hAnsi="Calibri"/>
          <w:color w:val="000000"/>
          <w:sz w:val="22"/>
        </w:rPr>
        <w:t>Прийнятність для ключових зацікавлених сторін така ж, як прийнятність автоматизованих ТАНК помірної складності (стор. 73–77).</w:t>
      </w:r>
    </w:p>
    <w:p w:rsidR="00ED665B" w:rsidRPr="00907702" w:rsidRDefault="006C7D2F" w:rsidP="00DC2656">
      <w:pPr>
        <w:tabs>
          <w:tab w:val="left" w:pos="240"/>
        </w:tabs>
        <w:spacing w:before="168"/>
        <w:ind w:left="240" w:right="5"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Визначені проблеми у впровадженні використання автоматизованих ТАНК низької складності та накопичені затримки на кожному кроці можуть поставити під загрозу додаткові цінності та переваги, визначені користувачами (наприклад, уникнення затримок, зниження витрат, точні результати, інформація про медикаментозну резистентність та полегшення лабораторної роботи), що в кінцевому підсумку призводить до використання.</w:t>
      </w:r>
    </w:p>
    <w:p w:rsidR="00ED665B" w:rsidRPr="0031040C" w:rsidRDefault="006C7D2F" w:rsidP="00DC2656">
      <w:pPr>
        <w:ind w:left="240"/>
        <w:rPr>
          <w:rFonts w:ascii="Calibri" w:hAnsi="Calibri" w:cs="Calibri"/>
          <w:i/>
        </w:rPr>
      </w:pPr>
      <w:r w:rsidRPr="0031040C">
        <w:rPr>
          <w:rFonts w:ascii="Calibri" w:hAnsi="Calibri"/>
          <w:i/>
          <w:color w:val="000000"/>
          <w:sz w:val="22"/>
        </w:rPr>
        <w:t>СЯК: висока достовірність</w:t>
      </w:r>
    </w:p>
    <w:p w:rsidR="00ED665B" w:rsidRPr="00907702" w:rsidRDefault="006C7D2F" w:rsidP="0031040C">
      <w:pPr>
        <w:ind w:left="240"/>
        <w:jc w:val="both"/>
        <w:rPr>
          <w:rFonts w:ascii="Calibri" w:hAnsi="Calibri" w:cs="Calibri"/>
        </w:rPr>
      </w:pPr>
      <w:r>
        <w:rPr>
          <w:rFonts w:ascii="Calibri" w:hAnsi="Calibri"/>
          <w:color w:val="000000"/>
          <w:sz w:val="22"/>
        </w:rPr>
        <w:t>Якщо ці цінності не виконуються, можна припустити, що користувачі з меншою ймовірністю вважатимуть автоматизовані</w:t>
      </w:r>
      <w:r w:rsidR="0031040C" w:rsidRPr="0031040C">
        <w:rPr>
          <w:rFonts w:ascii="Calibri" w:hAnsi="Calibri"/>
          <w:color w:val="000000"/>
          <w:sz w:val="22"/>
        </w:rPr>
        <w:t xml:space="preserve"> </w:t>
      </w:r>
      <w:r>
        <w:rPr>
          <w:rFonts w:ascii="Calibri" w:hAnsi="Calibri"/>
          <w:color w:val="000000"/>
          <w:sz w:val="22"/>
        </w:rPr>
        <w:t>ТАНК низької складності прийнятними.</w:t>
      </w:r>
    </w:p>
    <w:p w:rsidR="00ED665B" w:rsidRPr="00907702" w:rsidRDefault="00ED665B" w:rsidP="00DC2656">
      <w:pPr>
        <w:ind w:left="240"/>
        <w:rPr>
          <w:rFonts w:ascii="Calibri" w:hAnsi="Calibri" w:cs="Calibri"/>
        </w:rPr>
        <w:sectPr w:rsidR="00ED665B" w:rsidRPr="00907702">
          <w:pgSz w:w="11904" w:h="16838"/>
          <w:pgMar w:top="1339" w:right="1411" w:bottom="1843" w:left="1416" w:header="720" w:footer="720" w:gutter="0"/>
          <w:cols w:space="60"/>
          <w:noEndnote/>
        </w:sectPr>
      </w:pPr>
    </w:p>
    <w:p w:rsidR="00ED665B" w:rsidRPr="00F67B06" w:rsidRDefault="006C7D2F" w:rsidP="00DC2656">
      <w:pPr>
        <w:rPr>
          <w:rFonts w:ascii="Calibri" w:hAnsi="Calibri" w:cs="Calibri"/>
          <w:b/>
          <w:bCs/>
        </w:rPr>
      </w:pPr>
      <w:r>
        <w:rPr>
          <w:rFonts w:ascii="Calibri" w:hAnsi="Calibri"/>
          <w:b/>
          <w:color w:val="000000"/>
          <w:sz w:val="22"/>
        </w:rPr>
        <w:lastRenderedPageBreak/>
        <w:t>Чи можливо реалізувати втручання?</w:t>
      </w:r>
    </w:p>
    <w:p w:rsidR="00B1493F" w:rsidRPr="00B1493F" w:rsidRDefault="006C7D2F" w:rsidP="00B1493F">
      <w:pPr>
        <w:numPr>
          <w:ilvl w:val="0"/>
          <w:numId w:val="2"/>
        </w:numPr>
        <w:tabs>
          <w:tab w:val="left" w:pos="240"/>
        </w:tabs>
        <w:spacing w:before="182"/>
        <w:ind w:left="240" w:hanging="240"/>
        <w:jc w:val="both"/>
        <w:rPr>
          <w:rFonts w:ascii="Calibri" w:hAnsi="Calibri" w:cs="Calibri"/>
          <w:color w:val="009649"/>
          <w:sz w:val="22"/>
          <w:szCs w:val="22"/>
        </w:rPr>
      </w:pPr>
      <w:r>
        <w:rPr>
          <w:rFonts w:ascii="Calibri" w:hAnsi="Calibri"/>
          <w:color w:val="000000"/>
          <w:sz w:val="22"/>
        </w:rPr>
        <w:t xml:space="preserve">Автоматизовані ТАНК низької складності можуть зменшити навантаження в лабораторії з точки зору звільнення часу роботи персоналу лабораторії. Проте, на основі досвіду роботи з тестами Xpert MTB/RIF (Ultra), впровадження нового класу технологій може збільшити навантаження на персонал лабораторії, якщо він додасться до існуючої роботи без коригування штатних розкладів або якщо нова технологія не замінить наявні діагностичні тести. </w:t>
      </w:r>
    </w:p>
    <w:p w:rsidR="00ED665B" w:rsidRPr="00B1493F" w:rsidRDefault="006C7D2F" w:rsidP="00B1493F">
      <w:pPr>
        <w:tabs>
          <w:tab w:val="left" w:pos="240"/>
        </w:tabs>
        <w:ind w:left="240"/>
        <w:jc w:val="both"/>
        <w:rPr>
          <w:rFonts w:ascii="Calibri" w:hAnsi="Calibri" w:cs="Calibri"/>
          <w:i/>
          <w:color w:val="009649"/>
          <w:sz w:val="22"/>
          <w:szCs w:val="22"/>
        </w:rPr>
      </w:pPr>
      <w:r w:rsidRPr="00B1493F">
        <w:rPr>
          <w:rFonts w:ascii="Calibri" w:hAnsi="Calibri"/>
          <w:i/>
          <w:color w:val="000000"/>
          <w:sz w:val="22"/>
        </w:rPr>
        <w:t>СЯК: помірна достовірність</w:t>
      </w:r>
    </w:p>
    <w:p w:rsidR="00ED665B" w:rsidRPr="00907702" w:rsidRDefault="006C7D2F" w:rsidP="00B1493F">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Автоматизовані ТАНК низької складності вимагають меншої підготовки користувачів, ніж інші методи ТМЧ (наприклад, LPA та посів), що робить ці тести більш простими для реалізації, ніж методи з більшою кількістю кроків, що вимагаються від користувача, і ті, що вимагають значної додаткової підготовки.</w:t>
      </w:r>
    </w:p>
    <w:p w:rsidR="00ED665B" w:rsidRPr="00B1493F" w:rsidRDefault="006C7D2F" w:rsidP="00B1493F">
      <w:pPr>
        <w:ind w:left="240"/>
        <w:jc w:val="both"/>
        <w:rPr>
          <w:rFonts w:ascii="Calibri" w:hAnsi="Calibri" w:cs="Calibri"/>
          <w:i/>
        </w:rPr>
      </w:pPr>
      <w:r w:rsidRPr="00B1493F">
        <w:rPr>
          <w:rFonts w:ascii="Calibri" w:hAnsi="Calibri"/>
          <w:i/>
          <w:color w:val="000000"/>
          <w:sz w:val="22"/>
        </w:rPr>
        <w:t>Дослідження в ході опитувань</w:t>
      </w:r>
    </w:p>
    <w:p w:rsidR="00B1493F" w:rsidRDefault="006C7D2F" w:rsidP="00B1493F">
      <w:pPr>
        <w:ind w:left="240"/>
        <w:jc w:val="both"/>
        <w:rPr>
          <w:rFonts w:ascii="Calibri" w:hAnsi="Calibri"/>
          <w:color w:val="000000"/>
          <w:sz w:val="22"/>
        </w:rPr>
      </w:pPr>
      <w:r>
        <w:rPr>
          <w:rFonts w:ascii="Calibri" w:hAnsi="Calibri"/>
          <w:color w:val="000000"/>
          <w:sz w:val="22"/>
        </w:rPr>
        <w:t xml:space="preserve">Впровадження нової діагностики повинно супроводжуватися навчанням лікарів, що допоможе їм інтерпретувати результати нових молекулярних тестів та зрозуміти, як цю інформацію можна використовувати для лікування пацієнтів. У минулому, з впровадженням тестів Xpert MTB/RIF (Ultra), це було важко і призводило до низького рівня використання тестів. </w:t>
      </w:r>
    </w:p>
    <w:p w:rsidR="00ED665B" w:rsidRPr="00B1493F" w:rsidRDefault="006C7D2F" w:rsidP="00B1493F">
      <w:pPr>
        <w:ind w:left="240"/>
        <w:jc w:val="both"/>
        <w:rPr>
          <w:rFonts w:ascii="Calibri" w:hAnsi="Calibri" w:cs="Calibri"/>
          <w:i/>
        </w:rPr>
      </w:pPr>
      <w:r w:rsidRPr="00B1493F">
        <w:rPr>
          <w:rFonts w:ascii="Calibri" w:hAnsi="Calibri"/>
          <w:i/>
          <w:color w:val="000000"/>
          <w:sz w:val="22"/>
        </w:rPr>
        <w:t>СЯК: висока достовірність та опитування</w:t>
      </w:r>
    </w:p>
    <w:p w:rsidR="00B1493F" w:rsidRDefault="006C7D2F" w:rsidP="00B1493F">
      <w:pPr>
        <w:ind w:left="240"/>
        <w:jc w:val="both"/>
        <w:rPr>
          <w:rFonts w:ascii="Calibri" w:hAnsi="Calibri"/>
          <w:color w:val="000000"/>
          <w:sz w:val="22"/>
        </w:rPr>
      </w:pPr>
      <w:r>
        <w:rPr>
          <w:rFonts w:ascii="Calibri" w:hAnsi="Calibri"/>
          <w:color w:val="000000"/>
          <w:sz w:val="22"/>
        </w:rPr>
        <w:t xml:space="preserve">Впровадження тестів Xpert MTB/RIF (Ultra) також призвело до надмірної залежності від результатів ТАНК на основі картриджів за рахунок клінічної проникливості. </w:t>
      </w:r>
    </w:p>
    <w:p w:rsidR="00ED665B" w:rsidRPr="00B1493F" w:rsidRDefault="006C7D2F" w:rsidP="00B1493F">
      <w:pPr>
        <w:ind w:left="240"/>
        <w:jc w:val="both"/>
        <w:rPr>
          <w:rFonts w:ascii="Calibri" w:hAnsi="Calibri" w:cs="Calibri"/>
          <w:i/>
        </w:rPr>
      </w:pPr>
      <w:r w:rsidRPr="00B1493F">
        <w:rPr>
          <w:rFonts w:ascii="Calibri" w:hAnsi="Calibri"/>
          <w:i/>
          <w:color w:val="000000"/>
          <w:sz w:val="22"/>
        </w:rPr>
        <w:t>СЯК: помірна достовірність</w:t>
      </w:r>
    </w:p>
    <w:p w:rsidR="00B1493F" w:rsidRPr="00B1493F" w:rsidRDefault="006C7D2F" w:rsidP="00B1493F">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 xml:space="preserve">Впровадження нової діагностики має також супроводжуватися дотриманням настанов та алгоритмів, які допомагають у комунікації лікарів та лабораторій між собою, наприклад, ці ресурси дають можливість лікарям та працівникам лабораторій обговорювати суперечливі результати та інтерпретувати лабораторні результати в контексті наявності лікарських засобів, історії пацієнта та прогресу пацієнта щодо поточного режиму лікування. </w:t>
      </w:r>
    </w:p>
    <w:p w:rsidR="00ED665B" w:rsidRPr="00B1493F" w:rsidRDefault="006C7D2F" w:rsidP="00B1493F">
      <w:pPr>
        <w:tabs>
          <w:tab w:val="left" w:pos="240"/>
        </w:tabs>
        <w:ind w:left="240" w:right="5"/>
        <w:jc w:val="both"/>
        <w:rPr>
          <w:rFonts w:ascii="Calibri" w:hAnsi="Calibri" w:cs="Calibri"/>
          <w:i/>
          <w:color w:val="009649"/>
          <w:sz w:val="22"/>
          <w:szCs w:val="22"/>
        </w:rPr>
      </w:pPr>
      <w:r w:rsidRPr="00B1493F">
        <w:rPr>
          <w:rFonts w:ascii="Calibri" w:hAnsi="Calibri"/>
          <w:i/>
          <w:color w:val="000000"/>
          <w:sz w:val="22"/>
        </w:rPr>
        <w:t>Опитування</w:t>
      </w:r>
    </w:p>
    <w:p w:rsidR="00ED665B" w:rsidRPr="00907702" w:rsidRDefault="006C7D2F" w:rsidP="00B1493F">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 xml:space="preserve">Ефективна система для транспортування зразків з механізмами сталого фінансування має вирішальне значення для здійснення, особливо якщо алгоритм вимагає кількох зразків у різний час з різних пунктів збору, як це має місце при лікуванні ЛС-ТБ. Якщо зробити щось неправильно під час підготовки, є ризик того, що зразок може бути забруднений і дати непереконливі результати молекулярної діагностики. Серед важливих навичок для зменшення забруднення зразків у своїй лабораторії учасники назвали хороші навички персоналу, стандартні операційні процедури та серйозну лабораторну інфраструктуру. </w:t>
      </w:r>
      <w:r w:rsidRPr="00B1493F">
        <w:rPr>
          <w:rFonts w:ascii="Calibri" w:hAnsi="Calibri"/>
          <w:i/>
          <w:color w:val="000000"/>
          <w:sz w:val="22"/>
        </w:rPr>
        <w:t>Опитування</w:t>
      </w:r>
    </w:p>
    <w:p w:rsidR="00ED665B" w:rsidRPr="00907702" w:rsidRDefault="006C7D2F" w:rsidP="00B1493F">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Доцільність автоматизованих ТАНК низької складності ставиться під сумнів у разі накопичення діагностичних затримок або їхнього недостатнього використання (або обох випадків) на кожному етапі процесу, головним чином через такі фактори системи охорони здоров’я, як:</w:t>
      </w:r>
    </w:p>
    <w:p w:rsidR="00ED665B" w:rsidRPr="00907702" w:rsidRDefault="006C7D2F" w:rsidP="00B1493F">
      <w:pPr>
        <w:ind w:left="542" w:hanging="259"/>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недотримання тестувальних алгоритмів, тестування на туберкульоз або МЛС-ТБ у кінці процесу, емпіричне лікування, хибнонегативні результати через збій технологій, великий обсяг вибірки та нестача персоналу, поганий рівень або затримки при транспортуванні зразків та погана якість зразків, погане або із затримками повідомлення результатів, затримки у плануванні контрольних відвідувань та виклику пацієнтів, а також непослідовний запис результатів;</w:t>
      </w:r>
    </w:p>
    <w:p w:rsidR="00ED665B" w:rsidRPr="00907702" w:rsidRDefault="006C7D2F" w:rsidP="00B1493F">
      <w:pPr>
        <w:ind w:left="542" w:hanging="259"/>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відсутність достатніх ресурсів та обслуговування (тобто відсутність запасів; ненадійна логістика; відсутність фінансування, електроенергії, місця, кондиціонерів та контейнерів для мокротиння; запилення навколишнього середовища; і затримка або відсутність можливості місцевого ремонту);</w:t>
      </w:r>
    </w:p>
    <w:p w:rsidR="00ED665B" w:rsidRPr="00907702" w:rsidRDefault="00ED665B" w:rsidP="00DC2656">
      <w:pPr>
        <w:ind w:left="542" w:hanging="259"/>
        <w:jc w:val="both"/>
        <w:rPr>
          <w:rFonts w:ascii="Calibri" w:hAnsi="Calibri" w:cs="Calibri"/>
        </w:rPr>
        <w:sectPr w:rsidR="00ED665B" w:rsidRPr="00907702">
          <w:pgSz w:w="11904" w:h="16838"/>
          <w:pgMar w:top="1387" w:right="1416" w:bottom="1570" w:left="1416" w:header="720" w:footer="720" w:gutter="0"/>
          <w:cols w:space="60"/>
          <w:noEndnote/>
        </w:sectPr>
      </w:pPr>
    </w:p>
    <w:p w:rsidR="00ED665B" w:rsidRPr="00907702" w:rsidRDefault="006C7D2F" w:rsidP="00B1493F">
      <w:pPr>
        <w:spacing w:line="216" w:lineRule="auto"/>
        <w:ind w:left="542" w:hanging="259"/>
        <w:jc w:val="both"/>
        <w:rPr>
          <w:rFonts w:ascii="Calibri" w:hAnsi="Calibri" w:cs="Calibri"/>
        </w:rPr>
      </w:pPr>
      <w:r>
        <w:rPr>
          <w:rFonts w:ascii="Calibri" w:hAnsi="Calibri"/>
          <w:color w:val="009649"/>
          <w:sz w:val="22"/>
        </w:rPr>
        <w:lastRenderedPageBreak/>
        <w:t xml:space="preserve">– </w:t>
      </w:r>
      <w:r>
        <w:rPr>
          <w:rFonts w:ascii="Calibri" w:hAnsi="Calibri"/>
          <w:color w:val="009649"/>
          <w:sz w:val="22"/>
        </w:rPr>
        <w:tab/>
      </w:r>
      <w:r>
        <w:rPr>
          <w:rFonts w:ascii="Calibri" w:hAnsi="Calibri"/>
          <w:color w:val="000000"/>
          <w:sz w:val="22"/>
        </w:rPr>
        <w:t>неефективні або нечіткі робочі процеси та потоки пацієнтів (наприклад, неефективні організаційні процеси, погані зв’язки між провайдерами та незрозумілі механізми подальших дій щодо того, куди пацієнтам потрібно звертатися); та</w:t>
      </w:r>
    </w:p>
    <w:p w:rsidR="00B1493F" w:rsidRDefault="006C7D2F" w:rsidP="00B1493F">
      <w:pPr>
        <w:spacing w:line="216" w:lineRule="auto"/>
        <w:ind w:left="542" w:hanging="259"/>
        <w:jc w:val="both"/>
        <w:rPr>
          <w:rFonts w:ascii="Calibri" w:hAnsi="Calibri"/>
          <w:color w:val="000000"/>
          <w:sz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відсутність національних процесів впровадження на основі даних та інклюзивних національних процесів. </w:t>
      </w:r>
    </w:p>
    <w:p w:rsidR="00ED665B" w:rsidRPr="00B1493F" w:rsidRDefault="006C7D2F" w:rsidP="00B1493F">
      <w:pPr>
        <w:spacing w:line="216" w:lineRule="auto"/>
        <w:ind w:left="542" w:right="1766" w:firstLine="25"/>
        <w:rPr>
          <w:rFonts w:ascii="Calibri" w:hAnsi="Calibri" w:cs="Calibri"/>
          <w:i/>
        </w:rPr>
      </w:pPr>
      <w:r w:rsidRPr="00B1493F">
        <w:rPr>
          <w:rFonts w:ascii="Calibri" w:hAnsi="Calibri"/>
          <w:i/>
          <w:color w:val="000000"/>
          <w:sz w:val="22"/>
        </w:rPr>
        <w:t>СЯК: висока достовірність</w:t>
      </w:r>
    </w:p>
    <w:p w:rsidR="00ED665B" w:rsidRPr="00907702" w:rsidRDefault="006C7D2F" w:rsidP="00B1493F">
      <w:pPr>
        <w:tabs>
          <w:tab w:val="left" w:pos="240"/>
        </w:tabs>
        <w:spacing w:line="216" w:lineRule="auto"/>
        <w:ind w:left="240"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Доцільність використання автоматизованих ТАНК низької складності також ставиться під сумнів цінністю діагностування МТБ замість МР-ТБ при наданні первинної медико-санітарної допомоги. Ця ситуація робить ТАНК менш здійсненним як базовий тест, хоча його впровадження мало б позитивні наслідки для району або лабораторії середнього рівня.</w:t>
      </w:r>
    </w:p>
    <w:p w:rsidR="00ED665B" w:rsidRPr="00F67B06" w:rsidRDefault="006C7D2F" w:rsidP="00B1493F">
      <w:pPr>
        <w:spacing w:before="230" w:line="216" w:lineRule="auto"/>
        <w:rPr>
          <w:rFonts w:ascii="Calibri" w:hAnsi="Calibri" w:cs="Calibri"/>
          <w:b/>
          <w:bCs/>
        </w:rPr>
      </w:pPr>
      <w:r>
        <w:rPr>
          <w:rFonts w:ascii="Calibri" w:hAnsi="Calibri"/>
          <w:b/>
          <w:color w:val="009649"/>
          <w:sz w:val="28"/>
        </w:rPr>
        <w:t>Рекомендації щодо впровадження</w:t>
      </w:r>
    </w:p>
    <w:p w:rsidR="00ED665B" w:rsidRPr="00907702" w:rsidRDefault="006C7D2F" w:rsidP="00B1493F">
      <w:pPr>
        <w:spacing w:before="163" w:line="216" w:lineRule="auto"/>
        <w:jc w:val="both"/>
        <w:rPr>
          <w:rFonts w:ascii="Calibri" w:hAnsi="Calibri" w:cs="Calibri"/>
        </w:rPr>
      </w:pPr>
      <w:r>
        <w:rPr>
          <w:rFonts w:ascii="Calibri" w:hAnsi="Calibri"/>
          <w:color w:val="000000"/>
          <w:sz w:val="22"/>
        </w:rPr>
        <w:t>Фактори, які слід враховувати при впровадженні автоматизованих ТАНК низької складності для виявлення резистентності до ізоніазидів та протитуберкульозних препаратів другого ряду, є такими:</w:t>
      </w:r>
    </w:p>
    <w:p w:rsidR="00ED665B" w:rsidRPr="00907702" w:rsidRDefault="006C7D2F" w:rsidP="00B1493F">
      <w:pPr>
        <w:numPr>
          <w:ilvl w:val="0"/>
          <w:numId w:val="2"/>
        </w:numPr>
        <w:tabs>
          <w:tab w:val="left" w:pos="240"/>
        </w:tabs>
        <w:spacing w:before="77" w:line="216" w:lineRule="auto"/>
        <w:ind w:left="240" w:hanging="240"/>
        <w:jc w:val="both"/>
        <w:rPr>
          <w:rFonts w:ascii="Calibri" w:hAnsi="Calibri" w:cs="Calibri"/>
          <w:color w:val="009649"/>
          <w:sz w:val="22"/>
          <w:szCs w:val="22"/>
        </w:rPr>
      </w:pPr>
      <w:r>
        <w:rPr>
          <w:rFonts w:ascii="Calibri" w:hAnsi="Calibri"/>
          <w:color w:val="000000"/>
          <w:sz w:val="22"/>
        </w:rPr>
        <w:t>місцеві епідеміологічні дані щодо поширеності резистентності повинні засновуватись на алгоритмах місцевого тестування, в той час як ймовірність попереднього тестування важлива для клінічної інтерпретації результатів випробувань;</w:t>
      </w:r>
    </w:p>
    <w:p w:rsidR="00ED665B" w:rsidRPr="00907702" w:rsidRDefault="006C7D2F" w:rsidP="00B1493F">
      <w:pPr>
        <w:numPr>
          <w:ilvl w:val="0"/>
          <w:numId w:val="2"/>
        </w:numPr>
        <w:tabs>
          <w:tab w:val="left" w:pos="240"/>
        </w:tabs>
        <w:spacing w:line="216" w:lineRule="auto"/>
        <w:ind w:left="240" w:hanging="240"/>
        <w:jc w:val="both"/>
        <w:rPr>
          <w:rFonts w:ascii="Calibri" w:hAnsi="Calibri" w:cs="Calibri"/>
          <w:color w:val="009649"/>
          <w:sz w:val="22"/>
          <w:szCs w:val="22"/>
        </w:rPr>
      </w:pPr>
      <w:r>
        <w:rPr>
          <w:rFonts w:ascii="Calibri" w:hAnsi="Calibri"/>
          <w:color w:val="000000"/>
          <w:sz w:val="22"/>
        </w:rPr>
        <w:t>вартість тестування змінюється залежно від таких параметрів, як кількість зразків у партії та необхідний час для персоналу; тому слід дотримуватись місцевих витрат;</w:t>
      </w:r>
    </w:p>
    <w:p w:rsidR="00ED665B" w:rsidRPr="00907702" w:rsidRDefault="006C7D2F" w:rsidP="00B1493F">
      <w:pPr>
        <w:numPr>
          <w:ilvl w:val="0"/>
          <w:numId w:val="2"/>
        </w:numPr>
        <w:tabs>
          <w:tab w:val="left" w:pos="240"/>
        </w:tabs>
        <w:spacing w:line="216" w:lineRule="auto"/>
        <w:ind w:left="240" w:hanging="240"/>
        <w:jc w:val="both"/>
        <w:rPr>
          <w:rFonts w:ascii="Calibri" w:hAnsi="Calibri" w:cs="Calibri"/>
          <w:color w:val="009649"/>
          <w:sz w:val="22"/>
          <w:szCs w:val="22"/>
        </w:rPr>
      </w:pPr>
      <w:r>
        <w:rPr>
          <w:rFonts w:ascii="Calibri" w:hAnsi="Calibri"/>
          <w:color w:val="000000"/>
          <w:sz w:val="22"/>
        </w:rPr>
        <w:t>тести низької, помірної та високої складності демонструють послідовне збільшення потреб щодо технічної компетентності (кваліфікації та навичок) та часу персоналу, що впливає на планування та складання бюджету;</w:t>
      </w:r>
    </w:p>
    <w:p w:rsidR="00ED665B" w:rsidRPr="00907702" w:rsidRDefault="006C7D2F" w:rsidP="00B1493F">
      <w:pPr>
        <w:numPr>
          <w:ilvl w:val="0"/>
          <w:numId w:val="2"/>
        </w:numPr>
        <w:tabs>
          <w:tab w:val="left" w:pos="240"/>
        </w:tabs>
        <w:spacing w:line="216" w:lineRule="auto"/>
        <w:ind w:left="240" w:hanging="240"/>
        <w:jc w:val="both"/>
        <w:rPr>
          <w:rFonts w:ascii="Calibri" w:hAnsi="Calibri" w:cs="Calibri"/>
          <w:color w:val="009649"/>
          <w:sz w:val="22"/>
          <w:szCs w:val="22"/>
        </w:rPr>
      </w:pPr>
      <w:r>
        <w:rPr>
          <w:rFonts w:ascii="Calibri" w:hAnsi="Calibri"/>
          <w:color w:val="000000"/>
          <w:sz w:val="22"/>
        </w:rPr>
        <w:t>при виборі медичного закладу слід враховувати наявність, а також своєчасність послуг місцевих служб підтримки та технічного обслуговування;</w:t>
      </w:r>
    </w:p>
    <w:p w:rsidR="00ED665B" w:rsidRPr="00907702" w:rsidRDefault="006C7D2F" w:rsidP="00B1493F">
      <w:pPr>
        <w:numPr>
          <w:ilvl w:val="0"/>
          <w:numId w:val="2"/>
        </w:numPr>
        <w:tabs>
          <w:tab w:val="left" w:pos="240"/>
        </w:tabs>
        <w:spacing w:line="216" w:lineRule="auto"/>
        <w:ind w:left="240" w:right="5" w:hanging="240"/>
        <w:jc w:val="both"/>
        <w:rPr>
          <w:rFonts w:ascii="Calibri" w:hAnsi="Calibri" w:cs="Calibri"/>
          <w:color w:val="009649"/>
          <w:sz w:val="22"/>
          <w:szCs w:val="22"/>
        </w:rPr>
      </w:pPr>
      <w:r>
        <w:rPr>
          <w:rFonts w:ascii="Calibri" w:hAnsi="Calibri"/>
          <w:color w:val="000000"/>
          <w:sz w:val="22"/>
        </w:rPr>
        <w:t>акредитація лабораторії та відповідність надійній системі управління якістю (зокрема відповідний контроль якості) мають важливе значення для постійної досконалості та довіри до послуг;</w:t>
      </w:r>
    </w:p>
    <w:p w:rsidR="00ED665B" w:rsidRPr="00907702" w:rsidRDefault="006C7D2F" w:rsidP="00B1493F">
      <w:pPr>
        <w:numPr>
          <w:ilvl w:val="0"/>
          <w:numId w:val="2"/>
        </w:numPr>
        <w:tabs>
          <w:tab w:val="left" w:pos="240"/>
        </w:tabs>
        <w:spacing w:line="216" w:lineRule="auto"/>
        <w:ind w:left="240" w:right="5" w:hanging="240"/>
        <w:jc w:val="both"/>
        <w:rPr>
          <w:rFonts w:ascii="Calibri" w:hAnsi="Calibri" w:cs="Calibri"/>
          <w:color w:val="009649"/>
          <w:sz w:val="22"/>
          <w:szCs w:val="22"/>
        </w:rPr>
      </w:pPr>
      <w:r>
        <w:rPr>
          <w:rFonts w:ascii="Calibri" w:hAnsi="Calibri"/>
          <w:color w:val="000000"/>
          <w:sz w:val="22"/>
        </w:rPr>
        <w:t>необхідність навчання як лабораторного, так і клінічного персоналу для забезпечення ефективного надання послуг та клінічного впливу;</w:t>
      </w:r>
    </w:p>
    <w:p w:rsidR="00ED665B" w:rsidRPr="00907702" w:rsidRDefault="006C7D2F" w:rsidP="00B1493F">
      <w:pPr>
        <w:numPr>
          <w:ilvl w:val="0"/>
          <w:numId w:val="2"/>
        </w:numPr>
        <w:tabs>
          <w:tab w:val="left" w:pos="240"/>
        </w:tabs>
        <w:spacing w:line="216" w:lineRule="auto"/>
        <w:ind w:left="240" w:right="10" w:hanging="240"/>
        <w:jc w:val="both"/>
        <w:rPr>
          <w:rFonts w:ascii="Calibri" w:hAnsi="Calibri" w:cs="Calibri"/>
          <w:color w:val="009649"/>
          <w:sz w:val="22"/>
          <w:szCs w:val="22"/>
        </w:rPr>
      </w:pPr>
      <w:r>
        <w:rPr>
          <w:rFonts w:ascii="Calibri" w:hAnsi="Calibri"/>
          <w:color w:val="000000"/>
          <w:sz w:val="22"/>
        </w:rPr>
        <w:t>заохочується використання рішень для зв’язку для передачі результатів, для підвищення ефективності надання послуг та скорочення часу до початку лікування;</w:t>
      </w:r>
    </w:p>
    <w:p w:rsidR="00ED665B" w:rsidRPr="00907702" w:rsidRDefault="006C7D2F" w:rsidP="00B1493F">
      <w:pPr>
        <w:numPr>
          <w:ilvl w:val="0"/>
          <w:numId w:val="2"/>
        </w:numPr>
        <w:tabs>
          <w:tab w:val="left" w:pos="240"/>
        </w:tabs>
        <w:spacing w:line="216" w:lineRule="auto"/>
        <w:ind w:left="240" w:hanging="240"/>
        <w:jc w:val="both"/>
        <w:rPr>
          <w:rFonts w:ascii="Calibri" w:hAnsi="Calibri" w:cs="Calibri"/>
          <w:color w:val="009649"/>
          <w:sz w:val="22"/>
          <w:szCs w:val="22"/>
        </w:rPr>
      </w:pPr>
      <w:r>
        <w:rPr>
          <w:rFonts w:ascii="Calibri" w:hAnsi="Calibri"/>
          <w:color w:val="000000"/>
          <w:sz w:val="22"/>
        </w:rPr>
        <w:t>швидке та раннє тестування на виявлення резистентності до фторхінолонів має важливе значення перед початком лікування за загальнооральною короткостроковою схемою лікування мультирезистентного/рифампіцин-резистентного туберкульозу (тобто 6-9 місяців); це також може стати актуальним (залежно від епідеміологічного контексту), якщо ввести нові коротші схеми лікування туберкульозу, сприйнятливі до лікарських засобів, які включають фторхінолони;</w:t>
      </w:r>
    </w:p>
    <w:p w:rsidR="00ED665B" w:rsidRPr="00907702" w:rsidRDefault="006C7D2F" w:rsidP="00B1493F">
      <w:pPr>
        <w:numPr>
          <w:ilvl w:val="0"/>
          <w:numId w:val="2"/>
        </w:numPr>
        <w:tabs>
          <w:tab w:val="left" w:pos="240"/>
        </w:tabs>
        <w:spacing w:line="216" w:lineRule="auto"/>
        <w:ind w:left="240" w:right="5" w:hanging="240"/>
        <w:jc w:val="both"/>
        <w:rPr>
          <w:rFonts w:ascii="Calibri" w:hAnsi="Calibri" w:cs="Calibri"/>
          <w:color w:val="009649"/>
          <w:sz w:val="22"/>
          <w:szCs w:val="22"/>
        </w:rPr>
      </w:pPr>
      <w:r>
        <w:rPr>
          <w:rFonts w:ascii="Calibri" w:hAnsi="Calibri"/>
          <w:color w:val="000000"/>
          <w:sz w:val="22"/>
        </w:rPr>
        <w:t xml:space="preserve">ці тести можна використовувати, щоб визначити резистентність до етіонаміду, але не виключати резистентність, оскільки мутації, що надають резистентність до етіонаміду, не обмежуються промоторною областю </w:t>
      </w:r>
      <w:r w:rsidRPr="009D59CA">
        <w:rPr>
          <w:rFonts w:ascii="Calibri" w:hAnsi="Calibri"/>
          <w:i/>
          <w:color w:val="000000"/>
          <w:sz w:val="22"/>
        </w:rPr>
        <w:t>inhA</w:t>
      </w:r>
      <w:r>
        <w:rPr>
          <w:rFonts w:ascii="Calibri" w:hAnsi="Calibri"/>
          <w:color w:val="000000"/>
          <w:sz w:val="22"/>
        </w:rPr>
        <w:t>, а також включають в себе ethA, ethR та інші гени;</w:t>
      </w:r>
    </w:p>
    <w:p w:rsidR="00ED665B" w:rsidRPr="00907702" w:rsidRDefault="006C7D2F" w:rsidP="00B1493F">
      <w:pPr>
        <w:numPr>
          <w:ilvl w:val="0"/>
          <w:numId w:val="2"/>
        </w:numPr>
        <w:tabs>
          <w:tab w:val="left" w:pos="240"/>
        </w:tabs>
        <w:spacing w:line="216" w:lineRule="auto"/>
        <w:ind w:left="240" w:hanging="240"/>
        <w:jc w:val="both"/>
        <w:rPr>
          <w:rFonts w:ascii="Calibri" w:hAnsi="Calibri" w:cs="Calibri"/>
          <w:color w:val="009649"/>
          <w:sz w:val="22"/>
          <w:szCs w:val="22"/>
        </w:rPr>
      </w:pPr>
      <w:r>
        <w:rPr>
          <w:rFonts w:ascii="Calibri" w:hAnsi="Calibri"/>
          <w:color w:val="000000"/>
          <w:sz w:val="22"/>
        </w:rPr>
        <w:t>досі може стати в нагоді фенотипічний ТМЧ на основі посіву, особливо серед тих, хто має високу ймовірність резистентності, а автоматизовані ТАНК з низькою складністю не виявляють медикаментозну резистентність; крім того, фенотипічний ТМЧ на основі посіву:</w:t>
      </w:r>
    </w:p>
    <w:p w:rsidR="00F67B06" w:rsidRDefault="006C7D2F" w:rsidP="00B1493F">
      <w:pPr>
        <w:spacing w:line="216" w:lineRule="auto"/>
        <w:ind w:left="567" w:hanging="284"/>
        <w:jc w:val="both"/>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залишається важливим для визначення резистентності до інших протитуберкульозних лікарських препаратів, зокрема до нових та замінених ліків, та для моніторингу появи додаткової медикаментозної резистентності; </w:t>
      </w:r>
    </w:p>
    <w:p w:rsidR="00ED665B" w:rsidRPr="00907702" w:rsidRDefault="006C7D2F" w:rsidP="00B1493F">
      <w:pPr>
        <w:spacing w:line="216" w:lineRule="auto"/>
        <w:ind w:left="567" w:hanging="284"/>
        <w:jc w:val="both"/>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не поширюється на етіонамід, оскільки він ненадійний і погано відтворюваний;</w:t>
      </w:r>
    </w:p>
    <w:p w:rsidR="00ED665B" w:rsidRPr="00907702" w:rsidRDefault="006C7D2F" w:rsidP="00B1493F">
      <w:pPr>
        <w:numPr>
          <w:ilvl w:val="0"/>
          <w:numId w:val="2"/>
        </w:numPr>
        <w:tabs>
          <w:tab w:val="left" w:pos="240"/>
        </w:tabs>
        <w:spacing w:line="216" w:lineRule="auto"/>
        <w:ind w:left="240" w:hanging="240"/>
        <w:jc w:val="both"/>
        <w:rPr>
          <w:rFonts w:ascii="Calibri" w:hAnsi="Calibri" w:cs="Calibri"/>
          <w:color w:val="009649"/>
          <w:sz w:val="22"/>
          <w:szCs w:val="22"/>
        </w:rPr>
      </w:pPr>
      <w:r>
        <w:rPr>
          <w:rFonts w:ascii="Calibri" w:hAnsi="Calibri"/>
          <w:color w:val="000000"/>
          <w:sz w:val="22"/>
        </w:rPr>
        <w:t>для ін’єкційних препаратів другої лінії комісія оцінила ефективність виявлення резистентності до амікацину лише тому, що і канаміцин, і капреоміцин більше не рекомендуються для лікування ЛС-ТБ; та</w:t>
      </w:r>
    </w:p>
    <w:p w:rsidR="00ED665B" w:rsidRPr="00907702" w:rsidRDefault="006C7D2F" w:rsidP="00B1493F">
      <w:pPr>
        <w:numPr>
          <w:ilvl w:val="0"/>
          <w:numId w:val="2"/>
        </w:numPr>
        <w:tabs>
          <w:tab w:val="left" w:pos="240"/>
        </w:tabs>
        <w:spacing w:line="216" w:lineRule="auto"/>
        <w:ind w:left="240" w:right="5" w:hanging="240"/>
        <w:jc w:val="both"/>
        <w:rPr>
          <w:rFonts w:ascii="Calibri" w:hAnsi="Calibri" w:cs="Calibri"/>
          <w:color w:val="009649"/>
          <w:sz w:val="22"/>
          <w:szCs w:val="22"/>
        </w:rPr>
      </w:pPr>
      <w:r>
        <w:rPr>
          <w:rFonts w:ascii="Calibri" w:hAnsi="Calibri"/>
          <w:color w:val="000000"/>
          <w:sz w:val="22"/>
        </w:rPr>
        <w:t>фенотипічний ТМЧ на основі посіву може бути важливим для підтвердження сприйнятливості до амікацину в ситуаціях, коли доцільно використовувати цей лікарський препарат, щоб збалансувати ризик та користь.</w:t>
      </w:r>
    </w:p>
    <w:p w:rsidR="00ED665B" w:rsidRPr="00907702" w:rsidRDefault="00ED665B" w:rsidP="00DC2656">
      <w:pPr>
        <w:numPr>
          <w:ilvl w:val="0"/>
          <w:numId w:val="2"/>
        </w:numPr>
        <w:tabs>
          <w:tab w:val="left" w:pos="240"/>
        </w:tabs>
        <w:ind w:left="240" w:right="5" w:hanging="240"/>
        <w:jc w:val="both"/>
        <w:rPr>
          <w:rFonts w:ascii="Calibri" w:hAnsi="Calibri" w:cs="Calibri"/>
          <w:color w:val="009649"/>
          <w:sz w:val="22"/>
          <w:szCs w:val="22"/>
        </w:rPr>
        <w:sectPr w:rsidR="00ED665B" w:rsidRPr="00907702">
          <w:pgSz w:w="11904" w:h="16838"/>
          <w:pgMar w:top="1339" w:right="1416" w:bottom="1238" w:left="1416" w:header="720" w:footer="720" w:gutter="0"/>
          <w:cols w:space="60"/>
          <w:noEndnote/>
        </w:sectPr>
      </w:pPr>
    </w:p>
    <w:p w:rsidR="00ED665B" w:rsidRPr="00F67B06" w:rsidRDefault="006C7D2F" w:rsidP="00DC2656">
      <w:pPr>
        <w:rPr>
          <w:rFonts w:ascii="Calibri" w:hAnsi="Calibri" w:cs="Calibri"/>
          <w:b/>
          <w:bCs/>
        </w:rPr>
      </w:pPr>
      <w:bookmarkStart w:id="24" w:name="bookmark28"/>
      <w:r>
        <w:rPr>
          <w:rFonts w:ascii="Calibri" w:hAnsi="Calibri"/>
          <w:b/>
          <w:color w:val="009649"/>
          <w:sz w:val="28"/>
        </w:rPr>
        <w:lastRenderedPageBreak/>
        <w:t>П</w:t>
      </w:r>
      <w:bookmarkEnd w:id="24"/>
      <w:r>
        <w:rPr>
          <w:rFonts w:ascii="Calibri" w:hAnsi="Calibri"/>
          <w:b/>
          <w:color w:val="009649"/>
          <w:sz w:val="28"/>
        </w:rPr>
        <w:t>ріоритети наукових досліджень</w:t>
      </w:r>
    </w:p>
    <w:p w:rsidR="00ED665B" w:rsidRPr="00907702" w:rsidRDefault="006C7D2F" w:rsidP="00DC2656">
      <w:pPr>
        <w:spacing w:before="163"/>
        <w:ind w:right="19"/>
        <w:jc w:val="both"/>
        <w:rPr>
          <w:rFonts w:ascii="Calibri" w:hAnsi="Calibri" w:cs="Calibri"/>
        </w:rPr>
      </w:pPr>
      <w:r>
        <w:rPr>
          <w:rFonts w:ascii="Calibri" w:hAnsi="Calibri"/>
          <w:color w:val="000000"/>
          <w:sz w:val="22"/>
        </w:rPr>
        <w:t>Пріоритетами наукових досліджень для автоматизованих ТАНК низької складності для виявлення резистентності до ізоніазидів та протитуберкульозних препаратів другого ряду є:</w:t>
      </w:r>
    </w:p>
    <w:p w:rsidR="00ED665B" w:rsidRPr="00907702" w:rsidRDefault="006C7D2F" w:rsidP="00DC2656">
      <w:pPr>
        <w:numPr>
          <w:ilvl w:val="0"/>
          <w:numId w:val="2"/>
        </w:numPr>
        <w:tabs>
          <w:tab w:val="left" w:pos="240"/>
        </w:tabs>
        <w:spacing w:before="77"/>
        <w:ind w:left="240" w:right="5" w:hanging="240"/>
        <w:jc w:val="both"/>
        <w:rPr>
          <w:rFonts w:ascii="Calibri" w:hAnsi="Calibri" w:cs="Calibri"/>
          <w:color w:val="009649"/>
          <w:sz w:val="22"/>
          <w:szCs w:val="22"/>
        </w:rPr>
      </w:pPr>
      <w:r>
        <w:rPr>
          <w:rFonts w:ascii="Calibri" w:hAnsi="Calibri"/>
          <w:color w:val="000000"/>
          <w:sz w:val="22"/>
        </w:rPr>
        <w:t>діагностична точність у конкретних популяціях пацієнтів (наприклад, у дітей, людей, які живуть з ВІЛ, та у пацієнтів із ознаками та симптомами позалегеневого туберкульозу) та у зразках, відмінних від мокротиння;</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вплив діагностичних технологій на прийняття клінічних рішень та результати, важливі для пацієнтів (наприклад, лікування, смертність, час до встановлення діагнозу та час початку лікування) у всіх популяціях пацієнтів;</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вплив специфічних мутацій на результати лікування серед людей з ЛС-ТБ;</w:t>
      </w:r>
    </w:p>
    <w:p w:rsidR="00ED665B" w:rsidRPr="00907702" w:rsidRDefault="006C7D2F" w:rsidP="00DC2656">
      <w:pPr>
        <w:numPr>
          <w:ilvl w:val="0"/>
          <w:numId w:val="2"/>
        </w:numPr>
        <w:tabs>
          <w:tab w:val="left" w:pos="240"/>
        </w:tabs>
        <w:ind w:left="240" w:right="10" w:hanging="240"/>
        <w:jc w:val="both"/>
        <w:rPr>
          <w:rFonts w:ascii="Calibri" w:hAnsi="Calibri" w:cs="Calibri"/>
          <w:color w:val="009649"/>
          <w:sz w:val="22"/>
          <w:szCs w:val="22"/>
        </w:rPr>
      </w:pPr>
      <w:r>
        <w:rPr>
          <w:rFonts w:ascii="Calibri" w:hAnsi="Calibri"/>
          <w:color w:val="000000"/>
          <w:sz w:val="22"/>
        </w:rPr>
        <w:t>використання, інтеграція та оптимізація діагностичних технологій у загальному ландшафті тестування та догляду, а також діагностичних шляхів та алгоритмів;</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економічні дослідження, що оцінюють витрати, співвідношення витрати / ефективність та економічну доцільність різних діагностичних технологій;</w:t>
      </w:r>
    </w:p>
    <w:p w:rsidR="00ED665B" w:rsidRPr="00907702" w:rsidRDefault="006C7D2F" w:rsidP="00DC2656">
      <w:pPr>
        <w:numPr>
          <w:ilvl w:val="0"/>
          <w:numId w:val="2"/>
        </w:numPr>
        <w:tabs>
          <w:tab w:val="left" w:pos="240"/>
        </w:tabs>
        <w:ind w:left="240" w:right="10" w:hanging="240"/>
        <w:jc w:val="both"/>
        <w:rPr>
          <w:rFonts w:ascii="Calibri" w:hAnsi="Calibri" w:cs="Calibri"/>
          <w:color w:val="009649"/>
          <w:sz w:val="22"/>
          <w:szCs w:val="22"/>
        </w:rPr>
      </w:pPr>
      <w:r>
        <w:rPr>
          <w:rFonts w:ascii="Calibri" w:hAnsi="Calibri"/>
          <w:color w:val="000000"/>
          <w:sz w:val="22"/>
        </w:rPr>
        <w:t>якісні дослідження, що оцінюють рівність, прийнятність, доцільність та значення кінцевого споживача різних діагностичних технологій;</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вплив недійсних результатів (невизначених, незрозумілих або недійсних) на точність діагностики та результати, важливі для пацієнтів;</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оцінка автоматизованих ТАНК низької складності для первинного виявлення туберкульозу, на додаток до його використання як додаткового тесту, у всіх людей з ознаками та симптомами туберкульозу, у дітей та у людей, які живуть з ВІЛ; та</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 xml:space="preserve">потенційна корисність виявлення резистентності до </w:t>
      </w:r>
      <w:r w:rsidRPr="009D59CA">
        <w:rPr>
          <w:rFonts w:ascii="Calibri" w:hAnsi="Calibri"/>
          <w:i/>
          <w:color w:val="000000"/>
          <w:sz w:val="22"/>
        </w:rPr>
        <w:t>katG</w:t>
      </w:r>
      <w:r>
        <w:rPr>
          <w:rFonts w:ascii="Calibri" w:hAnsi="Calibri"/>
          <w:color w:val="000000"/>
          <w:sz w:val="22"/>
        </w:rPr>
        <w:t xml:space="preserve"> для ідентифікації клонів МЛС-ТБ, які можуть бути пропущені, оскільки не містять мутації RRDR (наприклад, клон МЛС-ТБ Есватіні, який має як </w:t>
      </w:r>
      <w:r w:rsidRPr="009D59CA">
        <w:rPr>
          <w:rFonts w:ascii="Calibri" w:hAnsi="Calibri"/>
          <w:i/>
          <w:color w:val="000000"/>
          <w:sz w:val="22"/>
        </w:rPr>
        <w:t>katG</w:t>
      </w:r>
      <w:r>
        <w:rPr>
          <w:rFonts w:ascii="Calibri" w:hAnsi="Calibri"/>
          <w:color w:val="000000"/>
          <w:sz w:val="22"/>
        </w:rPr>
        <w:t xml:space="preserve"> S315T, так і RRDR </w:t>
      </w:r>
      <w:r w:rsidRPr="009D59CA">
        <w:rPr>
          <w:rFonts w:ascii="Calibri" w:hAnsi="Calibri"/>
          <w:i/>
          <w:color w:val="000000"/>
          <w:sz w:val="22"/>
        </w:rPr>
        <w:t>rpoB</w:t>
      </w:r>
      <w:r>
        <w:rPr>
          <w:rFonts w:ascii="Calibri" w:hAnsi="Calibri"/>
          <w:color w:val="000000"/>
          <w:sz w:val="22"/>
        </w:rPr>
        <w:t xml:space="preserve"> </w:t>
      </w:r>
      <w:r w:rsidRPr="0031040C">
        <w:rPr>
          <w:rFonts w:ascii="Calibri" w:hAnsi="Calibri"/>
          <w:i/>
          <w:color w:val="000000"/>
          <w:sz w:val="22"/>
        </w:rPr>
        <w:t>I491F</w:t>
      </w:r>
      <w:r>
        <w:rPr>
          <w:rFonts w:ascii="Calibri" w:hAnsi="Calibri"/>
          <w:color w:val="000000"/>
          <w:sz w:val="22"/>
        </w:rPr>
        <w:t xml:space="preserve"> без мутації).</w:t>
      </w:r>
    </w:p>
    <w:p w:rsidR="00ED665B" w:rsidRPr="00F67B06" w:rsidRDefault="006C7D2F" w:rsidP="00DC2656">
      <w:pPr>
        <w:spacing w:before="230"/>
        <w:rPr>
          <w:rFonts w:ascii="Calibri" w:hAnsi="Calibri" w:cs="Calibri"/>
          <w:b/>
          <w:bCs/>
        </w:rPr>
      </w:pPr>
      <w:r>
        <w:rPr>
          <w:rFonts w:ascii="Calibri" w:hAnsi="Calibri"/>
          <w:b/>
          <w:color w:val="009649"/>
          <w:sz w:val="28"/>
        </w:rPr>
        <w:t>LPA першого ряду</w:t>
      </w:r>
    </w:p>
    <w:p w:rsidR="00ED665B" w:rsidRPr="00907702" w:rsidRDefault="006C7D2F" w:rsidP="00DC2656">
      <w:pPr>
        <w:spacing w:before="168"/>
        <w:ind w:right="5"/>
        <w:jc w:val="both"/>
        <w:rPr>
          <w:rFonts w:ascii="Calibri" w:hAnsi="Calibri" w:cs="Calibri"/>
        </w:rPr>
      </w:pPr>
      <w:r>
        <w:rPr>
          <w:rFonts w:ascii="Calibri" w:hAnsi="Calibri"/>
          <w:color w:val="000000"/>
          <w:sz w:val="22"/>
        </w:rPr>
        <w:t>У 2008 р. ВООЗ схвалила використання комерційних LPA для виявлення MTBК у поєднанні зі резистентністю до рифампіцину та ізоніазиду у позитивних зразках мокротиння (пряме тестування) та в посівних ізолятах MTBК (непряме тестування). Під час проведення систематичного огляду того часу оцінювалася діагностична точність двох комерційно доступних LPA – аналізу INNO-LiPA Rif.TB (Innogenetics, Гент, Бельгія) та GenoType® MTBDR</w:t>
      </w:r>
      <w:r w:rsidR="00BE6F5B" w:rsidRPr="00BE6F5B">
        <w:rPr>
          <w:rFonts w:ascii="Calibri" w:hAnsi="Calibri"/>
          <w:i/>
          <w:color w:val="000000"/>
          <w:sz w:val="22"/>
        </w:rPr>
        <w:t>plus</w:t>
      </w:r>
      <w:r>
        <w:rPr>
          <w:rFonts w:ascii="Calibri" w:hAnsi="Calibri"/>
          <w:color w:val="000000"/>
          <w:sz w:val="22"/>
        </w:rPr>
        <w:t xml:space="preserve"> (версія 1), далі – Hain, версія 1 – та отримані дані подавалися на схвалення ВООЗ </w:t>
      </w:r>
      <w:r w:rsidRPr="00B1493F">
        <w:rPr>
          <w:rFonts w:ascii="Calibri" w:hAnsi="Calibri"/>
          <w:i/>
          <w:color w:val="000000"/>
          <w:sz w:val="22"/>
        </w:rPr>
        <w:t>(37, 38)</w:t>
      </w:r>
      <w:r>
        <w:rPr>
          <w:rFonts w:ascii="Calibri" w:hAnsi="Calibri"/>
          <w:color w:val="000000"/>
          <w:sz w:val="22"/>
        </w:rPr>
        <w:t>. Відмінну точність було зареєстровано для обох тестів на виявлення резистентності до рифампіцину, проте їх діагностична точність щодо резистентності до ізоніазиду мала нижчу чутливість, незважаючи на високу специфічність. Оскільки було недостатньо даних, які дозволяли б провести стратифікацію за статусом мазка, рекомендація ВООЗ щодо використання LPA обмежувалася ізолятами посіву або позитивними результатами мазка зразками мокротиння. Подальші дані були опубліковані про використання LPA; розроблені новіші версії технології LPA, такі як Hain GenoType MTBDR</w:t>
      </w:r>
      <w:r w:rsidR="00BE6F5B" w:rsidRPr="00BE6F5B">
        <w:rPr>
          <w:rFonts w:ascii="Calibri" w:hAnsi="Calibri"/>
          <w:i/>
          <w:color w:val="000000"/>
          <w:sz w:val="22"/>
        </w:rPr>
        <w:t>plus</w:t>
      </w:r>
      <w:r>
        <w:rPr>
          <w:rFonts w:ascii="Calibri" w:hAnsi="Calibri"/>
          <w:color w:val="000000"/>
          <w:sz w:val="22"/>
        </w:rPr>
        <w:t xml:space="preserve"> версія 2, далі – Hain, версія 2; та інші виробники вийшли на ринок, включаючи Nipro (Токіо, Японія), який розробив Genoscholar ™ NTM + MDRTB II, далі – Nipro.</w:t>
      </w:r>
    </w:p>
    <w:p w:rsidR="00ED665B" w:rsidRPr="00907702" w:rsidRDefault="006C7D2F" w:rsidP="00DC2656">
      <w:pPr>
        <w:spacing w:before="168"/>
        <w:jc w:val="both"/>
        <w:rPr>
          <w:rFonts w:ascii="Calibri" w:hAnsi="Calibri" w:cs="Calibri"/>
        </w:rPr>
      </w:pPr>
      <w:r>
        <w:rPr>
          <w:rFonts w:ascii="Calibri" w:hAnsi="Calibri"/>
          <w:color w:val="000000"/>
          <w:sz w:val="22"/>
        </w:rPr>
        <w:t xml:space="preserve">У 2015 році FIND оцінив LPA Nipro та Hain версії 2 та порівняв їх з Hain версії 1. Дослідження продемонструвало еквівалентність між цими трьома доступними у продажу тест-системами LPA для виявлення ТБ та резистентності до рифампіцину та ізоніазиду </w:t>
      </w:r>
      <w:r w:rsidRPr="00B1493F">
        <w:rPr>
          <w:rFonts w:ascii="Calibri" w:hAnsi="Calibri"/>
          <w:i/>
          <w:color w:val="000000"/>
          <w:sz w:val="22"/>
        </w:rPr>
        <w:t>(5)</w:t>
      </w:r>
      <w:r>
        <w:rPr>
          <w:rFonts w:ascii="Calibri" w:hAnsi="Calibri"/>
          <w:color w:val="000000"/>
          <w:sz w:val="22"/>
        </w:rPr>
        <w:t>.</w:t>
      </w:r>
    </w:p>
    <w:p w:rsidR="00ED665B" w:rsidRPr="00907702" w:rsidRDefault="00ED665B" w:rsidP="00DC2656">
      <w:pPr>
        <w:spacing w:before="168"/>
        <w:jc w:val="both"/>
        <w:rPr>
          <w:rFonts w:ascii="Calibri" w:hAnsi="Calibri" w:cs="Calibri"/>
        </w:rPr>
        <w:sectPr w:rsidR="00ED665B" w:rsidRPr="00907702">
          <w:pgSz w:w="11904" w:h="16838"/>
          <w:pgMar w:top="1378" w:right="1411" w:bottom="14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49"/>
      </w:tblGrid>
      <w:tr w:rsidR="00ED665B" w:rsidRPr="00F67B06" w:rsidTr="00F67B06">
        <w:trPr>
          <w:trHeight w:hRule="exact" w:val="518"/>
        </w:trPr>
        <w:tc>
          <w:tcPr>
            <w:tcW w:w="9149" w:type="dxa"/>
            <w:tcBorders>
              <w:top w:val="nil"/>
              <w:left w:val="nil"/>
              <w:bottom w:val="single" w:sz="8" w:space="0" w:color="009649"/>
              <w:right w:val="nil"/>
            </w:tcBorders>
            <w:shd w:val="clear" w:color="auto" w:fill="FFFFFF"/>
          </w:tcPr>
          <w:p w:rsidR="00ED665B" w:rsidRPr="00F67B06" w:rsidRDefault="006C7D2F" w:rsidP="00DC2656">
            <w:pPr>
              <w:rPr>
                <w:rFonts w:ascii="Calibri" w:hAnsi="Calibri" w:cs="Calibri"/>
                <w:b/>
                <w:bCs/>
              </w:rPr>
            </w:pPr>
            <w:r>
              <w:rPr>
                <w:rFonts w:ascii="Calibri" w:hAnsi="Calibri"/>
                <w:b/>
                <w:color w:val="009649"/>
                <w:sz w:val="28"/>
              </w:rPr>
              <w:lastRenderedPageBreak/>
              <w:t>Рекомендація</w:t>
            </w:r>
          </w:p>
        </w:tc>
      </w:tr>
      <w:tr w:rsidR="00ED665B" w:rsidRPr="00907702" w:rsidTr="00F67B06">
        <w:trPr>
          <w:trHeight w:hRule="exact" w:val="1486"/>
        </w:trPr>
        <w:tc>
          <w:tcPr>
            <w:tcW w:w="9149" w:type="dxa"/>
            <w:tcBorders>
              <w:top w:val="single" w:sz="8" w:space="0" w:color="009649"/>
              <w:left w:val="single" w:sz="8" w:space="0" w:color="009649"/>
              <w:bottom w:val="single" w:sz="8" w:space="0" w:color="009649"/>
              <w:right w:val="single" w:sz="8" w:space="0" w:color="009649"/>
            </w:tcBorders>
            <w:shd w:val="clear" w:color="auto" w:fill="FFFFFF"/>
          </w:tcPr>
          <w:p w:rsidR="00B1493F" w:rsidRDefault="006C7D2F" w:rsidP="00F67B06">
            <w:pPr>
              <w:spacing w:before="120"/>
              <w:ind w:left="250" w:right="357"/>
              <w:jc w:val="both"/>
              <w:rPr>
                <w:rFonts w:ascii="Calibri" w:hAnsi="Calibri"/>
                <w:color w:val="000000"/>
                <w:sz w:val="22"/>
              </w:rPr>
            </w:pPr>
            <w:r>
              <w:rPr>
                <w:rFonts w:ascii="Calibri" w:hAnsi="Calibri"/>
                <w:color w:val="000000"/>
                <w:sz w:val="22"/>
              </w:rPr>
              <w:t xml:space="preserve">Для осіб з позитивним мазком мокротиння або культивованим ізолятом МТБК комерційні молекулярні LPA можуть використовуватися в якості первинного тесту замість ТМЧ на основі фенотипічної культури для виявлення резистентності до рифампіцину та ізоніазиду. </w:t>
            </w:r>
          </w:p>
          <w:p w:rsidR="00ED665B" w:rsidRPr="00B1493F" w:rsidRDefault="006C7D2F" w:rsidP="00B1493F">
            <w:pPr>
              <w:ind w:left="250" w:right="357"/>
              <w:jc w:val="both"/>
              <w:rPr>
                <w:rFonts w:ascii="Calibri" w:hAnsi="Calibri" w:cs="Calibri"/>
                <w:i/>
              </w:rPr>
            </w:pPr>
            <w:r w:rsidRPr="00B1493F">
              <w:rPr>
                <w:rFonts w:ascii="Calibri" w:hAnsi="Calibri"/>
                <w:i/>
                <w:color w:val="000000"/>
                <w:sz w:val="22"/>
              </w:rPr>
              <w:t>(Умовна рекомендація, середня якість доказових даних щодо точності тесту)</w:t>
            </w:r>
          </w:p>
        </w:tc>
      </w:tr>
    </w:tbl>
    <w:p w:rsidR="00ED665B" w:rsidRPr="00F67B06" w:rsidRDefault="006C7D2F" w:rsidP="00DC2656">
      <w:pPr>
        <w:spacing w:before="432"/>
        <w:ind w:left="72"/>
        <w:rPr>
          <w:rFonts w:ascii="Calibri" w:hAnsi="Calibri" w:cs="Calibri"/>
          <w:b/>
          <w:bCs/>
        </w:rPr>
      </w:pPr>
      <w:r>
        <w:rPr>
          <w:rFonts w:ascii="Calibri" w:hAnsi="Calibri"/>
          <w:b/>
          <w:color w:val="000000"/>
          <w:sz w:val="24"/>
        </w:rPr>
        <w:t>Примітки</w:t>
      </w:r>
    </w:p>
    <w:p w:rsidR="00ED665B" w:rsidRPr="00907702" w:rsidRDefault="006C7D2F" w:rsidP="00B1493F">
      <w:pPr>
        <w:numPr>
          <w:ilvl w:val="0"/>
          <w:numId w:val="21"/>
        </w:numPr>
        <w:tabs>
          <w:tab w:val="left" w:pos="355"/>
        </w:tabs>
        <w:spacing w:before="254"/>
        <w:ind w:left="355" w:right="5" w:hanging="283"/>
        <w:jc w:val="both"/>
        <w:rPr>
          <w:rFonts w:ascii="Calibri" w:hAnsi="Calibri" w:cs="Calibri"/>
          <w:color w:val="000000"/>
          <w:sz w:val="22"/>
          <w:szCs w:val="22"/>
        </w:rPr>
      </w:pPr>
      <w:r>
        <w:rPr>
          <w:rFonts w:ascii="Calibri" w:hAnsi="Calibri"/>
          <w:color w:val="000000"/>
          <w:sz w:val="22"/>
        </w:rPr>
        <w:t>Ці рекомендації стосуються використання LPA для тестування позитивних результатів мікроскопії зразків мокротиння (пряме тестування) та культуральних ізолятів МТБК (непряме тестування) як з легеневих, так і з позалегеневих ділянок.</w:t>
      </w:r>
    </w:p>
    <w:p w:rsidR="00ED665B" w:rsidRPr="00907702" w:rsidRDefault="006C7D2F" w:rsidP="00B1493F">
      <w:pPr>
        <w:numPr>
          <w:ilvl w:val="0"/>
          <w:numId w:val="21"/>
        </w:numPr>
        <w:tabs>
          <w:tab w:val="left" w:pos="355"/>
        </w:tabs>
        <w:spacing w:before="211"/>
        <w:ind w:left="378" w:hanging="306"/>
        <w:jc w:val="both"/>
        <w:rPr>
          <w:rFonts w:ascii="Calibri" w:hAnsi="Calibri" w:cs="Calibri"/>
          <w:color w:val="000000"/>
          <w:sz w:val="22"/>
          <w:szCs w:val="22"/>
        </w:rPr>
      </w:pPr>
      <w:r>
        <w:rPr>
          <w:rFonts w:ascii="Calibri" w:hAnsi="Calibri"/>
          <w:color w:val="000000"/>
          <w:sz w:val="22"/>
        </w:rPr>
        <w:t>LPA не рекомендується проводити для прямого тестування зразків негативного мазка мокротиння.</w:t>
      </w:r>
    </w:p>
    <w:p w:rsidR="00ED665B" w:rsidRPr="00907702" w:rsidRDefault="006C7D2F" w:rsidP="00B1493F">
      <w:pPr>
        <w:numPr>
          <w:ilvl w:val="0"/>
          <w:numId w:val="21"/>
        </w:numPr>
        <w:tabs>
          <w:tab w:val="left" w:pos="355"/>
        </w:tabs>
        <w:spacing w:before="182"/>
        <w:ind w:left="355" w:right="5" w:hanging="283"/>
        <w:jc w:val="both"/>
        <w:rPr>
          <w:rFonts w:ascii="Calibri" w:hAnsi="Calibri" w:cs="Calibri"/>
          <w:color w:val="000000"/>
          <w:sz w:val="22"/>
          <w:szCs w:val="22"/>
        </w:rPr>
      </w:pPr>
      <w:r>
        <w:rPr>
          <w:rFonts w:ascii="Calibri" w:hAnsi="Calibri"/>
          <w:color w:val="000000"/>
          <w:sz w:val="22"/>
        </w:rPr>
        <w:t>Ці рекомендації стосуються виявлення МТБК та діагностики МЛС-ТБ, але визнають, що точність виявлення резистентності до рифампіцину та ізоніазиду відрізняється, а отже, і точність діагнозу МЛС-ТБ в цілому знижується.</w:t>
      </w:r>
    </w:p>
    <w:p w:rsidR="00ED665B" w:rsidRPr="00907702" w:rsidRDefault="006C7D2F" w:rsidP="00B1493F">
      <w:pPr>
        <w:numPr>
          <w:ilvl w:val="0"/>
          <w:numId w:val="21"/>
        </w:numPr>
        <w:tabs>
          <w:tab w:val="left" w:pos="355"/>
        </w:tabs>
        <w:spacing w:before="163"/>
        <w:ind w:left="355" w:right="5" w:hanging="283"/>
        <w:jc w:val="both"/>
        <w:rPr>
          <w:rFonts w:ascii="Calibri" w:hAnsi="Calibri" w:cs="Calibri"/>
          <w:color w:val="000000"/>
          <w:sz w:val="22"/>
          <w:szCs w:val="22"/>
        </w:rPr>
      </w:pPr>
      <w:r>
        <w:rPr>
          <w:rFonts w:ascii="Calibri" w:hAnsi="Calibri"/>
          <w:color w:val="000000"/>
          <w:sz w:val="22"/>
        </w:rPr>
        <w:t>Ці рекомендації не виключають потреби у звичайному ТМЧ на основі бакпосіву, який буде необхідний для визначення резистентності до інших протитуберкульозних засобів та контролю за появою додаткової медикаментозної резистентності.</w:t>
      </w:r>
    </w:p>
    <w:p w:rsidR="00ED665B" w:rsidRPr="00907702" w:rsidRDefault="006C7D2F" w:rsidP="00B1493F">
      <w:pPr>
        <w:numPr>
          <w:ilvl w:val="0"/>
          <w:numId w:val="21"/>
        </w:numPr>
        <w:tabs>
          <w:tab w:val="left" w:pos="355"/>
        </w:tabs>
        <w:spacing w:before="168"/>
        <w:ind w:left="355" w:right="5" w:hanging="283"/>
        <w:jc w:val="both"/>
        <w:rPr>
          <w:rFonts w:ascii="Calibri" w:hAnsi="Calibri" w:cs="Calibri"/>
          <w:color w:val="000000"/>
          <w:sz w:val="22"/>
          <w:szCs w:val="22"/>
        </w:rPr>
      </w:pPr>
      <w:r>
        <w:rPr>
          <w:rFonts w:ascii="Calibri" w:hAnsi="Calibri"/>
          <w:color w:val="000000"/>
          <w:sz w:val="22"/>
        </w:rPr>
        <w:t>Звичайний ТМЧ на основі посіву на ізоніазид все ще може використовуватися для оцінки пацієнтів, коли результат LPA не виявляє резистентності до ізоніазиду. Це особливо важливо у популяціях з високою ймовірністю резистентності до ізоніазиду.</w:t>
      </w:r>
    </w:p>
    <w:p w:rsidR="00ED665B" w:rsidRPr="00907702" w:rsidRDefault="006C7D2F" w:rsidP="00DC2656">
      <w:pPr>
        <w:numPr>
          <w:ilvl w:val="0"/>
          <w:numId w:val="21"/>
        </w:numPr>
        <w:tabs>
          <w:tab w:val="left" w:pos="355"/>
        </w:tabs>
        <w:spacing w:before="163"/>
        <w:ind w:left="355" w:right="5" w:hanging="283"/>
        <w:jc w:val="both"/>
        <w:rPr>
          <w:rFonts w:ascii="Calibri" w:hAnsi="Calibri" w:cs="Calibri"/>
          <w:color w:val="000000"/>
          <w:sz w:val="22"/>
          <w:szCs w:val="22"/>
        </w:rPr>
      </w:pPr>
      <w:r>
        <w:rPr>
          <w:rFonts w:ascii="Calibri" w:hAnsi="Calibri"/>
          <w:color w:val="000000"/>
          <w:sz w:val="22"/>
        </w:rPr>
        <w:t>Ці рекомендації стосуються використання LPA у дітей на основі узагальнення даних дорослих.</w:t>
      </w:r>
    </w:p>
    <w:p w:rsidR="00ED665B" w:rsidRPr="00F67B06" w:rsidRDefault="006C7D2F" w:rsidP="00DC2656">
      <w:pPr>
        <w:spacing w:before="230"/>
        <w:ind w:left="72"/>
        <w:rPr>
          <w:rFonts w:ascii="Calibri" w:hAnsi="Calibri" w:cs="Calibri"/>
          <w:b/>
          <w:bCs/>
        </w:rPr>
      </w:pPr>
      <w:r>
        <w:rPr>
          <w:rFonts w:ascii="Calibri" w:hAnsi="Calibri"/>
          <w:b/>
          <w:color w:val="009649"/>
          <w:sz w:val="28"/>
        </w:rPr>
        <w:t>Опис тесту</w:t>
      </w:r>
    </w:p>
    <w:p w:rsidR="00ED665B" w:rsidRPr="00907702" w:rsidRDefault="006C7D2F" w:rsidP="00DC2656">
      <w:pPr>
        <w:spacing w:before="168"/>
        <w:ind w:left="72" w:right="10"/>
        <w:jc w:val="both"/>
        <w:rPr>
          <w:rFonts w:ascii="Calibri" w:hAnsi="Calibri" w:cs="Calibri"/>
        </w:rPr>
      </w:pPr>
      <w:r>
        <w:rPr>
          <w:rFonts w:ascii="Calibri" w:hAnsi="Calibri"/>
          <w:color w:val="000000"/>
          <w:sz w:val="22"/>
        </w:rPr>
        <w:t xml:space="preserve">LPA – це сімейство тестів на основі ДНК-смужок, які можуть виявити штам МТБК та визначити його профіль медикаментозної резистентності за схемою зв’язування ампліконів (продуктів ампліфікації ДНК) зондами, орієнтованими на наступне: конкретні частини геному МТБК (для виявлення МТБК), найбільш поширені мутації, пов’язані з резистентністю до препаратів першого та другого ряду або відповідна послідовність ДНК дикого типу (для виявлення резистентності до протитуберкульозних лікарських засобів) </w:t>
      </w:r>
      <w:r w:rsidRPr="009D59CA">
        <w:rPr>
          <w:rFonts w:ascii="Calibri" w:hAnsi="Calibri"/>
          <w:i/>
          <w:color w:val="000000"/>
          <w:sz w:val="22"/>
        </w:rPr>
        <w:t>(4)</w:t>
      </w:r>
      <w:r>
        <w:rPr>
          <w:rFonts w:ascii="Calibri" w:hAnsi="Calibri"/>
          <w:color w:val="000000"/>
          <w:sz w:val="22"/>
        </w:rPr>
        <w:t>.</w:t>
      </w:r>
    </w:p>
    <w:p w:rsidR="00ED665B" w:rsidRPr="00907702" w:rsidRDefault="006C7D2F" w:rsidP="00DC2656">
      <w:pPr>
        <w:spacing w:before="168"/>
        <w:ind w:left="72" w:right="5"/>
        <w:jc w:val="both"/>
        <w:rPr>
          <w:rFonts w:ascii="Calibri" w:hAnsi="Calibri" w:cs="Calibri"/>
        </w:rPr>
      </w:pPr>
      <w:r>
        <w:rPr>
          <w:rFonts w:ascii="Calibri" w:hAnsi="Calibri"/>
          <w:color w:val="000000"/>
          <w:sz w:val="22"/>
        </w:rPr>
        <w:t xml:space="preserve">LPA засновані на технології зворотної гібридизації ДНК-смужок і включають три етапи: Екстракцію ДНК з ізолятів культури M. Tuberculosis або безпосередньо зі зразків пацієнта з подальшою мультиплексною ампліфікацією ПЛР, а потім зворотною гібридизацією з візуалізацією зв’язування амплікону (або його відсутності) на зонди дикого типу та мутації </w:t>
      </w:r>
      <w:r w:rsidRPr="009D59CA">
        <w:rPr>
          <w:rFonts w:ascii="Calibri" w:hAnsi="Calibri"/>
          <w:i/>
          <w:color w:val="000000"/>
          <w:sz w:val="22"/>
        </w:rPr>
        <w:t>(5)</w:t>
      </w:r>
      <w:r>
        <w:rPr>
          <w:rFonts w:ascii="Calibri" w:hAnsi="Calibri"/>
          <w:color w:val="000000"/>
          <w:sz w:val="22"/>
        </w:rPr>
        <w:t>.</w:t>
      </w:r>
    </w:p>
    <w:p w:rsidR="00ED665B" w:rsidRPr="00907702" w:rsidRDefault="006C7D2F" w:rsidP="00DC2656">
      <w:pPr>
        <w:spacing w:before="168"/>
        <w:ind w:left="72" w:right="5"/>
        <w:jc w:val="both"/>
        <w:rPr>
          <w:rFonts w:ascii="Calibri" w:hAnsi="Calibri" w:cs="Calibri"/>
        </w:rPr>
      </w:pPr>
      <w:r>
        <w:rPr>
          <w:rFonts w:ascii="Calibri" w:hAnsi="Calibri"/>
          <w:color w:val="000000"/>
          <w:sz w:val="22"/>
        </w:rPr>
        <w:t>Хоча LPA є технічно складнішими, ніж тест Xpert MTB/RIF, вони можуть виявляти резистентність до ізоніазидів. Платформи для тестування розроблені для референс лабораторії і тому є найбільш застосовними для країн з високим тягарем ТБ. Результати можна отримати за 5 годин.</w:t>
      </w:r>
    </w:p>
    <w:p w:rsidR="00ED665B" w:rsidRPr="00907702" w:rsidRDefault="00ED665B" w:rsidP="00DC2656">
      <w:pPr>
        <w:spacing w:before="168"/>
        <w:ind w:left="72" w:right="5"/>
        <w:jc w:val="both"/>
        <w:rPr>
          <w:rFonts w:ascii="Calibri" w:hAnsi="Calibri" w:cs="Calibri"/>
        </w:rPr>
        <w:sectPr w:rsidR="00ED665B" w:rsidRPr="00907702">
          <w:pgSz w:w="11904" w:h="16838"/>
          <w:pgMar w:top="1344" w:right="1411" w:bottom="1306" w:left="1344" w:header="720" w:footer="720" w:gutter="0"/>
          <w:cols w:space="60"/>
          <w:noEndnote/>
        </w:sectPr>
      </w:pPr>
    </w:p>
    <w:p w:rsidR="00F67B06" w:rsidRPr="00F67B06" w:rsidRDefault="00F67B06" w:rsidP="00F67B06">
      <w:pPr>
        <w:spacing w:after="120"/>
        <w:jc w:val="both"/>
        <w:rPr>
          <w:rFonts w:ascii="Calibri" w:hAnsi="Calibri" w:cs="Calibri"/>
          <w:color w:val="000000"/>
          <w:sz w:val="22"/>
          <w:szCs w:val="22"/>
        </w:rPr>
      </w:pPr>
      <w:r>
        <w:rPr>
          <w:rFonts w:ascii="Calibri" w:hAnsi="Calibri"/>
          <w:color w:val="000000"/>
        </w:rPr>
        <w:lastRenderedPageBreak/>
        <w:t xml:space="preserve">Деякі з цих </w:t>
      </w:r>
      <w:r>
        <w:rPr>
          <w:rFonts w:ascii="Calibri" w:hAnsi="Calibri"/>
          <w:color w:val="000000"/>
          <w:sz w:val="22"/>
        </w:rPr>
        <w:t>етапів можна автоматизувати, зробивши метод більш швидким і надійним, а також зменшивши ризик зараження.</w:t>
      </w:r>
    </w:p>
    <w:p w:rsidR="00F67B06" w:rsidRPr="00F67B06" w:rsidRDefault="00F67B06" w:rsidP="00F67B06">
      <w:pPr>
        <w:spacing w:after="120"/>
        <w:jc w:val="both"/>
        <w:rPr>
          <w:rFonts w:ascii="Calibri" w:hAnsi="Calibri" w:cs="Calibri"/>
          <w:color w:val="000000"/>
          <w:sz w:val="22"/>
          <w:szCs w:val="22"/>
        </w:rPr>
      </w:pPr>
      <w:r>
        <w:rPr>
          <w:rFonts w:ascii="Calibri" w:hAnsi="Calibri"/>
          <w:color w:val="000000"/>
          <w:sz w:val="22"/>
        </w:rPr>
        <w:t xml:space="preserve">Аналізи Hain версії 1 та версії 2 включають зонди </w:t>
      </w:r>
      <w:r w:rsidRPr="009D59CA">
        <w:rPr>
          <w:rFonts w:ascii="Calibri" w:hAnsi="Calibri"/>
          <w:i/>
          <w:color w:val="000000"/>
          <w:sz w:val="22"/>
        </w:rPr>
        <w:t>rpoB</w:t>
      </w:r>
      <w:r>
        <w:rPr>
          <w:rFonts w:ascii="Calibri" w:hAnsi="Calibri"/>
          <w:color w:val="000000"/>
          <w:sz w:val="22"/>
        </w:rPr>
        <w:t xml:space="preserve"> для виявлення резистентності до рифампіцину, зонди </w:t>
      </w:r>
      <w:r w:rsidRPr="009D59CA">
        <w:rPr>
          <w:rFonts w:ascii="Calibri" w:hAnsi="Calibri"/>
          <w:i/>
          <w:color w:val="000000"/>
          <w:sz w:val="22"/>
        </w:rPr>
        <w:t>katG</w:t>
      </w:r>
      <w:r>
        <w:rPr>
          <w:rFonts w:ascii="Calibri" w:hAnsi="Calibri"/>
          <w:color w:val="000000"/>
          <w:sz w:val="22"/>
        </w:rPr>
        <w:t xml:space="preserve"> для виявлення мутацій, асоційованих з високим рівнем резистентності до ізоніазидів, та промоторні зонди </w:t>
      </w:r>
      <w:r w:rsidRPr="009D59CA">
        <w:rPr>
          <w:rFonts w:ascii="Calibri" w:hAnsi="Calibri"/>
          <w:i/>
          <w:color w:val="000000"/>
          <w:sz w:val="22"/>
        </w:rPr>
        <w:t>inhA</w:t>
      </w:r>
      <w:r>
        <w:rPr>
          <w:rFonts w:ascii="Calibri" w:hAnsi="Calibri"/>
          <w:color w:val="000000"/>
          <w:sz w:val="22"/>
        </w:rPr>
        <w:t xml:space="preserve"> для виявлення мутацій, як правило, пов’язаних із резистентністю до ізоніазидів низького рівня. Зонди, що використовуються для виявлення дикого типу та специфічних мутацій, однакові для обох версій LPA Hain (</w:t>
      </w:r>
      <w:r w:rsidRPr="00114CB4">
        <w:rPr>
          <w:rFonts w:ascii="Calibri" w:hAnsi="Calibri"/>
          <w:color w:val="1B61AF"/>
          <w:sz w:val="22"/>
        </w:rPr>
        <w:t>Рис. 2.3.5a</w:t>
      </w:r>
      <w:r>
        <w:rPr>
          <w:rFonts w:ascii="Calibri" w:hAnsi="Calibri"/>
          <w:color w:val="000000"/>
          <w:sz w:val="22"/>
        </w:rPr>
        <w:t>).</w:t>
      </w:r>
    </w:p>
    <w:p w:rsidR="00F67B06" w:rsidRPr="00F67B06" w:rsidRDefault="00F67B06" w:rsidP="00F67B06">
      <w:pPr>
        <w:spacing w:after="120"/>
        <w:jc w:val="both"/>
        <w:rPr>
          <w:rFonts w:ascii="Calibri" w:hAnsi="Calibri" w:cs="Calibri"/>
          <w:color w:val="000000"/>
          <w:sz w:val="22"/>
          <w:szCs w:val="22"/>
        </w:rPr>
      </w:pPr>
      <w:r>
        <w:rPr>
          <w:rFonts w:ascii="Calibri" w:hAnsi="Calibri"/>
          <w:color w:val="000000"/>
          <w:sz w:val="22"/>
        </w:rPr>
        <w:t xml:space="preserve">Аналогічно, аналіз Nipro дозволяє ідентифікувати МТБК та резистентність до рифампіцину та ізоніазиду. Аналіз Nipro також відрізняє </w:t>
      </w:r>
      <w:r w:rsidRPr="00114CB4">
        <w:rPr>
          <w:rFonts w:ascii="Calibri" w:hAnsi="Calibri"/>
          <w:i/>
          <w:color w:val="000000"/>
          <w:sz w:val="22"/>
        </w:rPr>
        <w:t>M. avium, M. Intracellulare</w:t>
      </w:r>
      <w:r>
        <w:rPr>
          <w:rFonts w:ascii="Calibri" w:hAnsi="Calibri"/>
          <w:color w:val="000000"/>
          <w:sz w:val="22"/>
        </w:rPr>
        <w:t xml:space="preserve"> та </w:t>
      </w:r>
      <w:r w:rsidRPr="00114CB4">
        <w:rPr>
          <w:rFonts w:ascii="Calibri" w:hAnsi="Calibri"/>
          <w:i/>
          <w:color w:val="000000"/>
          <w:sz w:val="22"/>
        </w:rPr>
        <w:t>M. kansasii</w:t>
      </w:r>
      <w:r>
        <w:rPr>
          <w:rFonts w:ascii="Calibri" w:hAnsi="Calibri"/>
          <w:color w:val="000000"/>
          <w:sz w:val="22"/>
        </w:rPr>
        <w:t xml:space="preserve"> від інших нетуберкульозних мікобактерій (</w:t>
      </w:r>
      <w:r w:rsidRPr="00114CB4">
        <w:rPr>
          <w:rFonts w:ascii="Calibri" w:hAnsi="Calibri"/>
          <w:color w:val="1B61AF"/>
          <w:sz w:val="22"/>
        </w:rPr>
        <w:t>Рис. 2.3.5b</w:t>
      </w:r>
      <w:r>
        <w:rPr>
          <w:rFonts w:ascii="Calibri" w:hAnsi="Calibri"/>
          <w:color w:val="000000"/>
          <w:sz w:val="22"/>
        </w:rPr>
        <w:t>).</w:t>
      </w:r>
    </w:p>
    <w:p w:rsidR="00F67B06" w:rsidRPr="00F67B06" w:rsidRDefault="00F67B06" w:rsidP="00F67B06">
      <w:pPr>
        <w:spacing w:after="120"/>
        <w:jc w:val="both"/>
        <w:rPr>
          <w:rFonts w:ascii="Calibri" w:hAnsi="Calibri" w:cs="Calibri"/>
          <w:color w:val="000000"/>
          <w:sz w:val="22"/>
          <w:szCs w:val="22"/>
        </w:rPr>
      </w:pPr>
      <w:r>
        <w:rPr>
          <w:rFonts w:ascii="Calibri" w:hAnsi="Calibri"/>
          <w:color w:val="000000"/>
          <w:sz w:val="22"/>
        </w:rPr>
        <w:t xml:space="preserve">Промоторні зонди мутації </w:t>
      </w:r>
      <w:r w:rsidRPr="009D59CA">
        <w:rPr>
          <w:rFonts w:ascii="Calibri" w:hAnsi="Calibri"/>
          <w:i/>
          <w:color w:val="000000"/>
          <w:sz w:val="22"/>
        </w:rPr>
        <w:t>rpoB</w:t>
      </w:r>
      <w:r>
        <w:rPr>
          <w:rFonts w:ascii="Calibri" w:hAnsi="Calibri"/>
          <w:color w:val="000000"/>
          <w:sz w:val="22"/>
        </w:rPr>
        <w:t xml:space="preserve">, </w:t>
      </w:r>
      <w:r w:rsidRPr="009D59CA">
        <w:rPr>
          <w:rFonts w:ascii="Calibri" w:hAnsi="Calibri"/>
          <w:i/>
          <w:color w:val="000000"/>
          <w:sz w:val="22"/>
        </w:rPr>
        <w:t>katG</w:t>
      </w:r>
      <w:r>
        <w:rPr>
          <w:rFonts w:ascii="Calibri" w:hAnsi="Calibri"/>
          <w:color w:val="000000"/>
          <w:sz w:val="22"/>
        </w:rPr>
        <w:t xml:space="preserve"> та </w:t>
      </w:r>
      <w:r w:rsidRPr="009D59CA">
        <w:rPr>
          <w:rFonts w:ascii="Calibri" w:hAnsi="Calibri"/>
          <w:i/>
          <w:color w:val="000000"/>
          <w:sz w:val="22"/>
        </w:rPr>
        <w:t>inhA</w:t>
      </w:r>
      <w:r>
        <w:rPr>
          <w:rFonts w:ascii="Calibri" w:hAnsi="Calibri"/>
          <w:color w:val="000000"/>
          <w:sz w:val="22"/>
        </w:rPr>
        <w:t xml:space="preserve"> однакові для трьох аналізів, за винятком мутації </w:t>
      </w:r>
      <w:r w:rsidRPr="009D59CA">
        <w:rPr>
          <w:rFonts w:ascii="Calibri" w:hAnsi="Calibri"/>
          <w:i/>
          <w:color w:val="000000"/>
          <w:sz w:val="22"/>
        </w:rPr>
        <w:t>katG</w:t>
      </w:r>
      <w:r>
        <w:rPr>
          <w:rFonts w:ascii="Calibri" w:hAnsi="Calibri"/>
          <w:color w:val="000000"/>
          <w:sz w:val="22"/>
        </w:rPr>
        <w:t xml:space="preserve"> S315N, яка включена в аналіз Nipro, але не в Hain версії 1 чи версії 2. Існують деякі незначні зміни у кодонових областях, охоплених для дикого типу, серед Hain версій 1 та версії 2 та Nipro.</w:t>
      </w:r>
    </w:p>
    <w:p w:rsidR="00ED665B" w:rsidRPr="009D59CA" w:rsidRDefault="00F67B06" w:rsidP="00F67B06">
      <w:pPr>
        <w:spacing w:after="120"/>
        <w:jc w:val="both"/>
        <w:rPr>
          <w:rFonts w:ascii="Calibri" w:hAnsi="Calibri" w:cs="Calibri"/>
          <w:b/>
          <w:bCs/>
          <w:color w:val="636466"/>
          <w:sz w:val="24"/>
          <w:szCs w:val="22"/>
        </w:rPr>
      </w:pPr>
      <w:r w:rsidRPr="009D59CA">
        <w:rPr>
          <w:rFonts w:ascii="Calibri" w:hAnsi="Calibri"/>
          <w:b/>
          <w:color w:val="636466"/>
          <w:sz w:val="24"/>
        </w:rPr>
        <w:t>Рис. 2.3.5. Приклади показань зчитування смужки лінійного зонд-аналізу: (a) Hain GenoType MTBDR</w:t>
      </w:r>
      <w:r w:rsidR="00BE6F5B" w:rsidRPr="009D59CA">
        <w:rPr>
          <w:rFonts w:ascii="Calibri" w:hAnsi="Calibri"/>
          <w:b/>
          <w:i/>
          <w:color w:val="636466"/>
          <w:sz w:val="24"/>
        </w:rPr>
        <w:t>plus</w:t>
      </w:r>
      <w:r w:rsidRPr="009D59CA">
        <w:rPr>
          <w:rFonts w:ascii="Calibri" w:hAnsi="Calibri"/>
          <w:b/>
          <w:color w:val="636466"/>
          <w:sz w:val="24"/>
        </w:rPr>
        <w:t xml:space="preserve"> версії 1 та версії 2 (Hain Lifescience, Nehren, Німеччина) та (б) діагностичний набір 2 Nipro NTM + MDRTB (Nipro, Токіо,</w:t>
      </w:r>
      <w:r w:rsidRPr="009D59CA">
        <w:rPr>
          <w:rFonts w:ascii="Calibri" w:hAnsi="Calibri"/>
          <w:b/>
          <w:color w:val="000000"/>
          <w:sz w:val="28"/>
        </w:rPr>
        <w:t xml:space="preserve"> </w:t>
      </w:r>
      <w:r w:rsidRPr="009D59CA">
        <w:rPr>
          <w:rFonts w:ascii="Calibri" w:hAnsi="Calibri"/>
          <w:b/>
          <w:color w:val="636466"/>
          <w:sz w:val="24"/>
        </w:rPr>
        <w:t>Японія)</w:t>
      </w:r>
    </w:p>
    <w:tbl>
      <w:tblPr>
        <w:tblW w:w="0" w:type="auto"/>
        <w:tblInd w:w="40" w:type="dxa"/>
        <w:tblLayout w:type="fixed"/>
        <w:tblCellMar>
          <w:left w:w="40" w:type="dxa"/>
          <w:right w:w="40" w:type="dxa"/>
        </w:tblCellMar>
        <w:tblLook w:val="0000" w:firstRow="0" w:lastRow="0" w:firstColumn="0" w:lastColumn="0" w:noHBand="0" w:noVBand="0"/>
      </w:tblPr>
      <w:tblGrid>
        <w:gridCol w:w="9187"/>
      </w:tblGrid>
      <w:tr w:rsidR="00ED665B" w:rsidRPr="00907702">
        <w:trPr>
          <w:trHeight w:hRule="exact" w:val="6010"/>
        </w:trPr>
        <w:tc>
          <w:tcPr>
            <w:tcW w:w="9187" w:type="dxa"/>
            <w:tcBorders>
              <w:top w:val="nil"/>
              <w:left w:val="nil"/>
              <w:bottom w:val="nil"/>
              <w:right w:val="nil"/>
            </w:tcBorders>
            <w:shd w:val="clear" w:color="auto" w:fill="FFFFFF"/>
          </w:tcPr>
          <w:p w:rsidR="00ED665B" w:rsidRPr="00907702" w:rsidRDefault="00B537E4" w:rsidP="00DC2656">
            <w:pPr>
              <w:framePr w:h="6452" w:hSpace="38" w:wrap="auto" w:vAnchor="text" w:hAnchor="text" w:x="-71" w:y="582"/>
              <w:rPr>
                <w:rFonts w:ascii="Calibri" w:hAnsi="Calibri" w:cs="Calibri"/>
              </w:rPr>
            </w:pPr>
            <w:r>
              <w:rPr>
                <w:rFonts w:ascii="Calibri" w:hAnsi="Calibri"/>
                <w:b/>
                <w:noProof/>
                <w:color w:val="000000"/>
                <w:sz w:val="24"/>
                <w:lang w:val="en-US" w:bidi="ar-SA"/>
              </w:rPr>
              <mc:AlternateContent>
                <mc:Choice Requires="wps">
                  <w:drawing>
                    <wp:anchor distT="0" distB="0" distL="114300" distR="114300" simplePos="0" relativeHeight="251767808" behindDoc="0" locked="0" layoutInCell="1" allowOverlap="1" wp14:anchorId="246C250C" wp14:editId="63D5F3C1">
                      <wp:simplePos x="0" y="0"/>
                      <wp:positionH relativeFrom="page">
                        <wp:posOffset>3509314</wp:posOffset>
                      </wp:positionH>
                      <wp:positionV relativeFrom="page">
                        <wp:posOffset>2082165</wp:posOffset>
                      </wp:positionV>
                      <wp:extent cx="206734" cy="143124"/>
                      <wp:effectExtent l="0" t="0" r="3175" b="9525"/>
                      <wp:wrapNone/>
                      <wp:docPr id="513" name="Надпись 513"/>
                      <wp:cNvGraphicFramePr/>
                      <a:graphic xmlns:a="http://schemas.openxmlformats.org/drawingml/2006/main">
                        <a:graphicData uri="http://schemas.microsoft.com/office/word/2010/wordprocessingShape">
                          <wps:wsp>
                            <wps:cNvSpPr txBox="1"/>
                            <wps:spPr>
                              <a:xfrm>
                                <a:off x="0" y="0"/>
                                <a:ext cx="206734" cy="143124"/>
                              </a:xfrm>
                              <a:prstGeom prst="rect">
                                <a:avLst/>
                              </a:prstGeom>
                              <a:solidFill>
                                <a:schemeClr val="lt1"/>
                              </a:solidFill>
                              <a:ln w="6350">
                                <a:noFill/>
                              </a:ln>
                            </wps:spPr>
                            <wps:txbx>
                              <w:txbxContent>
                                <w:p w:rsidR="00BE6F5B" w:rsidRPr="00C955FF" w:rsidRDefault="00BE6F5B" w:rsidP="00C955FF">
                                  <w:pPr>
                                    <w:spacing w:after="60"/>
                                    <w:jc w:val="right"/>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C250C" id="Надпись 513" o:spid="_x0000_s1077" type="#_x0000_t202" style="position:absolute;margin-left:276.3pt;margin-top:163.95pt;width:16.3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" fillcolor="white [3201]" stroked="f" strokeweight=".5pt">
                      <v:textbox inset="0,0,0,0">
                        <w:txbxContent>
                          <w:p w:rsidR="00BE6F5B" w:rsidRPr="00C955FF" w:rsidRDefault="00BE6F5B" w:rsidP="00C955FF">
                            <w:pPr>
                              <w:spacing w:after="60"/>
                              <w:jc w:val="right"/>
                              <w:rPr>
                                <w:sz w:val="12"/>
                                <w:szCs w:val="12"/>
                              </w:rPr>
                            </w:pPr>
                          </w:p>
                        </w:txbxContent>
                      </v:textbox>
                      <w10:wrap anchorx="page" anchory="page"/>
                    </v:shape>
                  </w:pict>
                </mc:Fallback>
              </mc:AlternateContent>
            </w:r>
            <w:r>
              <w:rPr>
                <w:rFonts w:ascii="Calibri" w:hAnsi="Calibri"/>
                <w:b/>
                <w:noProof/>
                <w:color w:val="000000"/>
                <w:sz w:val="24"/>
                <w:lang w:val="en-US" w:bidi="ar-SA"/>
              </w:rPr>
              <mc:AlternateContent>
                <mc:Choice Requires="wps">
                  <w:drawing>
                    <wp:anchor distT="0" distB="0" distL="114300" distR="114300" simplePos="0" relativeHeight="251744256" behindDoc="0" locked="0" layoutInCell="1" allowOverlap="1" wp14:anchorId="6C45EA11" wp14:editId="513176B3">
                      <wp:simplePos x="0" y="0"/>
                      <wp:positionH relativeFrom="page">
                        <wp:posOffset>3669306</wp:posOffset>
                      </wp:positionH>
                      <wp:positionV relativeFrom="page">
                        <wp:posOffset>2020349</wp:posOffset>
                      </wp:positionV>
                      <wp:extent cx="727075" cy="700405"/>
                      <wp:effectExtent l="0" t="0" r="0" b="4445"/>
                      <wp:wrapNone/>
                      <wp:docPr id="250" name="Надпись 250"/>
                      <wp:cNvGraphicFramePr/>
                      <a:graphic xmlns:a="http://schemas.openxmlformats.org/drawingml/2006/main">
                        <a:graphicData uri="http://schemas.microsoft.com/office/word/2010/wordprocessingShape">
                          <wps:wsp>
                            <wps:cNvSpPr txBox="1"/>
                            <wps:spPr>
                              <a:xfrm>
                                <a:off x="0" y="0"/>
                                <a:ext cx="727075" cy="700405"/>
                              </a:xfrm>
                              <a:prstGeom prst="rect">
                                <a:avLst/>
                              </a:prstGeom>
                              <a:solidFill>
                                <a:schemeClr val="lt1"/>
                              </a:solidFill>
                              <a:ln w="6350">
                                <a:noFill/>
                              </a:ln>
                            </wps:spPr>
                            <wps:txbx>
                              <w:txbxContent>
                                <w:p w:rsidR="00BE6F5B" w:rsidRDefault="00BE6F5B" w:rsidP="00B1493F">
                                  <w:pPr>
                                    <w:jc w:val="right"/>
                                    <w:rPr>
                                      <w:sz w:val="12"/>
                                    </w:rPr>
                                  </w:pPr>
                                  <w:r>
                                    <w:rPr>
                                      <w:sz w:val="12"/>
                                    </w:rPr>
                                    <w:t xml:space="preserve">локусний </w:t>
                                  </w:r>
                                </w:p>
                                <w:p w:rsidR="00BE6F5B" w:rsidRPr="00C955FF" w:rsidRDefault="00BE6F5B" w:rsidP="00C955FF">
                                  <w:pPr>
                                    <w:spacing w:after="60"/>
                                    <w:jc w:val="right"/>
                                    <w:rPr>
                                      <w:sz w:val="12"/>
                                      <w:szCs w:val="12"/>
                                    </w:rPr>
                                  </w:pPr>
                                  <w:r>
                                    <w:rPr>
                                      <w:sz w:val="12"/>
                                    </w:rPr>
                                    <w:t>контроль katG</w:t>
                                  </w:r>
                                </w:p>
                                <w:p w:rsidR="00BE6F5B" w:rsidRDefault="00BE6F5B" w:rsidP="00C955FF">
                                  <w:pPr>
                                    <w:spacing w:after="60"/>
                                    <w:jc w:val="right"/>
                                    <w:rPr>
                                      <w:sz w:val="12"/>
                                      <w:szCs w:val="12"/>
                                    </w:rPr>
                                  </w:pPr>
                                  <w:r>
                                    <w:rPr>
                                      <w:sz w:val="12"/>
                                    </w:rPr>
                                    <w:t>зонд S7 katG</w:t>
                                  </w:r>
                                </w:p>
                                <w:p w:rsidR="00BE6F5B" w:rsidRDefault="00BE6F5B" w:rsidP="00C955FF">
                                  <w:pPr>
                                    <w:spacing w:after="60"/>
                                    <w:jc w:val="right"/>
                                    <w:rPr>
                                      <w:sz w:val="12"/>
                                      <w:szCs w:val="12"/>
                                    </w:rPr>
                                  </w:pPr>
                                  <w:r>
                                    <w:rPr>
                                      <w:sz w:val="12"/>
                                    </w:rPr>
                                    <w:t>зонд S8 katG</w:t>
                                  </w:r>
                                </w:p>
                                <w:p w:rsidR="00BE6F5B" w:rsidRDefault="00BE6F5B" w:rsidP="00C955FF">
                                  <w:pPr>
                                    <w:spacing w:after="60"/>
                                    <w:jc w:val="right"/>
                                    <w:rPr>
                                      <w:sz w:val="12"/>
                                      <w:szCs w:val="12"/>
                                    </w:rPr>
                                  </w:pPr>
                                  <w:r>
                                    <w:rPr>
                                      <w:sz w:val="12"/>
                                    </w:rPr>
                                    <w:t>зонд S9 katG</w:t>
                                  </w:r>
                                </w:p>
                                <w:p w:rsidR="00BE6F5B" w:rsidRPr="00C955FF" w:rsidRDefault="00BE6F5B" w:rsidP="00C955FF">
                                  <w:pPr>
                                    <w:spacing w:after="60"/>
                                    <w:jc w:val="right"/>
                                    <w:rPr>
                                      <w:sz w:val="12"/>
                                      <w:szCs w:val="12"/>
                                    </w:rPr>
                                  </w:pPr>
                                  <w:r>
                                    <w:rPr>
                                      <w:sz w:val="12"/>
                                    </w:rPr>
                                    <w:t>зонд S10 katG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EA11" id="Надпись 250" o:spid="_x0000_s1078" type="#_x0000_t202" style="position:absolute;margin-left:288.9pt;margin-top:159.1pt;width:57.25pt;height:55.1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" fillcolor="white [3201]" stroked="f" strokeweight=".5pt">
                      <v:textbox inset="0,0,0,0">
                        <w:txbxContent>
                          <w:p w:rsidR="00BE6F5B" w:rsidRDefault="00BE6F5B" w:rsidP="00B1493F">
                            <w:pPr>
                              <w:jc w:val="right"/>
                              <w:rPr>
                                <w:sz w:val="12"/>
                              </w:rPr>
                            </w:pPr>
                            <w:r>
                              <w:rPr>
                                <w:sz w:val="12"/>
                              </w:rPr>
                              <w:t xml:space="preserve">локусний </w:t>
                            </w:r>
                          </w:p>
                          <w:p w:rsidR="00BE6F5B" w:rsidRPr="00C955FF" w:rsidRDefault="00BE6F5B" w:rsidP="00C955FF">
                            <w:pPr>
                              <w:spacing w:after="60"/>
                              <w:jc w:val="right"/>
                              <w:rPr>
                                <w:sz w:val="12"/>
                                <w:szCs w:val="12"/>
                              </w:rPr>
                            </w:pPr>
                            <w:r>
                              <w:rPr>
                                <w:sz w:val="12"/>
                              </w:rPr>
                              <w:t>контроль katG</w:t>
                            </w:r>
                          </w:p>
                          <w:p w:rsidR="00BE6F5B" w:rsidRDefault="00BE6F5B" w:rsidP="00C955FF">
                            <w:pPr>
                              <w:spacing w:after="60"/>
                              <w:jc w:val="right"/>
                              <w:rPr>
                                <w:sz w:val="12"/>
                                <w:szCs w:val="12"/>
                              </w:rPr>
                            </w:pPr>
                            <w:r>
                              <w:rPr>
                                <w:sz w:val="12"/>
                              </w:rPr>
                              <w:t>зонд S7 katG</w:t>
                            </w:r>
                          </w:p>
                          <w:p w:rsidR="00BE6F5B" w:rsidRDefault="00BE6F5B" w:rsidP="00C955FF">
                            <w:pPr>
                              <w:spacing w:after="60"/>
                              <w:jc w:val="right"/>
                              <w:rPr>
                                <w:sz w:val="12"/>
                                <w:szCs w:val="12"/>
                              </w:rPr>
                            </w:pPr>
                            <w:r>
                              <w:rPr>
                                <w:sz w:val="12"/>
                              </w:rPr>
                              <w:t>зонд S8 katG</w:t>
                            </w:r>
                          </w:p>
                          <w:p w:rsidR="00BE6F5B" w:rsidRDefault="00BE6F5B" w:rsidP="00C955FF">
                            <w:pPr>
                              <w:spacing w:after="60"/>
                              <w:jc w:val="right"/>
                              <w:rPr>
                                <w:sz w:val="12"/>
                                <w:szCs w:val="12"/>
                              </w:rPr>
                            </w:pPr>
                            <w:r>
                              <w:rPr>
                                <w:sz w:val="12"/>
                              </w:rPr>
                              <w:t>зонд S9 katG</w:t>
                            </w:r>
                          </w:p>
                          <w:p w:rsidR="00BE6F5B" w:rsidRPr="00C955FF" w:rsidRDefault="00BE6F5B" w:rsidP="00C955FF">
                            <w:pPr>
                              <w:spacing w:after="60"/>
                              <w:jc w:val="right"/>
                              <w:rPr>
                                <w:sz w:val="12"/>
                                <w:szCs w:val="12"/>
                              </w:rPr>
                            </w:pPr>
                            <w:r>
                              <w:rPr>
                                <w:sz w:val="12"/>
                              </w:rPr>
                              <w:t>зонд S10 katG</w:t>
                            </w:r>
                          </w:p>
                        </w:txbxContent>
                      </v:textbox>
                      <w10:wrap anchorx="page" anchory="page"/>
                    </v:shape>
                  </w:pict>
                </mc:Fallback>
              </mc:AlternateContent>
            </w:r>
            <w:r w:rsidR="00B1493F">
              <w:rPr>
                <w:rFonts w:ascii="Calibri" w:hAnsi="Calibri"/>
                <w:b/>
                <w:noProof/>
                <w:color w:val="000000"/>
                <w:sz w:val="24"/>
                <w:lang w:val="en-US" w:bidi="ar-SA"/>
              </w:rPr>
              <mc:AlternateContent>
                <mc:Choice Requires="wps">
                  <w:drawing>
                    <wp:anchor distT="0" distB="0" distL="114300" distR="114300" simplePos="0" relativeHeight="251750400" behindDoc="0" locked="0" layoutInCell="1" allowOverlap="1" wp14:anchorId="4F1EC5F6" wp14:editId="6A9D5F22">
                      <wp:simplePos x="0" y="0"/>
                      <wp:positionH relativeFrom="page">
                        <wp:posOffset>5031105</wp:posOffset>
                      </wp:positionH>
                      <wp:positionV relativeFrom="page">
                        <wp:posOffset>1054735</wp:posOffset>
                      </wp:positionV>
                      <wp:extent cx="727710" cy="506730"/>
                      <wp:effectExtent l="0" t="0" r="0" b="7620"/>
                      <wp:wrapNone/>
                      <wp:docPr id="254" name="Надпись 254"/>
                      <wp:cNvGraphicFramePr/>
                      <a:graphic xmlns:a="http://schemas.openxmlformats.org/drawingml/2006/main">
                        <a:graphicData uri="http://schemas.microsoft.com/office/word/2010/wordprocessingShape">
                          <wps:wsp>
                            <wps:cNvSpPr txBox="1"/>
                            <wps:spPr>
                              <a:xfrm>
                                <a:off x="0" y="0"/>
                                <a:ext cx="727710" cy="506730"/>
                              </a:xfrm>
                              <a:prstGeom prst="rect">
                                <a:avLst/>
                              </a:prstGeom>
                              <a:solidFill>
                                <a:schemeClr val="lt1"/>
                              </a:solidFill>
                              <a:ln w="6350">
                                <a:noFill/>
                              </a:ln>
                            </wps:spPr>
                            <wps:txbx>
                              <w:txbxContent>
                                <w:p w:rsidR="00BE6F5B" w:rsidRPr="00C955FF" w:rsidRDefault="00BE6F5B" w:rsidP="00C955FF">
                                  <w:pPr>
                                    <w:spacing w:after="60"/>
                                    <w:rPr>
                                      <w:sz w:val="12"/>
                                      <w:szCs w:val="12"/>
                                    </w:rPr>
                                  </w:pPr>
                                  <w:r>
                                    <w:rPr>
                                      <w:sz w:val="12"/>
                                    </w:rPr>
                                    <w:t>зонд R2 rpoB</w:t>
                                  </w:r>
                                </w:p>
                                <w:p w:rsidR="00BE6F5B" w:rsidRPr="00C955FF" w:rsidRDefault="00BE6F5B" w:rsidP="00C955FF">
                                  <w:pPr>
                                    <w:spacing w:after="60"/>
                                    <w:rPr>
                                      <w:sz w:val="12"/>
                                      <w:szCs w:val="12"/>
                                    </w:rPr>
                                  </w:pPr>
                                  <w:r>
                                    <w:rPr>
                                      <w:sz w:val="12"/>
                                    </w:rPr>
                                    <w:t>зонд R4a rpoB</w:t>
                                  </w:r>
                                </w:p>
                                <w:p w:rsidR="00BE6F5B" w:rsidRPr="00C955FF" w:rsidRDefault="00BE6F5B" w:rsidP="00C955FF">
                                  <w:pPr>
                                    <w:spacing w:after="60"/>
                                    <w:rPr>
                                      <w:sz w:val="12"/>
                                      <w:szCs w:val="12"/>
                                    </w:rPr>
                                  </w:pPr>
                                  <w:r>
                                    <w:rPr>
                                      <w:sz w:val="12"/>
                                    </w:rPr>
                                    <w:t>зонд R4b rpoB</w:t>
                                  </w:r>
                                </w:p>
                                <w:p w:rsidR="00BE6F5B" w:rsidRPr="00C955FF" w:rsidRDefault="00BE6F5B" w:rsidP="00C955FF">
                                  <w:pPr>
                                    <w:spacing w:after="60"/>
                                    <w:rPr>
                                      <w:sz w:val="12"/>
                                      <w:szCs w:val="12"/>
                                    </w:rPr>
                                  </w:pPr>
                                  <w:r>
                                    <w:rPr>
                                      <w:sz w:val="12"/>
                                    </w:rPr>
                                    <w:t>зонд R5 rpoB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EC5F6" id="Надпись 254" o:spid="_x0000_s1079" type="#_x0000_t202" style="position:absolute;margin-left:396.15pt;margin-top:83.05pt;width:57.3pt;height:39.9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" fillcolor="white [3201]" stroked="f" strokeweight=".5pt">
                      <v:textbox inset="0,0,0,0">
                        <w:txbxContent>
                          <w:p w:rsidR="00BE6F5B" w:rsidRPr="00C955FF" w:rsidRDefault="00BE6F5B" w:rsidP="00C955FF">
                            <w:pPr>
                              <w:spacing w:after="60"/>
                              <w:rPr>
                                <w:sz w:val="12"/>
                                <w:szCs w:val="12"/>
                              </w:rPr>
                            </w:pPr>
                            <w:r>
                              <w:rPr>
                                <w:sz w:val="12"/>
                              </w:rPr>
                              <w:t>зонд R2 rpoB</w:t>
                            </w:r>
                          </w:p>
                          <w:p w:rsidR="00BE6F5B" w:rsidRPr="00C955FF" w:rsidRDefault="00BE6F5B" w:rsidP="00C955FF">
                            <w:pPr>
                              <w:spacing w:after="60"/>
                              <w:rPr>
                                <w:sz w:val="12"/>
                                <w:szCs w:val="12"/>
                              </w:rPr>
                            </w:pPr>
                            <w:r>
                              <w:rPr>
                                <w:sz w:val="12"/>
                              </w:rPr>
                              <w:t>зонд R4a rpoB</w:t>
                            </w:r>
                          </w:p>
                          <w:p w:rsidR="00BE6F5B" w:rsidRPr="00C955FF" w:rsidRDefault="00BE6F5B" w:rsidP="00C955FF">
                            <w:pPr>
                              <w:spacing w:after="60"/>
                              <w:rPr>
                                <w:sz w:val="12"/>
                                <w:szCs w:val="12"/>
                              </w:rPr>
                            </w:pPr>
                            <w:r>
                              <w:rPr>
                                <w:sz w:val="12"/>
                              </w:rPr>
                              <w:t>зонд R4b rpoB</w:t>
                            </w:r>
                          </w:p>
                          <w:p w:rsidR="00BE6F5B" w:rsidRPr="00C955FF" w:rsidRDefault="00BE6F5B" w:rsidP="00C955FF">
                            <w:pPr>
                              <w:spacing w:after="60"/>
                              <w:rPr>
                                <w:sz w:val="12"/>
                                <w:szCs w:val="12"/>
                              </w:rPr>
                            </w:pPr>
                            <w:r>
                              <w:rPr>
                                <w:sz w:val="12"/>
                              </w:rPr>
                              <w:t>зонд R5 rpoB</w:t>
                            </w:r>
                          </w:p>
                        </w:txbxContent>
                      </v:textbox>
                      <w10:wrap anchorx="page" anchory="page"/>
                    </v:shape>
                  </w:pict>
                </mc:Fallback>
              </mc:AlternateContent>
            </w:r>
            <w:r w:rsidR="00B1493F">
              <w:rPr>
                <w:rFonts w:ascii="Calibri" w:hAnsi="Calibri"/>
                <w:b/>
                <w:noProof/>
                <w:color w:val="000000"/>
                <w:sz w:val="24"/>
                <w:lang w:val="en-US" w:bidi="ar-SA"/>
              </w:rPr>
              <mc:AlternateContent>
                <mc:Choice Requires="wps">
                  <w:drawing>
                    <wp:anchor distT="0" distB="0" distL="114300" distR="114300" simplePos="0" relativeHeight="251752448" behindDoc="0" locked="0" layoutInCell="1" allowOverlap="1" wp14:anchorId="3257835A" wp14:editId="6256F207">
                      <wp:simplePos x="0" y="0"/>
                      <wp:positionH relativeFrom="page">
                        <wp:posOffset>5020310</wp:posOffset>
                      </wp:positionH>
                      <wp:positionV relativeFrom="page">
                        <wp:posOffset>441960</wp:posOffset>
                      </wp:positionV>
                      <wp:extent cx="727710" cy="506730"/>
                      <wp:effectExtent l="0" t="0" r="0" b="7620"/>
                      <wp:wrapNone/>
                      <wp:docPr id="255" name="Надпись 255"/>
                      <wp:cNvGraphicFramePr/>
                      <a:graphic xmlns:a="http://schemas.openxmlformats.org/drawingml/2006/main">
                        <a:graphicData uri="http://schemas.microsoft.com/office/word/2010/wordprocessingShape">
                          <wps:wsp>
                            <wps:cNvSpPr txBox="1"/>
                            <wps:spPr>
                              <a:xfrm>
                                <a:off x="0" y="0"/>
                                <a:ext cx="727710" cy="506730"/>
                              </a:xfrm>
                              <a:prstGeom prst="rect">
                                <a:avLst/>
                              </a:prstGeom>
                              <a:solidFill>
                                <a:schemeClr val="lt1"/>
                              </a:solidFill>
                              <a:ln w="6350">
                                <a:noFill/>
                              </a:ln>
                            </wps:spPr>
                            <wps:txbx>
                              <w:txbxContent>
                                <w:p w:rsidR="00BE6F5B" w:rsidRPr="00C955FF" w:rsidRDefault="00BE6F5B" w:rsidP="00C955FF">
                                  <w:pPr>
                                    <w:spacing w:after="60"/>
                                    <w:rPr>
                                      <w:sz w:val="12"/>
                                      <w:szCs w:val="12"/>
                                    </w:rPr>
                                  </w:pPr>
                                  <w:r>
                                    <w:rPr>
                                      <w:sz w:val="12"/>
                                    </w:rPr>
                                    <w:t>зонд avi</w:t>
                                  </w:r>
                                </w:p>
                                <w:p w:rsidR="00BE6F5B" w:rsidRPr="00C955FF" w:rsidRDefault="00BE6F5B" w:rsidP="00C955FF">
                                  <w:pPr>
                                    <w:spacing w:after="60"/>
                                    <w:rPr>
                                      <w:sz w:val="12"/>
                                      <w:szCs w:val="12"/>
                                    </w:rPr>
                                  </w:pPr>
                                  <w:r>
                                    <w:rPr>
                                      <w:sz w:val="12"/>
                                    </w:rPr>
                                    <w:t>зонд int</w:t>
                                  </w:r>
                                </w:p>
                                <w:p w:rsidR="00BE6F5B" w:rsidRPr="00C955FF" w:rsidRDefault="00BE6F5B" w:rsidP="00C955FF">
                                  <w:pPr>
                                    <w:spacing w:after="60"/>
                                    <w:rPr>
                                      <w:sz w:val="12"/>
                                      <w:szCs w:val="12"/>
                                    </w:rPr>
                                  </w:pPr>
                                  <w:r>
                                    <w:rPr>
                                      <w:sz w:val="12"/>
                                    </w:rPr>
                                    <w:t>зонд kan</w:t>
                                  </w:r>
                                </w:p>
                                <w:p w:rsidR="00BE6F5B" w:rsidRPr="00C955FF" w:rsidRDefault="00BE6F5B" w:rsidP="00C955FF">
                                  <w:pPr>
                                    <w:spacing w:after="60"/>
                                    <w:rPr>
                                      <w:sz w:val="12"/>
                                      <w:szCs w:val="12"/>
                                    </w:rPr>
                                  </w:pPr>
                                  <w:r>
                                    <w:rPr>
                                      <w:sz w:val="12"/>
                                    </w:rPr>
                                    <w:t>зонд TБ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7835A" id="Надпись 255" o:spid="_x0000_s1080" type="#_x0000_t202" style="position:absolute;margin-left:395.3pt;margin-top:34.8pt;width:57.3pt;height:39.9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" fillcolor="white [3201]" stroked="f" strokeweight=".5pt">
                      <v:textbox inset="0,0,0,0">
                        <w:txbxContent>
                          <w:p w:rsidR="00BE6F5B" w:rsidRPr="00C955FF" w:rsidRDefault="00BE6F5B" w:rsidP="00C955FF">
                            <w:pPr>
                              <w:spacing w:after="60"/>
                              <w:rPr>
                                <w:sz w:val="12"/>
                                <w:szCs w:val="12"/>
                              </w:rPr>
                            </w:pPr>
                            <w:r>
                              <w:rPr>
                                <w:sz w:val="12"/>
                              </w:rPr>
                              <w:t>зонд avi</w:t>
                            </w:r>
                          </w:p>
                          <w:p w:rsidR="00BE6F5B" w:rsidRPr="00C955FF" w:rsidRDefault="00BE6F5B" w:rsidP="00C955FF">
                            <w:pPr>
                              <w:spacing w:after="60"/>
                              <w:rPr>
                                <w:sz w:val="12"/>
                                <w:szCs w:val="12"/>
                              </w:rPr>
                            </w:pPr>
                            <w:r>
                              <w:rPr>
                                <w:sz w:val="12"/>
                              </w:rPr>
                              <w:t>зонд int</w:t>
                            </w:r>
                          </w:p>
                          <w:p w:rsidR="00BE6F5B" w:rsidRPr="00C955FF" w:rsidRDefault="00BE6F5B" w:rsidP="00C955FF">
                            <w:pPr>
                              <w:spacing w:after="60"/>
                              <w:rPr>
                                <w:sz w:val="12"/>
                                <w:szCs w:val="12"/>
                              </w:rPr>
                            </w:pPr>
                            <w:r>
                              <w:rPr>
                                <w:sz w:val="12"/>
                              </w:rPr>
                              <w:t>зонд kan</w:t>
                            </w:r>
                          </w:p>
                          <w:p w:rsidR="00BE6F5B" w:rsidRPr="00C955FF" w:rsidRDefault="00BE6F5B" w:rsidP="00C955FF">
                            <w:pPr>
                              <w:spacing w:after="60"/>
                              <w:rPr>
                                <w:sz w:val="12"/>
                                <w:szCs w:val="12"/>
                              </w:rPr>
                            </w:pPr>
                            <w:r>
                              <w:rPr>
                                <w:sz w:val="12"/>
                              </w:rPr>
                              <w:t>зонд TБ</w:t>
                            </w:r>
                          </w:p>
                        </w:txbxContent>
                      </v:textbox>
                      <w10:wrap anchorx="page" anchory="page"/>
                    </v:shape>
                  </w:pict>
                </mc:Fallback>
              </mc:AlternateContent>
            </w:r>
            <w:r w:rsidR="00B1493F">
              <w:rPr>
                <w:rFonts w:ascii="Calibri" w:hAnsi="Calibri"/>
                <w:b/>
                <w:noProof/>
                <w:color w:val="000000"/>
                <w:sz w:val="24"/>
                <w:lang w:val="en-US" w:bidi="ar-SA"/>
              </w:rPr>
              <mc:AlternateContent>
                <mc:Choice Requires="wps">
                  <w:drawing>
                    <wp:anchor distT="0" distB="0" distL="114300" distR="114300" simplePos="0" relativeHeight="251742208" behindDoc="0" locked="0" layoutInCell="1" allowOverlap="1" wp14:anchorId="3C8FEAAF" wp14:editId="782B03E0">
                      <wp:simplePos x="0" y="0"/>
                      <wp:positionH relativeFrom="page">
                        <wp:posOffset>3529330</wp:posOffset>
                      </wp:positionH>
                      <wp:positionV relativeFrom="page">
                        <wp:posOffset>1661795</wp:posOffset>
                      </wp:positionV>
                      <wp:extent cx="854710" cy="255270"/>
                      <wp:effectExtent l="0" t="0" r="2540" b="0"/>
                      <wp:wrapNone/>
                      <wp:docPr id="249" name="Надпись 249"/>
                      <wp:cNvGraphicFramePr/>
                      <a:graphic xmlns:a="http://schemas.openxmlformats.org/drawingml/2006/main">
                        <a:graphicData uri="http://schemas.microsoft.com/office/word/2010/wordprocessingShape">
                          <wps:wsp>
                            <wps:cNvSpPr txBox="1"/>
                            <wps:spPr>
                              <a:xfrm>
                                <a:off x="0" y="0"/>
                                <a:ext cx="854710" cy="255270"/>
                              </a:xfrm>
                              <a:prstGeom prst="rect">
                                <a:avLst/>
                              </a:prstGeom>
                              <a:solidFill>
                                <a:schemeClr val="lt1"/>
                              </a:solidFill>
                              <a:ln w="6350">
                                <a:noFill/>
                              </a:ln>
                            </wps:spPr>
                            <wps:txbx>
                              <w:txbxContent>
                                <w:p w:rsidR="00BE6F5B" w:rsidRPr="00C955FF" w:rsidRDefault="00BE6F5B" w:rsidP="00C955FF">
                                  <w:pPr>
                                    <w:spacing w:after="60"/>
                                    <w:jc w:val="right"/>
                                    <w:rPr>
                                      <w:sz w:val="12"/>
                                      <w:szCs w:val="12"/>
                                    </w:rPr>
                                  </w:pPr>
                                  <w:r>
                                    <w:rPr>
                                      <w:sz w:val="12"/>
                                    </w:rPr>
                                    <w:t>локусний контроль inhA</w:t>
                                  </w:r>
                                </w:p>
                                <w:p w:rsidR="00BE6F5B" w:rsidRPr="00C955FF" w:rsidRDefault="00BE6F5B" w:rsidP="00C955FF">
                                  <w:pPr>
                                    <w:spacing w:after="60"/>
                                    <w:jc w:val="right"/>
                                    <w:rPr>
                                      <w:sz w:val="12"/>
                                      <w:szCs w:val="12"/>
                                    </w:rPr>
                                  </w:pPr>
                                  <w:r>
                                    <w:rPr>
                                      <w:sz w:val="12"/>
                                    </w:rPr>
                                    <w:t>зонд S6 inhA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FEAAF" id="Надпись 249" o:spid="_x0000_s1081" type="#_x0000_t202" style="position:absolute;margin-left:277.9pt;margin-top:130.85pt;width:67.3pt;height:20.1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" fillcolor="white [3201]" stroked="f" strokeweight=".5pt">
                      <v:textbox inset="0,0,0,0">
                        <w:txbxContent>
                          <w:p w:rsidR="00BE6F5B" w:rsidRPr="00C955FF" w:rsidRDefault="00BE6F5B" w:rsidP="00C955FF">
                            <w:pPr>
                              <w:spacing w:after="60"/>
                              <w:jc w:val="right"/>
                              <w:rPr>
                                <w:sz w:val="12"/>
                                <w:szCs w:val="12"/>
                              </w:rPr>
                            </w:pPr>
                            <w:r>
                              <w:rPr>
                                <w:sz w:val="12"/>
                              </w:rPr>
                              <w:t>локусний контроль inhA</w:t>
                            </w:r>
                          </w:p>
                          <w:p w:rsidR="00BE6F5B" w:rsidRPr="00C955FF" w:rsidRDefault="00BE6F5B" w:rsidP="00C955FF">
                            <w:pPr>
                              <w:spacing w:after="60"/>
                              <w:jc w:val="right"/>
                              <w:rPr>
                                <w:sz w:val="12"/>
                                <w:szCs w:val="12"/>
                              </w:rPr>
                            </w:pPr>
                            <w:r>
                              <w:rPr>
                                <w:sz w:val="12"/>
                              </w:rPr>
                              <w:t>зонд S6 inhA</w:t>
                            </w:r>
                          </w:p>
                        </w:txbxContent>
                      </v:textbox>
                      <w10:wrap anchorx="page" anchory="page"/>
                    </v:shape>
                  </w:pict>
                </mc:Fallback>
              </mc:AlternateContent>
            </w:r>
            <w:r w:rsidR="00B1493F">
              <w:rPr>
                <w:rFonts w:ascii="Calibri" w:hAnsi="Calibri"/>
                <w:b/>
                <w:noProof/>
                <w:color w:val="000000"/>
                <w:sz w:val="24"/>
                <w:lang w:val="en-US" w:bidi="ar-SA"/>
              </w:rPr>
              <mc:AlternateContent>
                <mc:Choice Requires="wps">
                  <w:drawing>
                    <wp:anchor distT="0" distB="0" distL="114300" distR="114300" simplePos="0" relativeHeight="251740160" behindDoc="0" locked="0" layoutInCell="1" allowOverlap="1" wp14:anchorId="2540B372" wp14:editId="3E30D4B0">
                      <wp:simplePos x="0" y="0"/>
                      <wp:positionH relativeFrom="page">
                        <wp:posOffset>3445841</wp:posOffset>
                      </wp:positionH>
                      <wp:positionV relativeFrom="page">
                        <wp:posOffset>803275</wp:posOffset>
                      </wp:positionV>
                      <wp:extent cx="941705" cy="788670"/>
                      <wp:effectExtent l="0" t="0" r="0" b="0"/>
                      <wp:wrapNone/>
                      <wp:docPr id="248" name="Надпись 248"/>
                      <wp:cNvGraphicFramePr/>
                      <a:graphic xmlns:a="http://schemas.openxmlformats.org/drawingml/2006/main">
                        <a:graphicData uri="http://schemas.microsoft.com/office/word/2010/wordprocessingShape">
                          <wps:wsp>
                            <wps:cNvSpPr txBox="1"/>
                            <wps:spPr>
                              <a:xfrm>
                                <a:off x="0" y="0"/>
                                <a:ext cx="941705" cy="788670"/>
                              </a:xfrm>
                              <a:prstGeom prst="rect">
                                <a:avLst/>
                              </a:prstGeom>
                              <a:solidFill>
                                <a:schemeClr val="lt1"/>
                              </a:solidFill>
                              <a:ln w="6350">
                                <a:noFill/>
                              </a:ln>
                            </wps:spPr>
                            <wps:txbx>
                              <w:txbxContent>
                                <w:p w:rsidR="00BE6F5B" w:rsidRPr="00C955FF" w:rsidRDefault="00BE6F5B" w:rsidP="00C955FF">
                                  <w:pPr>
                                    <w:spacing w:after="60"/>
                                    <w:jc w:val="right"/>
                                    <w:rPr>
                                      <w:sz w:val="12"/>
                                      <w:szCs w:val="12"/>
                                    </w:rPr>
                                  </w:pPr>
                                  <w:r>
                                    <w:rPr>
                                      <w:sz w:val="12"/>
                                    </w:rPr>
                                    <w:t>локусний контроль rpoB</w:t>
                                  </w:r>
                                </w:p>
                                <w:p w:rsidR="00BE6F5B" w:rsidRDefault="00BE6F5B" w:rsidP="00C955FF">
                                  <w:pPr>
                                    <w:spacing w:after="60"/>
                                    <w:jc w:val="right"/>
                                    <w:rPr>
                                      <w:sz w:val="12"/>
                                      <w:szCs w:val="12"/>
                                    </w:rPr>
                                  </w:pPr>
                                  <w:r>
                                    <w:rPr>
                                      <w:sz w:val="12"/>
                                    </w:rPr>
                                    <w:t>зонд S1 rpoB</w:t>
                                  </w:r>
                                </w:p>
                                <w:p w:rsidR="00BE6F5B" w:rsidRDefault="00BE6F5B" w:rsidP="00C955FF">
                                  <w:pPr>
                                    <w:spacing w:after="60"/>
                                    <w:jc w:val="right"/>
                                    <w:rPr>
                                      <w:sz w:val="12"/>
                                      <w:szCs w:val="12"/>
                                    </w:rPr>
                                  </w:pPr>
                                  <w:r>
                                    <w:rPr>
                                      <w:sz w:val="12"/>
                                    </w:rPr>
                                    <w:t>зонд S2 rpoB</w:t>
                                  </w:r>
                                </w:p>
                                <w:p w:rsidR="00BE6F5B" w:rsidRDefault="00BE6F5B" w:rsidP="00C955FF">
                                  <w:pPr>
                                    <w:spacing w:after="60"/>
                                    <w:jc w:val="right"/>
                                    <w:rPr>
                                      <w:sz w:val="12"/>
                                      <w:szCs w:val="12"/>
                                    </w:rPr>
                                  </w:pPr>
                                  <w:r>
                                    <w:rPr>
                                      <w:sz w:val="12"/>
                                    </w:rPr>
                                    <w:t>зонд S3 rpoB</w:t>
                                  </w:r>
                                </w:p>
                                <w:p w:rsidR="00BE6F5B" w:rsidRDefault="00BE6F5B" w:rsidP="00C955FF">
                                  <w:pPr>
                                    <w:spacing w:after="60"/>
                                    <w:jc w:val="right"/>
                                    <w:rPr>
                                      <w:sz w:val="12"/>
                                      <w:szCs w:val="12"/>
                                    </w:rPr>
                                  </w:pPr>
                                  <w:r>
                                    <w:rPr>
                                      <w:sz w:val="12"/>
                                    </w:rPr>
                                    <w:t>зонд S4 rpoB</w:t>
                                  </w:r>
                                </w:p>
                                <w:p w:rsidR="00BE6F5B" w:rsidRPr="00C955FF" w:rsidRDefault="00BE6F5B" w:rsidP="00C955FF">
                                  <w:pPr>
                                    <w:spacing w:after="60"/>
                                    <w:jc w:val="right"/>
                                    <w:rPr>
                                      <w:sz w:val="12"/>
                                      <w:szCs w:val="12"/>
                                    </w:rPr>
                                  </w:pPr>
                                  <w:r>
                                    <w:rPr>
                                      <w:sz w:val="12"/>
                                    </w:rPr>
                                    <w:t>зонд S5 rpoB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0B372" id="Надпись 248" o:spid="_x0000_s1082" type="#_x0000_t202" style="position:absolute;margin-left:271.35pt;margin-top:63.25pt;width:74.15pt;height:62.1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" fillcolor="white [3201]" stroked="f" strokeweight=".5pt">
                      <v:textbox inset="0,0,0,0">
                        <w:txbxContent>
                          <w:p w:rsidR="00BE6F5B" w:rsidRPr="00C955FF" w:rsidRDefault="00BE6F5B" w:rsidP="00C955FF">
                            <w:pPr>
                              <w:spacing w:after="60"/>
                              <w:jc w:val="right"/>
                              <w:rPr>
                                <w:sz w:val="12"/>
                                <w:szCs w:val="12"/>
                              </w:rPr>
                            </w:pPr>
                            <w:r>
                              <w:rPr>
                                <w:sz w:val="12"/>
                              </w:rPr>
                              <w:t>локусний контроль rpoB</w:t>
                            </w:r>
                          </w:p>
                          <w:p w:rsidR="00BE6F5B" w:rsidRDefault="00BE6F5B" w:rsidP="00C955FF">
                            <w:pPr>
                              <w:spacing w:after="60"/>
                              <w:jc w:val="right"/>
                              <w:rPr>
                                <w:sz w:val="12"/>
                                <w:szCs w:val="12"/>
                              </w:rPr>
                            </w:pPr>
                            <w:r>
                              <w:rPr>
                                <w:sz w:val="12"/>
                              </w:rPr>
                              <w:t>зонд S1 rpoB</w:t>
                            </w:r>
                          </w:p>
                          <w:p w:rsidR="00BE6F5B" w:rsidRDefault="00BE6F5B" w:rsidP="00C955FF">
                            <w:pPr>
                              <w:spacing w:after="60"/>
                              <w:jc w:val="right"/>
                              <w:rPr>
                                <w:sz w:val="12"/>
                                <w:szCs w:val="12"/>
                              </w:rPr>
                            </w:pPr>
                            <w:r>
                              <w:rPr>
                                <w:sz w:val="12"/>
                              </w:rPr>
                              <w:t>зонд S2 rpoB</w:t>
                            </w:r>
                          </w:p>
                          <w:p w:rsidR="00BE6F5B" w:rsidRDefault="00BE6F5B" w:rsidP="00C955FF">
                            <w:pPr>
                              <w:spacing w:after="60"/>
                              <w:jc w:val="right"/>
                              <w:rPr>
                                <w:sz w:val="12"/>
                                <w:szCs w:val="12"/>
                              </w:rPr>
                            </w:pPr>
                            <w:r>
                              <w:rPr>
                                <w:sz w:val="12"/>
                              </w:rPr>
                              <w:t>зонд S3 rpoB</w:t>
                            </w:r>
                          </w:p>
                          <w:p w:rsidR="00BE6F5B" w:rsidRDefault="00BE6F5B" w:rsidP="00C955FF">
                            <w:pPr>
                              <w:spacing w:after="60"/>
                              <w:jc w:val="right"/>
                              <w:rPr>
                                <w:sz w:val="12"/>
                                <w:szCs w:val="12"/>
                              </w:rPr>
                            </w:pPr>
                            <w:r>
                              <w:rPr>
                                <w:sz w:val="12"/>
                              </w:rPr>
                              <w:t>зонд S4 rpoB</w:t>
                            </w:r>
                          </w:p>
                          <w:p w:rsidR="00BE6F5B" w:rsidRPr="00C955FF" w:rsidRDefault="00BE6F5B" w:rsidP="00C955FF">
                            <w:pPr>
                              <w:spacing w:after="60"/>
                              <w:jc w:val="right"/>
                              <w:rPr>
                                <w:sz w:val="12"/>
                                <w:szCs w:val="12"/>
                              </w:rPr>
                            </w:pPr>
                            <w:r>
                              <w:rPr>
                                <w:sz w:val="12"/>
                              </w:rPr>
                              <w:t>зонд S5 rpoB</w:t>
                            </w:r>
                          </w:p>
                        </w:txbxContent>
                      </v:textbox>
                      <w10:wrap anchorx="page" anchory="page"/>
                    </v:shape>
                  </w:pict>
                </mc:Fallback>
              </mc:AlternateContent>
            </w:r>
            <w:r w:rsidR="00B1493F">
              <w:rPr>
                <w:rFonts w:ascii="Calibri" w:hAnsi="Calibri"/>
                <w:b/>
                <w:noProof/>
                <w:color w:val="000000"/>
                <w:sz w:val="24"/>
                <w:lang w:val="en-US" w:bidi="ar-SA"/>
              </w:rPr>
              <mc:AlternateContent>
                <mc:Choice Requires="wps">
                  <w:drawing>
                    <wp:anchor distT="0" distB="0" distL="114300" distR="114300" simplePos="0" relativeHeight="251734016" behindDoc="0" locked="0" layoutInCell="1" allowOverlap="1" wp14:anchorId="725C2738" wp14:editId="545993E4">
                      <wp:simplePos x="0" y="0"/>
                      <wp:positionH relativeFrom="page">
                        <wp:posOffset>2438731</wp:posOffset>
                      </wp:positionH>
                      <wp:positionV relativeFrom="page">
                        <wp:posOffset>3573145</wp:posOffset>
                      </wp:positionV>
                      <wp:extent cx="328930" cy="116840"/>
                      <wp:effectExtent l="0" t="0" r="0" b="0"/>
                      <wp:wrapNone/>
                      <wp:docPr id="245" name="Надпись 245"/>
                      <wp:cNvGraphicFramePr/>
                      <a:graphic xmlns:a="http://schemas.openxmlformats.org/drawingml/2006/main">
                        <a:graphicData uri="http://schemas.microsoft.com/office/word/2010/wordprocessingShape">
                          <wps:wsp>
                            <wps:cNvSpPr txBox="1"/>
                            <wps:spPr>
                              <a:xfrm>
                                <a:off x="0" y="0"/>
                                <a:ext cx="328930" cy="116840"/>
                              </a:xfrm>
                              <a:prstGeom prst="rect">
                                <a:avLst/>
                              </a:prstGeom>
                              <a:solidFill>
                                <a:schemeClr val="lt1"/>
                              </a:solidFill>
                              <a:ln w="6350">
                                <a:noFill/>
                              </a:ln>
                            </wps:spPr>
                            <wps:txbx>
                              <w:txbxContent>
                                <w:p w:rsidR="00BE6F5B" w:rsidRPr="006A6E8C" w:rsidRDefault="00BE6F5B" w:rsidP="00F67B06">
                                  <w:pPr>
                                    <w:rPr>
                                      <w:sz w:val="14"/>
                                      <w:szCs w:val="14"/>
                                    </w:rPr>
                                  </w:pPr>
                                  <w:r>
                                    <w:rPr>
                                      <w:sz w:val="14"/>
                                    </w:rPr>
                                    <w:t>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C2738" id="Надпись 245" o:spid="_x0000_s1083" type="#_x0000_t202" style="position:absolute;margin-left:192.05pt;margin-top:281.35pt;width:25.9pt;height:9.2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" fillcolor="white [3201]" stroked="f" strokeweight=".5pt">
                      <v:textbox inset="0,0,0,0">
                        <w:txbxContent>
                          <w:p w:rsidR="00BE6F5B" w:rsidRPr="006A6E8C" w:rsidRDefault="00BE6F5B" w:rsidP="00F67B06">
                            <w:pPr>
                              <w:rPr>
                                <w:sz w:val="14"/>
                                <w:szCs w:val="14"/>
                              </w:rPr>
                            </w:pPr>
                            <w:r>
                              <w:rPr>
                                <w:sz w:val="14"/>
                              </w:rPr>
                              <w:t>R+I</w:t>
                            </w:r>
                          </w:p>
                        </w:txbxContent>
                      </v:textbox>
                      <w10:wrap anchorx="page" anchory="page"/>
                    </v:shape>
                  </w:pict>
                </mc:Fallback>
              </mc:AlternateContent>
            </w:r>
            <w:r w:rsidR="00B1493F">
              <w:rPr>
                <w:rFonts w:ascii="Calibri" w:hAnsi="Calibri"/>
                <w:b/>
                <w:noProof/>
                <w:color w:val="000000"/>
                <w:sz w:val="24"/>
                <w:lang w:val="en-US" w:bidi="ar-SA"/>
              </w:rPr>
              <mc:AlternateContent>
                <mc:Choice Requires="wps">
                  <w:drawing>
                    <wp:anchor distT="0" distB="0" distL="114300" distR="114300" simplePos="0" relativeHeight="251723776" behindDoc="0" locked="0" layoutInCell="1" allowOverlap="1" wp14:anchorId="0B8B781C" wp14:editId="008B7B54">
                      <wp:simplePos x="0" y="0"/>
                      <wp:positionH relativeFrom="page">
                        <wp:posOffset>974090</wp:posOffset>
                      </wp:positionH>
                      <wp:positionV relativeFrom="page">
                        <wp:posOffset>3567761</wp:posOffset>
                      </wp:positionV>
                      <wp:extent cx="666750" cy="116840"/>
                      <wp:effectExtent l="0" t="0" r="0" b="0"/>
                      <wp:wrapNone/>
                      <wp:docPr id="572" name="Надпись 572"/>
                      <wp:cNvGraphicFramePr/>
                      <a:graphic xmlns:a="http://schemas.openxmlformats.org/drawingml/2006/main">
                        <a:graphicData uri="http://schemas.microsoft.com/office/word/2010/wordprocessingShape">
                          <wps:wsp>
                            <wps:cNvSpPr txBox="1"/>
                            <wps:spPr>
                              <a:xfrm>
                                <a:off x="0" y="0"/>
                                <a:ext cx="666750" cy="116840"/>
                              </a:xfrm>
                              <a:prstGeom prst="rect">
                                <a:avLst/>
                              </a:prstGeom>
                              <a:solidFill>
                                <a:schemeClr val="lt1"/>
                              </a:solidFill>
                              <a:ln w="6350">
                                <a:noFill/>
                              </a:ln>
                            </wps:spPr>
                            <wps:txbx>
                              <w:txbxContent>
                                <w:p w:rsidR="00BE6F5B" w:rsidRPr="006A6E8C" w:rsidRDefault="00BE6F5B" w:rsidP="00F67B06">
                                  <w:pPr>
                                    <w:rPr>
                                      <w:sz w:val="14"/>
                                      <w:szCs w:val="14"/>
                                    </w:rPr>
                                  </w:pPr>
                                  <w:r>
                                    <w:rPr>
                                      <w:sz w:val="14"/>
                                    </w:rPr>
                                    <w:t>Резистентність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781C" id="Надпись 572" o:spid="_x0000_s1084" type="#_x0000_t202" style="position:absolute;margin-left:76.7pt;margin-top:280.95pt;width:52.5pt;height:9.2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" fillcolor="white [3201]" stroked="f" strokeweight=".5pt">
                      <v:textbox inset="0,0,0,0">
                        <w:txbxContent>
                          <w:p w:rsidR="00BE6F5B" w:rsidRPr="006A6E8C" w:rsidRDefault="00BE6F5B" w:rsidP="00F67B06">
                            <w:pPr>
                              <w:rPr>
                                <w:sz w:val="14"/>
                                <w:szCs w:val="14"/>
                              </w:rPr>
                            </w:pPr>
                            <w:r>
                              <w:rPr>
                                <w:sz w:val="14"/>
                              </w:rPr>
                              <w:t>Резистентність</w:t>
                            </w:r>
                          </w:p>
                        </w:txbxContent>
                      </v:textbox>
                      <w10:wrap anchorx="page" anchory="page"/>
                    </v:shape>
                  </w:pict>
                </mc:Fallback>
              </mc:AlternateContent>
            </w:r>
            <w:r w:rsidR="00B1493F">
              <w:rPr>
                <w:rFonts w:ascii="Calibri" w:hAnsi="Calibri"/>
                <w:b/>
                <w:noProof/>
                <w:color w:val="000000"/>
                <w:sz w:val="24"/>
                <w:lang w:val="en-US" w:bidi="ar-SA"/>
              </w:rPr>
              <mc:AlternateContent>
                <mc:Choice Requires="wps">
                  <w:drawing>
                    <wp:anchor distT="0" distB="0" distL="114300" distR="114300" simplePos="0" relativeHeight="251738112" behindDoc="0" locked="0" layoutInCell="1" allowOverlap="1" wp14:anchorId="0206FEFD" wp14:editId="6170EF99">
                      <wp:simplePos x="0" y="0"/>
                      <wp:positionH relativeFrom="page">
                        <wp:posOffset>3471545</wp:posOffset>
                      </wp:positionH>
                      <wp:positionV relativeFrom="page">
                        <wp:posOffset>382270</wp:posOffset>
                      </wp:positionV>
                      <wp:extent cx="937260" cy="229235"/>
                      <wp:effectExtent l="0" t="0" r="0" b="0"/>
                      <wp:wrapNone/>
                      <wp:docPr id="247" name="Надпись 247"/>
                      <wp:cNvGraphicFramePr/>
                      <a:graphic xmlns:a="http://schemas.openxmlformats.org/drawingml/2006/main">
                        <a:graphicData uri="http://schemas.microsoft.com/office/word/2010/wordprocessingShape">
                          <wps:wsp>
                            <wps:cNvSpPr txBox="1"/>
                            <wps:spPr>
                              <a:xfrm>
                                <a:off x="0" y="0"/>
                                <a:ext cx="937260" cy="229235"/>
                              </a:xfrm>
                              <a:prstGeom prst="rect">
                                <a:avLst/>
                              </a:prstGeom>
                              <a:solidFill>
                                <a:schemeClr val="lt1"/>
                              </a:solidFill>
                              <a:ln w="6350">
                                <a:noFill/>
                              </a:ln>
                            </wps:spPr>
                            <wps:txbx>
                              <w:txbxContent>
                                <w:p w:rsidR="00BE6F5B" w:rsidRPr="00C955FF" w:rsidRDefault="00BE6F5B" w:rsidP="000735AD">
                                  <w:pPr>
                                    <w:spacing w:after="40"/>
                                    <w:jc w:val="right"/>
                                    <w:rPr>
                                      <w:sz w:val="12"/>
                                      <w:szCs w:val="12"/>
                                    </w:rPr>
                                  </w:pPr>
                                  <w:r>
                                    <w:rPr>
                                      <w:sz w:val="12"/>
                                    </w:rPr>
                                    <w:t xml:space="preserve">Контроль фарбування </w:t>
                                  </w:r>
                                </w:p>
                                <w:p w:rsidR="00BE6F5B" w:rsidRPr="00C955FF" w:rsidRDefault="00BE6F5B" w:rsidP="00C955FF">
                                  <w:pPr>
                                    <w:spacing w:after="40"/>
                                    <w:jc w:val="right"/>
                                    <w:rPr>
                                      <w:sz w:val="12"/>
                                      <w:szCs w:val="12"/>
                                    </w:rPr>
                                  </w:pPr>
                                  <w:r>
                                    <w:rPr>
                                      <w:sz w:val="12"/>
                                    </w:rPr>
                                    <w:t xml:space="preserve">Контроль ампліфікації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6FEFD" id="Надпись 247" o:spid="_x0000_s1085" type="#_x0000_t202" style="position:absolute;margin-left:273.35pt;margin-top:30.1pt;width:73.8pt;height:18.0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" fillcolor="white [3201]" stroked="f" strokeweight=".5pt">
                      <v:textbox inset="0,0,0,0">
                        <w:txbxContent>
                          <w:p w:rsidR="00BE6F5B" w:rsidRPr="00C955FF" w:rsidRDefault="00BE6F5B" w:rsidP="000735AD">
                            <w:pPr>
                              <w:spacing w:after="40"/>
                              <w:jc w:val="right"/>
                              <w:rPr>
                                <w:sz w:val="12"/>
                                <w:szCs w:val="12"/>
                              </w:rPr>
                            </w:pPr>
                            <w:r>
                              <w:rPr>
                                <w:sz w:val="12"/>
                              </w:rPr>
                              <w:t xml:space="preserve">Контроль фарбування </w:t>
                            </w:r>
                          </w:p>
                          <w:p w:rsidR="00BE6F5B" w:rsidRPr="00C955FF" w:rsidRDefault="00BE6F5B" w:rsidP="00C955FF">
                            <w:pPr>
                              <w:spacing w:after="40"/>
                              <w:jc w:val="right"/>
                              <w:rPr>
                                <w:sz w:val="12"/>
                                <w:szCs w:val="12"/>
                              </w:rPr>
                            </w:pPr>
                            <w:r>
                              <w:rPr>
                                <w:sz w:val="12"/>
                              </w:rPr>
                              <w:t xml:space="preserve">Контроль ампліфікації </w:t>
                            </w:r>
                          </w:p>
                        </w:txbxContent>
                      </v:textbox>
                      <w10:wrap anchorx="page" anchory="page"/>
                    </v:shape>
                  </w:pict>
                </mc:Fallback>
              </mc:AlternateContent>
            </w:r>
            <w:r w:rsidR="00C955FF">
              <w:rPr>
                <w:rFonts w:ascii="Calibri" w:hAnsi="Calibri"/>
                <w:b/>
                <w:noProof/>
                <w:color w:val="000000"/>
                <w:sz w:val="24"/>
                <w:lang w:val="en-US" w:bidi="ar-SA"/>
              </w:rPr>
              <mc:AlternateContent>
                <mc:Choice Requires="wps">
                  <w:drawing>
                    <wp:anchor distT="0" distB="0" distL="114300" distR="114300" simplePos="0" relativeHeight="251748352" behindDoc="0" locked="0" layoutInCell="1" allowOverlap="1" wp14:anchorId="09D8279D" wp14:editId="44745DCB">
                      <wp:simplePos x="0" y="0"/>
                      <wp:positionH relativeFrom="page">
                        <wp:posOffset>5027924</wp:posOffset>
                      </wp:positionH>
                      <wp:positionV relativeFrom="page">
                        <wp:posOffset>1722872</wp:posOffset>
                      </wp:positionV>
                      <wp:extent cx="728053" cy="507037"/>
                      <wp:effectExtent l="0" t="0" r="0" b="7620"/>
                      <wp:wrapNone/>
                      <wp:docPr id="253" name="Надпись 253"/>
                      <wp:cNvGraphicFramePr/>
                      <a:graphic xmlns:a="http://schemas.openxmlformats.org/drawingml/2006/main">
                        <a:graphicData uri="http://schemas.microsoft.com/office/word/2010/wordprocessingShape">
                          <wps:wsp>
                            <wps:cNvSpPr txBox="1"/>
                            <wps:spPr>
                              <a:xfrm>
                                <a:off x="0" y="0"/>
                                <a:ext cx="728053" cy="507037"/>
                              </a:xfrm>
                              <a:prstGeom prst="rect">
                                <a:avLst/>
                              </a:prstGeom>
                              <a:solidFill>
                                <a:schemeClr val="lt1"/>
                              </a:solidFill>
                              <a:ln w="6350">
                                <a:noFill/>
                              </a:ln>
                            </wps:spPr>
                            <wps:txbx>
                              <w:txbxContent>
                                <w:p w:rsidR="00BE6F5B" w:rsidRPr="00C955FF" w:rsidRDefault="00BE6F5B" w:rsidP="00C955FF">
                                  <w:pPr>
                                    <w:spacing w:after="60"/>
                                    <w:rPr>
                                      <w:sz w:val="12"/>
                                      <w:szCs w:val="12"/>
                                    </w:rPr>
                                  </w:pPr>
                                  <w:r>
                                    <w:rPr>
                                      <w:sz w:val="12"/>
                                    </w:rPr>
                                    <w:t>зонд R6a inhA</w:t>
                                  </w:r>
                                </w:p>
                                <w:p w:rsidR="00BE6F5B" w:rsidRPr="00C955FF" w:rsidRDefault="00BE6F5B" w:rsidP="00C955FF">
                                  <w:pPr>
                                    <w:spacing w:after="60"/>
                                    <w:rPr>
                                      <w:sz w:val="12"/>
                                      <w:szCs w:val="12"/>
                                    </w:rPr>
                                  </w:pPr>
                                  <w:r>
                                    <w:rPr>
                                      <w:sz w:val="12"/>
                                    </w:rPr>
                                    <w:t>зонд R6b inhA</w:t>
                                  </w:r>
                                </w:p>
                                <w:p w:rsidR="00BE6F5B" w:rsidRPr="00C955FF" w:rsidRDefault="00BE6F5B" w:rsidP="00C955FF">
                                  <w:pPr>
                                    <w:spacing w:after="60"/>
                                    <w:rPr>
                                      <w:sz w:val="12"/>
                                      <w:szCs w:val="12"/>
                                    </w:rPr>
                                  </w:pPr>
                                  <w:r>
                                    <w:rPr>
                                      <w:sz w:val="12"/>
                                    </w:rPr>
                                    <w:t>зонд R6c inhA</w:t>
                                  </w:r>
                                </w:p>
                                <w:p w:rsidR="00BE6F5B" w:rsidRPr="00C955FF" w:rsidRDefault="00BE6F5B" w:rsidP="00C955FF">
                                  <w:pPr>
                                    <w:spacing w:after="60"/>
                                    <w:rPr>
                                      <w:sz w:val="12"/>
                                      <w:szCs w:val="12"/>
                                    </w:rPr>
                                  </w:pPr>
                                  <w:r>
                                    <w:rPr>
                                      <w:sz w:val="12"/>
                                    </w:rPr>
                                    <w:t>зонд R6d inhA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8279D" id="Надпись 253" o:spid="_x0000_s1086" type="#_x0000_t202" style="position:absolute;margin-left:395.9pt;margin-top:135.65pt;width:57.35pt;height:39.9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" fillcolor="white [3201]" stroked="f" strokeweight=".5pt">
                      <v:textbox inset="0,0,0,0">
                        <w:txbxContent>
                          <w:p w:rsidR="00BE6F5B" w:rsidRPr="00C955FF" w:rsidRDefault="00BE6F5B" w:rsidP="00C955FF">
                            <w:pPr>
                              <w:spacing w:after="60"/>
                              <w:rPr>
                                <w:sz w:val="12"/>
                                <w:szCs w:val="12"/>
                              </w:rPr>
                            </w:pPr>
                            <w:r>
                              <w:rPr>
                                <w:sz w:val="12"/>
                              </w:rPr>
                              <w:t>зонд R6a inhA</w:t>
                            </w:r>
                          </w:p>
                          <w:p w:rsidR="00BE6F5B" w:rsidRPr="00C955FF" w:rsidRDefault="00BE6F5B" w:rsidP="00C955FF">
                            <w:pPr>
                              <w:spacing w:after="60"/>
                              <w:rPr>
                                <w:sz w:val="12"/>
                                <w:szCs w:val="12"/>
                              </w:rPr>
                            </w:pPr>
                            <w:r>
                              <w:rPr>
                                <w:sz w:val="12"/>
                              </w:rPr>
                              <w:t>зонд R6b inhA</w:t>
                            </w:r>
                          </w:p>
                          <w:p w:rsidR="00BE6F5B" w:rsidRPr="00C955FF" w:rsidRDefault="00BE6F5B" w:rsidP="00C955FF">
                            <w:pPr>
                              <w:spacing w:after="60"/>
                              <w:rPr>
                                <w:sz w:val="12"/>
                                <w:szCs w:val="12"/>
                              </w:rPr>
                            </w:pPr>
                            <w:r>
                              <w:rPr>
                                <w:sz w:val="12"/>
                              </w:rPr>
                              <w:t>зонд R6c inhA</w:t>
                            </w:r>
                          </w:p>
                          <w:p w:rsidR="00BE6F5B" w:rsidRPr="00C955FF" w:rsidRDefault="00BE6F5B" w:rsidP="00C955FF">
                            <w:pPr>
                              <w:spacing w:after="60"/>
                              <w:rPr>
                                <w:sz w:val="12"/>
                                <w:szCs w:val="12"/>
                              </w:rPr>
                            </w:pPr>
                            <w:r>
                              <w:rPr>
                                <w:sz w:val="12"/>
                              </w:rPr>
                              <w:t>зонд R6d inhA</w:t>
                            </w:r>
                          </w:p>
                        </w:txbxContent>
                      </v:textbox>
                      <w10:wrap anchorx="page" anchory="page"/>
                    </v:shape>
                  </w:pict>
                </mc:Fallback>
              </mc:AlternateContent>
            </w:r>
            <w:r w:rsidR="00C955FF">
              <w:rPr>
                <w:rFonts w:ascii="Calibri" w:hAnsi="Calibri"/>
                <w:b/>
                <w:noProof/>
                <w:color w:val="000000"/>
                <w:sz w:val="24"/>
                <w:lang w:val="en-US" w:bidi="ar-SA"/>
              </w:rPr>
              <mc:AlternateContent>
                <mc:Choice Requires="wps">
                  <w:drawing>
                    <wp:anchor distT="0" distB="0" distL="114300" distR="114300" simplePos="0" relativeHeight="251746304" behindDoc="0" locked="0" layoutInCell="1" allowOverlap="1" wp14:anchorId="3F3F1195" wp14:editId="71925CFD">
                      <wp:simplePos x="0" y="0"/>
                      <wp:positionH relativeFrom="page">
                        <wp:posOffset>5019257</wp:posOffset>
                      </wp:positionH>
                      <wp:positionV relativeFrom="page">
                        <wp:posOffset>2372920</wp:posOffset>
                      </wp:positionV>
                      <wp:extent cx="762722" cy="355359"/>
                      <wp:effectExtent l="0" t="0" r="0" b="6985"/>
                      <wp:wrapNone/>
                      <wp:docPr id="251" name="Надпись 251"/>
                      <wp:cNvGraphicFramePr/>
                      <a:graphic xmlns:a="http://schemas.openxmlformats.org/drawingml/2006/main">
                        <a:graphicData uri="http://schemas.microsoft.com/office/word/2010/wordprocessingShape">
                          <wps:wsp>
                            <wps:cNvSpPr txBox="1"/>
                            <wps:spPr>
                              <a:xfrm>
                                <a:off x="0" y="0"/>
                                <a:ext cx="762722" cy="355359"/>
                              </a:xfrm>
                              <a:prstGeom prst="rect">
                                <a:avLst/>
                              </a:prstGeom>
                              <a:solidFill>
                                <a:schemeClr val="lt1"/>
                              </a:solidFill>
                              <a:ln w="6350">
                                <a:noFill/>
                              </a:ln>
                            </wps:spPr>
                            <wps:txbx>
                              <w:txbxContent>
                                <w:p w:rsidR="00BE6F5B" w:rsidRDefault="00BE6F5B" w:rsidP="00C955FF">
                                  <w:pPr>
                                    <w:spacing w:after="60"/>
                                    <w:rPr>
                                      <w:sz w:val="12"/>
                                      <w:szCs w:val="12"/>
                                    </w:rPr>
                                  </w:pPr>
                                  <w:r>
                                    <w:rPr>
                                      <w:sz w:val="12"/>
                                    </w:rPr>
                                    <w:t>зонд R8a katG</w:t>
                                  </w:r>
                                </w:p>
                                <w:p w:rsidR="00BE6F5B" w:rsidRPr="00C955FF" w:rsidRDefault="00BE6F5B" w:rsidP="00C955FF">
                                  <w:pPr>
                                    <w:spacing w:after="60"/>
                                    <w:rPr>
                                      <w:sz w:val="12"/>
                                      <w:szCs w:val="12"/>
                                    </w:rPr>
                                  </w:pPr>
                                  <w:r>
                                    <w:rPr>
                                      <w:sz w:val="12"/>
                                    </w:rPr>
                                    <w:t>зонд R8b katG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F1195" id="Надпись 251" o:spid="_x0000_s1087" type="#_x0000_t202" style="position:absolute;margin-left:395.2pt;margin-top:186.85pt;width:60.05pt;height:28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" fillcolor="white [3201]" stroked="f" strokeweight=".5pt">
                      <v:textbox inset="0,0,0,0">
                        <w:txbxContent>
                          <w:p w:rsidR="00BE6F5B" w:rsidRDefault="00BE6F5B" w:rsidP="00C955FF">
                            <w:pPr>
                              <w:spacing w:after="60"/>
                              <w:rPr>
                                <w:sz w:val="12"/>
                                <w:szCs w:val="12"/>
                              </w:rPr>
                            </w:pPr>
                            <w:r>
                              <w:rPr>
                                <w:sz w:val="12"/>
                              </w:rPr>
                              <w:t>зонд R8a katG</w:t>
                            </w:r>
                          </w:p>
                          <w:p w:rsidR="00BE6F5B" w:rsidRPr="00C955FF" w:rsidRDefault="00BE6F5B" w:rsidP="00C955FF">
                            <w:pPr>
                              <w:spacing w:after="60"/>
                              <w:rPr>
                                <w:sz w:val="12"/>
                                <w:szCs w:val="12"/>
                              </w:rPr>
                            </w:pPr>
                            <w:r>
                              <w:rPr>
                                <w:sz w:val="12"/>
                              </w:rPr>
                              <w:t>зонд R8b katG</w:t>
                            </w:r>
                          </w:p>
                        </w:txbxContent>
                      </v:textbox>
                      <w10:wrap anchorx="page" anchory="page"/>
                    </v:shape>
                  </w:pict>
                </mc:Fallback>
              </mc:AlternateContent>
            </w:r>
            <w:r w:rsidR="00C955FF">
              <w:rPr>
                <w:rFonts w:ascii="Calibri" w:hAnsi="Calibri"/>
                <w:b/>
                <w:noProof/>
                <w:color w:val="000000"/>
                <w:sz w:val="24"/>
                <w:lang w:val="en-US" w:bidi="ar-SA"/>
              </w:rPr>
              <mc:AlternateContent>
                <mc:Choice Requires="wps">
                  <w:drawing>
                    <wp:anchor distT="0" distB="0" distL="114300" distR="114300" simplePos="0" relativeHeight="251736064" behindDoc="0" locked="0" layoutInCell="1" allowOverlap="1" wp14:anchorId="6B5ECC96" wp14:editId="2EDB7DE5">
                      <wp:simplePos x="0" y="0"/>
                      <wp:positionH relativeFrom="page">
                        <wp:posOffset>2969784</wp:posOffset>
                      </wp:positionH>
                      <wp:positionV relativeFrom="page">
                        <wp:posOffset>3573145</wp:posOffset>
                      </wp:positionV>
                      <wp:extent cx="177680" cy="117008"/>
                      <wp:effectExtent l="0" t="0" r="0" b="0"/>
                      <wp:wrapNone/>
                      <wp:docPr id="246" name="Надпись 246"/>
                      <wp:cNvGraphicFramePr/>
                      <a:graphic xmlns:a="http://schemas.openxmlformats.org/drawingml/2006/main">
                        <a:graphicData uri="http://schemas.microsoft.com/office/word/2010/wordprocessingShape">
                          <wps:wsp>
                            <wps:cNvSpPr txBox="1"/>
                            <wps:spPr>
                              <a:xfrm>
                                <a:off x="0" y="0"/>
                                <a:ext cx="177680" cy="117008"/>
                              </a:xfrm>
                              <a:prstGeom prst="rect">
                                <a:avLst/>
                              </a:prstGeom>
                              <a:solidFill>
                                <a:schemeClr val="lt1"/>
                              </a:solidFill>
                              <a:ln w="6350">
                                <a:noFill/>
                              </a:ln>
                            </wps:spPr>
                            <wps:txbx>
                              <w:txbxContent>
                                <w:p w:rsidR="00BE6F5B" w:rsidRPr="006A6E8C" w:rsidRDefault="00BE6F5B" w:rsidP="00F67B06">
                                  <w:pPr>
                                    <w:rPr>
                                      <w:sz w:val="14"/>
                                      <w:szCs w:val="14"/>
                                    </w:rPr>
                                  </w:pPr>
                                  <w:r>
                                    <w:rPr>
                                      <w:sz w:val="14"/>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ECC96" id="Надпись 246" o:spid="_x0000_s1088" type="#_x0000_t202" style="position:absolute;margin-left:233.85pt;margin-top:281.35pt;width:14pt;height:9.2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" fillcolor="white [3201]" stroked="f" strokeweight=".5pt">
                      <v:textbox inset="0,0,0,0">
                        <w:txbxContent>
                          <w:p w:rsidR="00BE6F5B" w:rsidRPr="006A6E8C" w:rsidRDefault="00BE6F5B" w:rsidP="00F67B06">
                            <w:pPr>
                              <w:rPr>
                                <w:sz w:val="14"/>
                                <w:szCs w:val="14"/>
                              </w:rPr>
                            </w:pPr>
                            <w:r>
                              <w:rPr>
                                <w:sz w:val="14"/>
                              </w:rPr>
                              <w:t>I</w:t>
                            </w:r>
                          </w:p>
                        </w:txbxContent>
                      </v:textbox>
                      <w10:wrap anchorx="page" anchory="page"/>
                    </v:shape>
                  </w:pict>
                </mc:Fallback>
              </mc:AlternateContent>
            </w:r>
            <w:r w:rsidR="00C955FF">
              <w:rPr>
                <w:rFonts w:ascii="Calibri" w:hAnsi="Calibri"/>
                <w:b/>
                <w:noProof/>
                <w:color w:val="000000"/>
                <w:sz w:val="24"/>
                <w:lang w:val="en-US" w:bidi="ar-SA"/>
              </w:rPr>
              <mc:AlternateContent>
                <mc:Choice Requires="wps">
                  <w:drawing>
                    <wp:anchor distT="0" distB="0" distL="114300" distR="114300" simplePos="0" relativeHeight="251731968" behindDoc="0" locked="0" layoutInCell="1" allowOverlap="1" wp14:anchorId="2D56DA75" wp14:editId="780776E5">
                      <wp:simplePos x="0" y="0"/>
                      <wp:positionH relativeFrom="page">
                        <wp:posOffset>165569</wp:posOffset>
                      </wp:positionH>
                      <wp:positionV relativeFrom="page">
                        <wp:posOffset>2654607</wp:posOffset>
                      </wp:positionV>
                      <wp:extent cx="1453338" cy="836394"/>
                      <wp:effectExtent l="0" t="0" r="0" b="1905"/>
                      <wp:wrapNone/>
                      <wp:docPr id="244" name="Надпись 244"/>
                      <wp:cNvGraphicFramePr/>
                      <a:graphic xmlns:a="http://schemas.openxmlformats.org/drawingml/2006/main">
                        <a:graphicData uri="http://schemas.microsoft.com/office/word/2010/wordprocessingShape">
                          <wps:wsp>
                            <wps:cNvSpPr txBox="1"/>
                            <wps:spPr>
                              <a:xfrm>
                                <a:off x="0" y="0"/>
                                <a:ext cx="1453338" cy="836394"/>
                              </a:xfrm>
                              <a:prstGeom prst="rect">
                                <a:avLst/>
                              </a:prstGeom>
                              <a:solidFill>
                                <a:schemeClr val="lt1"/>
                              </a:solidFill>
                              <a:ln w="6350">
                                <a:noFill/>
                              </a:ln>
                            </wps:spPr>
                            <wps:txbx>
                              <w:txbxContent>
                                <w:p w:rsidR="00BE6F5B" w:rsidRPr="000735AD" w:rsidRDefault="00BE6F5B" w:rsidP="006A6E8C">
                                  <w:pPr>
                                    <w:spacing w:after="50"/>
                                    <w:jc w:val="right"/>
                                    <w:rPr>
                                      <w:sz w:val="10"/>
                                      <w:szCs w:val="10"/>
                                    </w:rPr>
                                  </w:pPr>
                                  <w:r>
                                    <w:rPr>
                                      <w:sz w:val="10"/>
                                    </w:rPr>
                                    <w:t>локусний контроль inhA</w:t>
                                  </w:r>
                                </w:p>
                                <w:p w:rsidR="00BE6F5B" w:rsidRDefault="00BE6F5B" w:rsidP="006A6E8C">
                                  <w:pPr>
                                    <w:spacing w:after="50"/>
                                    <w:jc w:val="right"/>
                                    <w:rPr>
                                      <w:sz w:val="10"/>
                                      <w:szCs w:val="10"/>
                                    </w:rPr>
                                  </w:pPr>
                                  <w:r>
                                    <w:rPr>
                                      <w:sz w:val="10"/>
                                    </w:rPr>
                                    <w:t>inhA дикого типу зонд 1 (inhA ДТ1)</w:t>
                                  </w:r>
                                </w:p>
                                <w:p w:rsidR="00BE6F5B" w:rsidRPr="00C955FF" w:rsidRDefault="00BE6F5B" w:rsidP="006A6E8C">
                                  <w:pPr>
                                    <w:spacing w:after="50"/>
                                    <w:jc w:val="right"/>
                                    <w:rPr>
                                      <w:sz w:val="10"/>
                                      <w:szCs w:val="10"/>
                                    </w:rPr>
                                  </w:pPr>
                                  <w:r>
                                    <w:rPr>
                                      <w:sz w:val="10"/>
                                    </w:rPr>
                                    <w:t>inhA дикого типу зонд 2 (inhA ДТ2)</w:t>
                                  </w:r>
                                </w:p>
                                <w:p w:rsidR="00BE6F5B" w:rsidRPr="00DF25B6" w:rsidRDefault="00BE6F5B" w:rsidP="006A6E8C">
                                  <w:pPr>
                                    <w:spacing w:after="50"/>
                                    <w:jc w:val="right"/>
                                    <w:rPr>
                                      <w:sz w:val="10"/>
                                      <w:szCs w:val="10"/>
                                    </w:rPr>
                                  </w:pPr>
                                  <w:r>
                                    <w:rPr>
                                      <w:sz w:val="10"/>
                                    </w:rPr>
                                    <w:t>inhA мутаційний зонд 1 (inhA МУТ1)</w:t>
                                  </w:r>
                                </w:p>
                                <w:p w:rsidR="00BE6F5B" w:rsidRPr="00DF25B6" w:rsidRDefault="00BE6F5B" w:rsidP="006A6E8C">
                                  <w:pPr>
                                    <w:spacing w:after="50"/>
                                    <w:jc w:val="right"/>
                                    <w:rPr>
                                      <w:sz w:val="10"/>
                                      <w:szCs w:val="10"/>
                                    </w:rPr>
                                  </w:pPr>
                                  <w:r>
                                    <w:rPr>
                                      <w:sz w:val="10"/>
                                    </w:rPr>
                                    <w:t>inhA мутаційний зонд 2 (inhA МУТ2)</w:t>
                                  </w:r>
                                </w:p>
                                <w:p w:rsidR="00BE6F5B" w:rsidRPr="00C955FF" w:rsidRDefault="00BE6F5B" w:rsidP="006A6E8C">
                                  <w:pPr>
                                    <w:spacing w:after="50"/>
                                    <w:jc w:val="right"/>
                                    <w:rPr>
                                      <w:sz w:val="10"/>
                                      <w:szCs w:val="10"/>
                                    </w:rPr>
                                  </w:pPr>
                                  <w:r>
                                    <w:rPr>
                                      <w:sz w:val="10"/>
                                    </w:rPr>
                                    <w:t>inhA мутаційний зонд 3А (inhA МУТ3А)</w:t>
                                  </w:r>
                                </w:p>
                                <w:p w:rsidR="00BE6F5B" w:rsidRPr="00C955FF" w:rsidRDefault="00BE6F5B" w:rsidP="006A6E8C">
                                  <w:pPr>
                                    <w:spacing w:after="50"/>
                                    <w:jc w:val="right"/>
                                    <w:rPr>
                                      <w:sz w:val="10"/>
                                      <w:szCs w:val="10"/>
                                    </w:rPr>
                                  </w:pPr>
                                  <w:r>
                                    <w:rPr>
                                      <w:sz w:val="10"/>
                                    </w:rPr>
                                    <w:t>inhA мутаційний зонд 3ВА (inhA МУТ3В)</w:t>
                                  </w:r>
                                </w:p>
                                <w:p w:rsidR="00BE6F5B" w:rsidRPr="00C955FF" w:rsidRDefault="00BE6F5B" w:rsidP="006A6E8C">
                                  <w:pPr>
                                    <w:spacing w:after="50"/>
                                    <w:jc w:val="right"/>
                                    <w:rPr>
                                      <w:sz w:val="10"/>
                                      <w:szCs w:val="10"/>
                                    </w:rPr>
                                  </w:pPr>
                                  <w:r>
                                    <w:rPr>
                                      <w:sz w:val="10"/>
                                    </w:rPr>
                                    <w:t>пофарбований маркер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DA75" id="Надпись 244" o:spid="_x0000_s1089" type="#_x0000_t202" style="position:absolute;margin-left:13.05pt;margin-top:209pt;width:114.45pt;height:65.8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" fillcolor="white [3201]" stroked="f" strokeweight=".5pt">
                      <v:textbox inset="0,0,0,0">
                        <w:txbxContent>
                          <w:p w:rsidR="00BE6F5B" w:rsidRPr="000735AD" w:rsidRDefault="00BE6F5B" w:rsidP="006A6E8C">
                            <w:pPr>
                              <w:spacing w:after="50"/>
                              <w:jc w:val="right"/>
                              <w:rPr>
                                <w:sz w:val="10"/>
                                <w:szCs w:val="10"/>
                              </w:rPr>
                            </w:pPr>
                            <w:r>
                              <w:rPr>
                                <w:sz w:val="10"/>
                              </w:rPr>
                              <w:t>локусний контроль inhA</w:t>
                            </w:r>
                          </w:p>
                          <w:p w:rsidR="00BE6F5B" w:rsidRDefault="00BE6F5B" w:rsidP="006A6E8C">
                            <w:pPr>
                              <w:spacing w:after="50"/>
                              <w:jc w:val="right"/>
                              <w:rPr>
                                <w:sz w:val="10"/>
                                <w:szCs w:val="10"/>
                              </w:rPr>
                            </w:pPr>
                            <w:r>
                              <w:rPr>
                                <w:sz w:val="10"/>
                              </w:rPr>
                              <w:t>inhA дикого типу зонд 1 (inhA ДТ1)</w:t>
                            </w:r>
                          </w:p>
                          <w:p w:rsidR="00BE6F5B" w:rsidRPr="00C955FF" w:rsidRDefault="00BE6F5B" w:rsidP="006A6E8C">
                            <w:pPr>
                              <w:spacing w:after="50"/>
                              <w:jc w:val="right"/>
                              <w:rPr>
                                <w:sz w:val="10"/>
                                <w:szCs w:val="10"/>
                              </w:rPr>
                            </w:pPr>
                            <w:r>
                              <w:rPr>
                                <w:sz w:val="10"/>
                              </w:rPr>
                              <w:t>inhA дикого типу зонд 2 (inhA ДТ2)</w:t>
                            </w:r>
                          </w:p>
                          <w:p w:rsidR="00BE6F5B" w:rsidRPr="00DF25B6" w:rsidRDefault="00BE6F5B" w:rsidP="006A6E8C">
                            <w:pPr>
                              <w:spacing w:after="50"/>
                              <w:jc w:val="right"/>
                              <w:rPr>
                                <w:sz w:val="10"/>
                                <w:szCs w:val="10"/>
                              </w:rPr>
                            </w:pPr>
                            <w:r>
                              <w:rPr>
                                <w:sz w:val="10"/>
                              </w:rPr>
                              <w:t>inhA мутаційний зонд 1 (inhA МУТ1)</w:t>
                            </w:r>
                          </w:p>
                          <w:p w:rsidR="00BE6F5B" w:rsidRPr="00DF25B6" w:rsidRDefault="00BE6F5B" w:rsidP="006A6E8C">
                            <w:pPr>
                              <w:spacing w:after="50"/>
                              <w:jc w:val="right"/>
                              <w:rPr>
                                <w:sz w:val="10"/>
                                <w:szCs w:val="10"/>
                              </w:rPr>
                            </w:pPr>
                            <w:r>
                              <w:rPr>
                                <w:sz w:val="10"/>
                              </w:rPr>
                              <w:t>inhA мутаційний зонд 2 (inhA МУТ2)</w:t>
                            </w:r>
                          </w:p>
                          <w:p w:rsidR="00BE6F5B" w:rsidRPr="00C955FF" w:rsidRDefault="00BE6F5B" w:rsidP="006A6E8C">
                            <w:pPr>
                              <w:spacing w:after="50"/>
                              <w:jc w:val="right"/>
                              <w:rPr>
                                <w:sz w:val="10"/>
                                <w:szCs w:val="10"/>
                              </w:rPr>
                            </w:pPr>
                            <w:r>
                              <w:rPr>
                                <w:sz w:val="10"/>
                              </w:rPr>
                              <w:t>inhA мутаційний зонд 3А (inhA МУТ3А)</w:t>
                            </w:r>
                          </w:p>
                          <w:p w:rsidR="00BE6F5B" w:rsidRPr="00C955FF" w:rsidRDefault="00BE6F5B" w:rsidP="006A6E8C">
                            <w:pPr>
                              <w:spacing w:after="50"/>
                              <w:jc w:val="right"/>
                              <w:rPr>
                                <w:sz w:val="10"/>
                                <w:szCs w:val="10"/>
                              </w:rPr>
                            </w:pPr>
                            <w:r>
                              <w:rPr>
                                <w:sz w:val="10"/>
                              </w:rPr>
                              <w:t>inhA мутаційний зонд 3ВА (inhA МУТ3В)</w:t>
                            </w:r>
                          </w:p>
                          <w:p w:rsidR="00BE6F5B" w:rsidRPr="00C955FF" w:rsidRDefault="00BE6F5B" w:rsidP="006A6E8C">
                            <w:pPr>
                              <w:spacing w:after="50"/>
                              <w:jc w:val="right"/>
                              <w:rPr>
                                <w:sz w:val="10"/>
                                <w:szCs w:val="10"/>
                              </w:rPr>
                            </w:pPr>
                            <w:r>
                              <w:rPr>
                                <w:sz w:val="10"/>
                              </w:rPr>
                              <w:t>пофарбований маркер</w:t>
                            </w:r>
                          </w:p>
                        </w:txbxContent>
                      </v:textbox>
                      <w10:wrap anchorx="page" anchory="page"/>
                    </v:shape>
                  </w:pict>
                </mc:Fallback>
              </mc:AlternateContent>
            </w:r>
            <w:r w:rsidR="00C955FF">
              <w:rPr>
                <w:rFonts w:ascii="Calibri" w:hAnsi="Calibri"/>
                <w:b/>
                <w:noProof/>
                <w:color w:val="000000"/>
                <w:sz w:val="24"/>
                <w:lang w:val="en-US" w:bidi="ar-SA"/>
              </w:rPr>
              <mc:AlternateContent>
                <mc:Choice Requires="wps">
                  <w:drawing>
                    <wp:anchor distT="0" distB="0" distL="114300" distR="114300" simplePos="0" relativeHeight="251729920" behindDoc="0" locked="0" layoutInCell="1" allowOverlap="1" wp14:anchorId="51691877" wp14:editId="47DC6F03">
                      <wp:simplePos x="0" y="0"/>
                      <wp:positionH relativeFrom="page">
                        <wp:posOffset>242459</wp:posOffset>
                      </wp:positionH>
                      <wp:positionV relativeFrom="page">
                        <wp:posOffset>2151380</wp:posOffset>
                      </wp:positionV>
                      <wp:extent cx="1397406" cy="420364"/>
                      <wp:effectExtent l="0" t="0" r="0" b="0"/>
                      <wp:wrapNone/>
                      <wp:docPr id="575" name="Надпись 575"/>
                      <wp:cNvGraphicFramePr/>
                      <a:graphic xmlns:a="http://schemas.openxmlformats.org/drawingml/2006/main">
                        <a:graphicData uri="http://schemas.microsoft.com/office/word/2010/wordprocessingShape">
                          <wps:wsp>
                            <wps:cNvSpPr txBox="1"/>
                            <wps:spPr>
                              <a:xfrm>
                                <a:off x="0" y="0"/>
                                <a:ext cx="1397406" cy="420364"/>
                              </a:xfrm>
                              <a:prstGeom prst="rect">
                                <a:avLst/>
                              </a:prstGeom>
                              <a:solidFill>
                                <a:schemeClr val="lt1"/>
                              </a:solidFill>
                              <a:ln w="6350">
                                <a:noFill/>
                              </a:ln>
                            </wps:spPr>
                            <wps:txbx>
                              <w:txbxContent>
                                <w:p w:rsidR="00BE6F5B" w:rsidRPr="00DF25B6" w:rsidRDefault="00BE6F5B" w:rsidP="000735AD">
                                  <w:pPr>
                                    <w:spacing w:after="40"/>
                                    <w:jc w:val="right"/>
                                    <w:rPr>
                                      <w:sz w:val="10"/>
                                      <w:szCs w:val="10"/>
                                    </w:rPr>
                                  </w:pPr>
                                  <w:r>
                                    <w:rPr>
                                      <w:sz w:val="10"/>
                                    </w:rPr>
                                    <w:t>локусний контроль katG</w:t>
                                  </w:r>
                                </w:p>
                                <w:p w:rsidR="00BE6F5B" w:rsidRPr="00DF25B6" w:rsidRDefault="00BE6F5B" w:rsidP="000735AD">
                                  <w:pPr>
                                    <w:spacing w:after="40"/>
                                    <w:jc w:val="right"/>
                                    <w:rPr>
                                      <w:sz w:val="10"/>
                                      <w:szCs w:val="10"/>
                                    </w:rPr>
                                  </w:pPr>
                                  <w:r>
                                    <w:rPr>
                                      <w:sz w:val="10"/>
                                    </w:rPr>
                                    <w:t>зонд дикого типу katG (katG ДТ)</w:t>
                                  </w:r>
                                </w:p>
                                <w:p w:rsidR="00BE6F5B" w:rsidRPr="000735AD" w:rsidRDefault="00BE6F5B" w:rsidP="000735AD">
                                  <w:pPr>
                                    <w:spacing w:after="40"/>
                                    <w:jc w:val="right"/>
                                    <w:rPr>
                                      <w:sz w:val="10"/>
                                      <w:szCs w:val="10"/>
                                    </w:rPr>
                                  </w:pPr>
                                  <w:r>
                                    <w:rPr>
                                      <w:sz w:val="10"/>
                                    </w:rPr>
                                    <w:t>katG мутаційний зонд 1 (katG МУТ1)</w:t>
                                  </w:r>
                                </w:p>
                                <w:p w:rsidR="00BE6F5B" w:rsidRPr="000735AD" w:rsidRDefault="00BE6F5B" w:rsidP="000735AD">
                                  <w:pPr>
                                    <w:spacing w:after="40"/>
                                    <w:jc w:val="right"/>
                                    <w:rPr>
                                      <w:sz w:val="10"/>
                                      <w:szCs w:val="10"/>
                                    </w:rPr>
                                  </w:pPr>
                                  <w:r>
                                    <w:rPr>
                                      <w:sz w:val="10"/>
                                    </w:rPr>
                                    <w:t>katG мутаційний зонд 2 (katG МУТ2)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91877" id="Надпись 575" o:spid="_x0000_s1090" type="#_x0000_t202" style="position:absolute;margin-left:19.1pt;margin-top:169.4pt;width:110.05pt;height:33.1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" fillcolor="white [3201]" stroked="f" strokeweight=".5pt">
                      <v:textbox inset="0,0,0,0">
                        <w:txbxContent>
                          <w:p w:rsidR="00BE6F5B" w:rsidRPr="00DF25B6" w:rsidRDefault="00BE6F5B" w:rsidP="000735AD">
                            <w:pPr>
                              <w:spacing w:after="40"/>
                              <w:jc w:val="right"/>
                              <w:rPr>
                                <w:sz w:val="10"/>
                                <w:szCs w:val="10"/>
                              </w:rPr>
                            </w:pPr>
                            <w:r>
                              <w:rPr>
                                <w:sz w:val="10"/>
                              </w:rPr>
                              <w:t>локусний контроль katG</w:t>
                            </w:r>
                          </w:p>
                          <w:p w:rsidR="00BE6F5B" w:rsidRPr="00DF25B6" w:rsidRDefault="00BE6F5B" w:rsidP="000735AD">
                            <w:pPr>
                              <w:spacing w:after="40"/>
                              <w:jc w:val="right"/>
                              <w:rPr>
                                <w:sz w:val="10"/>
                                <w:szCs w:val="10"/>
                              </w:rPr>
                            </w:pPr>
                            <w:r>
                              <w:rPr>
                                <w:sz w:val="10"/>
                              </w:rPr>
                              <w:t>зонд дикого типу katG (katG ДТ)</w:t>
                            </w:r>
                          </w:p>
                          <w:p w:rsidR="00BE6F5B" w:rsidRPr="000735AD" w:rsidRDefault="00BE6F5B" w:rsidP="000735AD">
                            <w:pPr>
                              <w:spacing w:after="40"/>
                              <w:jc w:val="right"/>
                              <w:rPr>
                                <w:sz w:val="10"/>
                                <w:szCs w:val="10"/>
                              </w:rPr>
                            </w:pPr>
                            <w:r>
                              <w:rPr>
                                <w:sz w:val="10"/>
                              </w:rPr>
                              <w:t>katG мутаційний зонд 1 (katG МУТ1)</w:t>
                            </w:r>
                          </w:p>
                          <w:p w:rsidR="00BE6F5B" w:rsidRPr="000735AD" w:rsidRDefault="00BE6F5B" w:rsidP="000735AD">
                            <w:pPr>
                              <w:spacing w:after="40"/>
                              <w:jc w:val="right"/>
                              <w:rPr>
                                <w:sz w:val="10"/>
                                <w:szCs w:val="10"/>
                              </w:rPr>
                            </w:pPr>
                            <w:r>
                              <w:rPr>
                                <w:sz w:val="10"/>
                              </w:rPr>
                              <w:t>katG мутаційний зонд 2 (katG МУТ2)</w:t>
                            </w:r>
                          </w:p>
                        </w:txbxContent>
                      </v:textbox>
                      <w10:wrap anchorx="page" anchory="page"/>
                    </v:shape>
                  </w:pict>
                </mc:Fallback>
              </mc:AlternateContent>
            </w:r>
            <w:r w:rsidR="00C955FF">
              <w:rPr>
                <w:rFonts w:ascii="Calibri" w:hAnsi="Calibri"/>
                <w:b/>
                <w:noProof/>
                <w:color w:val="000000"/>
                <w:sz w:val="24"/>
                <w:lang w:val="en-US" w:bidi="ar-SA"/>
              </w:rPr>
              <mc:AlternateContent>
                <mc:Choice Requires="wps">
                  <w:drawing>
                    <wp:anchor distT="0" distB="0" distL="114300" distR="114300" simplePos="0" relativeHeight="251725824" behindDoc="0" locked="0" layoutInCell="1" allowOverlap="1" wp14:anchorId="53327F86" wp14:editId="53531411">
                      <wp:simplePos x="0" y="0"/>
                      <wp:positionH relativeFrom="page">
                        <wp:posOffset>239242</wp:posOffset>
                      </wp:positionH>
                      <wp:positionV relativeFrom="page">
                        <wp:posOffset>297102</wp:posOffset>
                      </wp:positionV>
                      <wp:extent cx="1397406" cy="312023"/>
                      <wp:effectExtent l="0" t="0" r="0" b="0"/>
                      <wp:wrapNone/>
                      <wp:docPr id="573" name="Надпись 573"/>
                      <wp:cNvGraphicFramePr/>
                      <a:graphic xmlns:a="http://schemas.openxmlformats.org/drawingml/2006/main">
                        <a:graphicData uri="http://schemas.microsoft.com/office/word/2010/wordprocessingShape">
                          <wps:wsp>
                            <wps:cNvSpPr txBox="1"/>
                            <wps:spPr>
                              <a:xfrm>
                                <a:off x="0" y="0"/>
                                <a:ext cx="1397406" cy="312023"/>
                              </a:xfrm>
                              <a:prstGeom prst="rect">
                                <a:avLst/>
                              </a:prstGeom>
                              <a:solidFill>
                                <a:schemeClr val="lt1"/>
                              </a:solidFill>
                              <a:ln w="6350">
                                <a:noFill/>
                              </a:ln>
                            </wps:spPr>
                            <wps:txbx>
                              <w:txbxContent>
                                <w:p w:rsidR="00BE6F5B" w:rsidRPr="00F67B06" w:rsidRDefault="00BE6F5B" w:rsidP="000735AD">
                                  <w:pPr>
                                    <w:spacing w:after="40"/>
                                    <w:jc w:val="right"/>
                                    <w:rPr>
                                      <w:sz w:val="10"/>
                                      <w:szCs w:val="10"/>
                                    </w:rPr>
                                  </w:pPr>
                                  <w:r>
                                    <w:rPr>
                                      <w:sz w:val="10"/>
                                    </w:rPr>
                                    <w:t>Контроль кон’югації (CC)</w:t>
                                  </w:r>
                                </w:p>
                                <w:p w:rsidR="00BE6F5B" w:rsidRPr="00F67B06" w:rsidRDefault="00BE6F5B" w:rsidP="000735AD">
                                  <w:pPr>
                                    <w:spacing w:after="40"/>
                                    <w:jc w:val="right"/>
                                    <w:rPr>
                                      <w:sz w:val="10"/>
                                      <w:szCs w:val="10"/>
                                    </w:rPr>
                                  </w:pPr>
                                  <w:r>
                                    <w:rPr>
                                      <w:sz w:val="10"/>
                                    </w:rPr>
                                    <w:t>Контроль ампліфікації (AC)</w:t>
                                  </w:r>
                                </w:p>
                                <w:p w:rsidR="00BE6F5B" w:rsidRPr="00F67B06" w:rsidRDefault="00BE6F5B" w:rsidP="000735AD">
                                  <w:pPr>
                                    <w:spacing w:after="40"/>
                                    <w:jc w:val="right"/>
                                    <w:rPr>
                                      <w:sz w:val="10"/>
                                      <w:szCs w:val="10"/>
                                    </w:rPr>
                                  </w:pPr>
                                  <w:r>
                                    <w:rPr>
                                      <w:sz w:val="10"/>
                                    </w:rPr>
                                    <w:t>Комплекс M. Tuberculosis (ТУБ)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27F86" id="Надпись 573" o:spid="_x0000_s1091" type="#_x0000_t202" style="position:absolute;margin-left:18.85pt;margin-top:23.4pt;width:110.05pt;height:24.5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" fillcolor="white [3201]" stroked="f" strokeweight=".5pt">
                      <v:textbox inset="0,0,0,0">
                        <w:txbxContent>
                          <w:p w:rsidR="00BE6F5B" w:rsidRPr="00F67B06" w:rsidRDefault="00BE6F5B" w:rsidP="000735AD">
                            <w:pPr>
                              <w:spacing w:after="40"/>
                              <w:jc w:val="right"/>
                              <w:rPr>
                                <w:sz w:val="10"/>
                                <w:szCs w:val="10"/>
                              </w:rPr>
                            </w:pPr>
                            <w:r>
                              <w:rPr>
                                <w:sz w:val="10"/>
                              </w:rPr>
                              <w:t>Контроль кон’югації (CC)</w:t>
                            </w:r>
                          </w:p>
                          <w:p w:rsidR="00BE6F5B" w:rsidRPr="00F67B06" w:rsidRDefault="00BE6F5B" w:rsidP="000735AD">
                            <w:pPr>
                              <w:spacing w:after="40"/>
                              <w:jc w:val="right"/>
                              <w:rPr>
                                <w:sz w:val="10"/>
                                <w:szCs w:val="10"/>
                              </w:rPr>
                            </w:pPr>
                            <w:r>
                              <w:rPr>
                                <w:sz w:val="10"/>
                              </w:rPr>
                              <w:t>Контроль ампліфікації (AC)</w:t>
                            </w:r>
                          </w:p>
                          <w:p w:rsidR="00BE6F5B" w:rsidRPr="00F67B06" w:rsidRDefault="00BE6F5B" w:rsidP="000735AD">
                            <w:pPr>
                              <w:spacing w:after="40"/>
                              <w:jc w:val="right"/>
                              <w:rPr>
                                <w:sz w:val="10"/>
                                <w:szCs w:val="10"/>
                              </w:rPr>
                            </w:pPr>
                            <w:r>
                              <w:rPr>
                                <w:sz w:val="10"/>
                              </w:rPr>
                              <w:t>Комплекс M. Tuberculosis (ТУБ)</w:t>
                            </w:r>
                          </w:p>
                        </w:txbxContent>
                      </v:textbox>
                      <w10:wrap anchorx="page" anchory="page"/>
                    </v:shape>
                  </w:pict>
                </mc:Fallback>
              </mc:AlternateContent>
            </w:r>
            <w:r w:rsidR="00C955FF">
              <w:rPr>
                <w:rFonts w:ascii="Calibri" w:hAnsi="Calibri"/>
                <w:noProof/>
                <w:lang w:val="en-US" w:bidi="ar-SA"/>
              </w:rPr>
              <w:drawing>
                <wp:inline distT="0" distB="0" distL="0" distR="0" wp14:anchorId="3535A898" wp14:editId="66918F95">
                  <wp:extent cx="5836285" cy="3816350"/>
                  <wp:effectExtent l="0" t="0" r="0" b="0"/>
                  <wp:docPr id="215"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836285" cy="3816350"/>
                          </a:xfrm>
                          <a:prstGeom prst="rect">
                            <a:avLst/>
                          </a:prstGeom>
                          <a:noFill/>
                          <a:ln>
                            <a:noFill/>
                          </a:ln>
                        </pic:spPr>
                      </pic:pic>
                    </a:graphicData>
                  </a:graphic>
                </wp:inline>
              </w:drawing>
            </w:r>
          </w:p>
        </w:tc>
      </w:tr>
      <w:tr w:rsidR="00ED665B" w:rsidRPr="00907702">
        <w:trPr>
          <w:trHeight w:hRule="exact" w:val="442"/>
        </w:trPr>
        <w:tc>
          <w:tcPr>
            <w:tcW w:w="9187" w:type="dxa"/>
            <w:tcBorders>
              <w:top w:val="nil"/>
              <w:left w:val="nil"/>
              <w:bottom w:val="nil"/>
              <w:right w:val="nil"/>
            </w:tcBorders>
            <w:shd w:val="clear" w:color="auto" w:fill="FFFFFF"/>
          </w:tcPr>
          <w:p w:rsidR="00ED665B" w:rsidRPr="00907702" w:rsidRDefault="006C7D2F" w:rsidP="00F67B06">
            <w:pPr>
              <w:framePr w:h="6452" w:hSpace="38" w:wrap="auto" w:vAnchor="text" w:hAnchor="text" w:x="-71" w:y="582"/>
              <w:ind w:right="302"/>
              <w:rPr>
                <w:rFonts w:ascii="Calibri" w:hAnsi="Calibri" w:cs="Calibri"/>
              </w:rPr>
            </w:pPr>
            <w:r>
              <w:rPr>
                <w:rFonts w:ascii="Calibri" w:hAnsi="Calibri"/>
                <w:color w:val="000000"/>
                <w:sz w:val="16"/>
              </w:rPr>
              <w:t>Рисунок: Надано FIND Джерело: Надано Фондом інноваційної нової діагностики (FIND), © 2021. Усі права захищені.</w:t>
            </w:r>
          </w:p>
        </w:tc>
      </w:tr>
    </w:tbl>
    <w:p w:rsidR="00F67B06" w:rsidRPr="00907702" w:rsidRDefault="000735AD" w:rsidP="00DC2656">
      <w:pPr>
        <w:rPr>
          <w:rFonts w:ascii="Calibri" w:hAnsi="Calibri" w:cs="Calibri"/>
        </w:rPr>
      </w:pPr>
      <w:r>
        <w:rPr>
          <w:rFonts w:ascii="Calibri" w:hAnsi="Calibri"/>
          <w:b/>
          <w:noProof/>
          <w:color w:val="000000"/>
          <w:sz w:val="24"/>
          <w:lang w:val="en-US" w:bidi="ar-SA"/>
        </w:rPr>
        <mc:AlternateContent>
          <mc:Choice Requires="wps">
            <w:drawing>
              <wp:anchor distT="0" distB="0" distL="114300" distR="114300" simplePos="0" relativeHeight="251727872" behindDoc="0" locked="0" layoutInCell="1" allowOverlap="1" wp14:anchorId="7E54BDEC" wp14:editId="1406FF72">
                <wp:simplePos x="0" y="0"/>
                <wp:positionH relativeFrom="page">
                  <wp:posOffset>1031409</wp:posOffset>
                </wp:positionH>
                <wp:positionV relativeFrom="page">
                  <wp:posOffset>4957695</wp:posOffset>
                </wp:positionV>
                <wp:extent cx="1501413" cy="1390650"/>
                <wp:effectExtent l="0" t="0" r="3810" b="0"/>
                <wp:wrapNone/>
                <wp:docPr id="574" name="Надпись 574"/>
                <wp:cNvGraphicFramePr/>
                <a:graphic xmlns:a="http://schemas.openxmlformats.org/drawingml/2006/main">
                  <a:graphicData uri="http://schemas.microsoft.com/office/word/2010/wordprocessingShape">
                    <wps:wsp>
                      <wps:cNvSpPr txBox="1"/>
                      <wps:spPr>
                        <a:xfrm>
                          <a:off x="0" y="0"/>
                          <a:ext cx="1501413" cy="1390650"/>
                        </a:xfrm>
                        <a:prstGeom prst="rect">
                          <a:avLst/>
                        </a:prstGeom>
                        <a:solidFill>
                          <a:schemeClr val="lt1"/>
                        </a:solidFill>
                        <a:ln w="6350">
                          <a:noFill/>
                        </a:ln>
                      </wps:spPr>
                      <wps:txbx>
                        <w:txbxContent>
                          <w:p w:rsidR="00BE6F5B" w:rsidRPr="00DF25B6" w:rsidRDefault="00BE6F5B" w:rsidP="000735AD">
                            <w:pPr>
                              <w:spacing w:after="50"/>
                              <w:jc w:val="right"/>
                              <w:rPr>
                                <w:sz w:val="10"/>
                                <w:szCs w:val="10"/>
                              </w:rPr>
                            </w:pPr>
                            <w:r>
                              <w:rPr>
                                <w:sz w:val="10"/>
                              </w:rPr>
                              <w:t xml:space="preserve">локусний контроль rpoB </w:t>
                            </w:r>
                          </w:p>
                          <w:p w:rsidR="00BE6F5B" w:rsidRPr="00F67B06" w:rsidRDefault="00BE6F5B" w:rsidP="000735AD">
                            <w:pPr>
                              <w:spacing w:after="50"/>
                              <w:jc w:val="right"/>
                              <w:rPr>
                                <w:sz w:val="10"/>
                                <w:szCs w:val="10"/>
                              </w:rPr>
                            </w:pPr>
                            <w:r>
                              <w:rPr>
                                <w:sz w:val="10"/>
                              </w:rPr>
                              <w:t>rpoB дикого типу зонд 1 (rpoB ДТ1)</w:t>
                            </w:r>
                          </w:p>
                          <w:p w:rsidR="00BE6F5B" w:rsidRPr="00F67B06" w:rsidRDefault="00BE6F5B" w:rsidP="000735AD">
                            <w:pPr>
                              <w:spacing w:after="50"/>
                              <w:jc w:val="right"/>
                              <w:rPr>
                                <w:sz w:val="10"/>
                                <w:szCs w:val="10"/>
                              </w:rPr>
                            </w:pPr>
                            <w:r>
                              <w:rPr>
                                <w:sz w:val="10"/>
                              </w:rPr>
                              <w:t>rpoB дикого типу зонд 2 (rpoB ДТ2)</w:t>
                            </w:r>
                          </w:p>
                          <w:p w:rsidR="00BE6F5B" w:rsidRDefault="00BE6F5B" w:rsidP="000735AD">
                            <w:pPr>
                              <w:spacing w:after="50"/>
                              <w:jc w:val="right"/>
                              <w:rPr>
                                <w:sz w:val="10"/>
                                <w:szCs w:val="10"/>
                              </w:rPr>
                            </w:pPr>
                            <w:r>
                              <w:rPr>
                                <w:sz w:val="10"/>
                              </w:rPr>
                              <w:t>rpoB дикого типу зонд 3 (rpoB ДТ3)</w:t>
                            </w:r>
                          </w:p>
                          <w:p w:rsidR="00BE6F5B" w:rsidRDefault="00BE6F5B" w:rsidP="000735AD">
                            <w:pPr>
                              <w:spacing w:after="50"/>
                              <w:jc w:val="right"/>
                              <w:rPr>
                                <w:sz w:val="10"/>
                                <w:szCs w:val="10"/>
                              </w:rPr>
                            </w:pPr>
                            <w:r>
                              <w:rPr>
                                <w:sz w:val="10"/>
                              </w:rPr>
                              <w:t>rpoB дикого типу зонд 4 (rpoB ДТ4)</w:t>
                            </w:r>
                          </w:p>
                          <w:p w:rsidR="00BE6F5B" w:rsidRDefault="00BE6F5B" w:rsidP="000735AD">
                            <w:pPr>
                              <w:spacing w:after="50"/>
                              <w:jc w:val="right"/>
                              <w:rPr>
                                <w:sz w:val="10"/>
                                <w:szCs w:val="10"/>
                              </w:rPr>
                            </w:pPr>
                            <w:r>
                              <w:rPr>
                                <w:sz w:val="10"/>
                              </w:rPr>
                              <w:t>rpoB дикого типу зонд 5 (rpoB ДТ5)</w:t>
                            </w:r>
                          </w:p>
                          <w:p w:rsidR="00BE6F5B" w:rsidRDefault="00BE6F5B" w:rsidP="000735AD">
                            <w:pPr>
                              <w:spacing w:after="50"/>
                              <w:jc w:val="right"/>
                              <w:rPr>
                                <w:sz w:val="10"/>
                                <w:szCs w:val="10"/>
                              </w:rPr>
                            </w:pPr>
                            <w:r>
                              <w:rPr>
                                <w:sz w:val="10"/>
                              </w:rPr>
                              <w:t>rpoB дикого типу зонд 6 (rpoB ДТ6)</w:t>
                            </w:r>
                          </w:p>
                          <w:p w:rsidR="00BE6F5B" w:rsidRDefault="00BE6F5B" w:rsidP="000735AD">
                            <w:pPr>
                              <w:spacing w:after="50"/>
                              <w:jc w:val="right"/>
                              <w:rPr>
                                <w:sz w:val="10"/>
                                <w:szCs w:val="10"/>
                              </w:rPr>
                            </w:pPr>
                            <w:r>
                              <w:rPr>
                                <w:sz w:val="10"/>
                              </w:rPr>
                              <w:t>rpoB дикого типу зонд 7 (rpoB ДТ7)</w:t>
                            </w:r>
                          </w:p>
                          <w:p w:rsidR="00BE6F5B" w:rsidRDefault="00BE6F5B" w:rsidP="000735AD">
                            <w:pPr>
                              <w:spacing w:after="50"/>
                              <w:jc w:val="right"/>
                              <w:rPr>
                                <w:sz w:val="10"/>
                                <w:szCs w:val="10"/>
                              </w:rPr>
                            </w:pPr>
                            <w:r>
                              <w:rPr>
                                <w:sz w:val="10"/>
                              </w:rPr>
                              <w:t>rpoB дикого типу зонд 8 (rpoB ДТ8)</w:t>
                            </w:r>
                          </w:p>
                          <w:p w:rsidR="00BE6F5B" w:rsidRDefault="00BE6F5B" w:rsidP="000735AD">
                            <w:pPr>
                              <w:spacing w:after="50"/>
                              <w:jc w:val="right"/>
                              <w:rPr>
                                <w:sz w:val="10"/>
                                <w:szCs w:val="10"/>
                              </w:rPr>
                            </w:pPr>
                            <w:r>
                              <w:rPr>
                                <w:sz w:val="10"/>
                              </w:rPr>
                              <w:t>rpoB мутаційний зонд 1 (rpoB МУТ1)</w:t>
                            </w:r>
                          </w:p>
                          <w:p w:rsidR="00BE6F5B" w:rsidRDefault="00BE6F5B" w:rsidP="000735AD">
                            <w:pPr>
                              <w:spacing w:after="50"/>
                              <w:jc w:val="right"/>
                              <w:rPr>
                                <w:sz w:val="10"/>
                                <w:szCs w:val="10"/>
                              </w:rPr>
                            </w:pPr>
                            <w:r>
                              <w:rPr>
                                <w:sz w:val="10"/>
                              </w:rPr>
                              <w:t>rpoB мутаційний зонд 2А (rpoB МУТ2А)</w:t>
                            </w:r>
                          </w:p>
                          <w:p w:rsidR="00BE6F5B" w:rsidRDefault="00BE6F5B" w:rsidP="000735AD">
                            <w:pPr>
                              <w:spacing w:after="50"/>
                              <w:jc w:val="right"/>
                              <w:rPr>
                                <w:sz w:val="10"/>
                                <w:szCs w:val="10"/>
                              </w:rPr>
                            </w:pPr>
                            <w:r>
                              <w:rPr>
                                <w:sz w:val="10"/>
                              </w:rPr>
                              <w:t>rpoB мутаційний зонд 2В (rpoB МУТ2В)</w:t>
                            </w:r>
                          </w:p>
                          <w:p w:rsidR="00BE6F5B" w:rsidRDefault="00BE6F5B" w:rsidP="000735AD">
                            <w:pPr>
                              <w:spacing w:after="50"/>
                              <w:jc w:val="right"/>
                              <w:rPr>
                                <w:sz w:val="10"/>
                                <w:szCs w:val="10"/>
                              </w:rPr>
                            </w:pPr>
                            <w:r>
                              <w:rPr>
                                <w:sz w:val="10"/>
                              </w:rPr>
                              <w:t>rpoB мутаційний зонд 3 rpoB МУТ3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4BDEC" id="Надпись 574" o:spid="_x0000_s1092" type="#_x0000_t202" style="position:absolute;margin-left:81.2pt;margin-top:390.35pt;width:118.2pt;height:109.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" fillcolor="white [3201]" stroked="f" strokeweight=".5pt">
                <v:textbox inset="0,0,0,0">
                  <w:txbxContent>
                    <w:p w:rsidR="00BE6F5B" w:rsidRPr="00DF25B6" w:rsidRDefault="00BE6F5B" w:rsidP="000735AD">
                      <w:pPr>
                        <w:spacing w:after="50"/>
                        <w:jc w:val="right"/>
                        <w:rPr>
                          <w:sz w:val="10"/>
                          <w:szCs w:val="10"/>
                        </w:rPr>
                      </w:pPr>
                      <w:r>
                        <w:rPr>
                          <w:sz w:val="10"/>
                        </w:rPr>
                        <w:t xml:space="preserve">локусний контроль rpoB </w:t>
                      </w:r>
                    </w:p>
                    <w:p w:rsidR="00BE6F5B" w:rsidRPr="00F67B06" w:rsidRDefault="00BE6F5B" w:rsidP="000735AD">
                      <w:pPr>
                        <w:spacing w:after="50"/>
                        <w:jc w:val="right"/>
                        <w:rPr>
                          <w:sz w:val="10"/>
                          <w:szCs w:val="10"/>
                        </w:rPr>
                      </w:pPr>
                      <w:r>
                        <w:rPr>
                          <w:sz w:val="10"/>
                        </w:rPr>
                        <w:t>rpoB дикого типу зонд 1 (rpoB ДТ1)</w:t>
                      </w:r>
                    </w:p>
                    <w:p w:rsidR="00BE6F5B" w:rsidRPr="00F67B06" w:rsidRDefault="00BE6F5B" w:rsidP="000735AD">
                      <w:pPr>
                        <w:spacing w:after="50"/>
                        <w:jc w:val="right"/>
                        <w:rPr>
                          <w:sz w:val="10"/>
                          <w:szCs w:val="10"/>
                        </w:rPr>
                      </w:pPr>
                      <w:r>
                        <w:rPr>
                          <w:sz w:val="10"/>
                        </w:rPr>
                        <w:t>rpoB дикого типу зонд 2 (rpoB ДТ2)</w:t>
                      </w:r>
                    </w:p>
                    <w:p w:rsidR="00BE6F5B" w:rsidRDefault="00BE6F5B" w:rsidP="000735AD">
                      <w:pPr>
                        <w:spacing w:after="50"/>
                        <w:jc w:val="right"/>
                        <w:rPr>
                          <w:sz w:val="10"/>
                          <w:szCs w:val="10"/>
                        </w:rPr>
                      </w:pPr>
                      <w:r>
                        <w:rPr>
                          <w:sz w:val="10"/>
                        </w:rPr>
                        <w:t>rpoB дикого типу зонд 3 (rpoB ДТ3)</w:t>
                      </w:r>
                    </w:p>
                    <w:p w:rsidR="00BE6F5B" w:rsidRDefault="00BE6F5B" w:rsidP="000735AD">
                      <w:pPr>
                        <w:spacing w:after="50"/>
                        <w:jc w:val="right"/>
                        <w:rPr>
                          <w:sz w:val="10"/>
                          <w:szCs w:val="10"/>
                        </w:rPr>
                      </w:pPr>
                      <w:r>
                        <w:rPr>
                          <w:sz w:val="10"/>
                        </w:rPr>
                        <w:t>rpoB дикого типу зонд 4 (rpoB ДТ4)</w:t>
                      </w:r>
                    </w:p>
                    <w:p w:rsidR="00BE6F5B" w:rsidRDefault="00BE6F5B" w:rsidP="000735AD">
                      <w:pPr>
                        <w:spacing w:after="50"/>
                        <w:jc w:val="right"/>
                        <w:rPr>
                          <w:sz w:val="10"/>
                          <w:szCs w:val="10"/>
                        </w:rPr>
                      </w:pPr>
                      <w:r>
                        <w:rPr>
                          <w:sz w:val="10"/>
                        </w:rPr>
                        <w:t>rpoB дикого типу зонд 5 (rpoB ДТ5)</w:t>
                      </w:r>
                    </w:p>
                    <w:p w:rsidR="00BE6F5B" w:rsidRDefault="00BE6F5B" w:rsidP="000735AD">
                      <w:pPr>
                        <w:spacing w:after="50"/>
                        <w:jc w:val="right"/>
                        <w:rPr>
                          <w:sz w:val="10"/>
                          <w:szCs w:val="10"/>
                        </w:rPr>
                      </w:pPr>
                      <w:r>
                        <w:rPr>
                          <w:sz w:val="10"/>
                        </w:rPr>
                        <w:t>rpoB дикого типу зонд 6 (rpoB ДТ6)</w:t>
                      </w:r>
                    </w:p>
                    <w:p w:rsidR="00BE6F5B" w:rsidRDefault="00BE6F5B" w:rsidP="000735AD">
                      <w:pPr>
                        <w:spacing w:after="50"/>
                        <w:jc w:val="right"/>
                        <w:rPr>
                          <w:sz w:val="10"/>
                          <w:szCs w:val="10"/>
                        </w:rPr>
                      </w:pPr>
                      <w:r>
                        <w:rPr>
                          <w:sz w:val="10"/>
                        </w:rPr>
                        <w:t>rpoB дикого типу зонд 7 (rpoB ДТ7)</w:t>
                      </w:r>
                    </w:p>
                    <w:p w:rsidR="00BE6F5B" w:rsidRDefault="00BE6F5B" w:rsidP="000735AD">
                      <w:pPr>
                        <w:spacing w:after="50"/>
                        <w:jc w:val="right"/>
                        <w:rPr>
                          <w:sz w:val="10"/>
                          <w:szCs w:val="10"/>
                        </w:rPr>
                      </w:pPr>
                      <w:r>
                        <w:rPr>
                          <w:sz w:val="10"/>
                        </w:rPr>
                        <w:t>rpoB дикого типу зонд 8 (rpoB ДТ8)</w:t>
                      </w:r>
                    </w:p>
                    <w:p w:rsidR="00BE6F5B" w:rsidRDefault="00BE6F5B" w:rsidP="000735AD">
                      <w:pPr>
                        <w:spacing w:after="50"/>
                        <w:jc w:val="right"/>
                        <w:rPr>
                          <w:sz w:val="10"/>
                          <w:szCs w:val="10"/>
                        </w:rPr>
                      </w:pPr>
                      <w:r>
                        <w:rPr>
                          <w:sz w:val="10"/>
                        </w:rPr>
                        <w:t>rpoB мутаційний зонд 1 (rpoB МУТ1)</w:t>
                      </w:r>
                    </w:p>
                    <w:p w:rsidR="00BE6F5B" w:rsidRDefault="00BE6F5B" w:rsidP="000735AD">
                      <w:pPr>
                        <w:spacing w:after="50"/>
                        <w:jc w:val="right"/>
                        <w:rPr>
                          <w:sz w:val="10"/>
                          <w:szCs w:val="10"/>
                        </w:rPr>
                      </w:pPr>
                      <w:r>
                        <w:rPr>
                          <w:sz w:val="10"/>
                        </w:rPr>
                        <w:t>rpoB мутаційний зонд 2А (rpoB МУТ2А)</w:t>
                      </w:r>
                    </w:p>
                    <w:p w:rsidR="00BE6F5B" w:rsidRDefault="00BE6F5B" w:rsidP="000735AD">
                      <w:pPr>
                        <w:spacing w:after="50"/>
                        <w:jc w:val="right"/>
                        <w:rPr>
                          <w:sz w:val="10"/>
                          <w:szCs w:val="10"/>
                        </w:rPr>
                      </w:pPr>
                      <w:r>
                        <w:rPr>
                          <w:sz w:val="10"/>
                        </w:rPr>
                        <w:t>rpoB мутаційний зонд 2В (rpoB МУТ2В)</w:t>
                      </w:r>
                    </w:p>
                    <w:p w:rsidR="00BE6F5B" w:rsidRDefault="00BE6F5B" w:rsidP="000735AD">
                      <w:pPr>
                        <w:spacing w:after="50"/>
                        <w:jc w:val="right"/>
                        <w:rPr>
                          <w:sz w:val="10"/>
                          <w:szCs w:val="10"/>
                        </w:rPr>
                      </w:pPr>
                      <w:r>
                        <w:rPr>
                          <w:sz w:val="10"/>
                        </w:rPr>
                        <w:t>rpoB мутаційний зонд 3 rpoB МУТ3</w:t>
                      </w:r>
                    </w:p>
                  </w:txbxContent>
                </v:textbox>
                <w10:wrap anchorx="page" anchory="page"/>
              </v:shape>
            </w:pict>
          </mc:Fallback>
        </mc:AlternateContent>
      </w:r>
    </w:p>
    <w:p w:rsidR="00ED665B" w:rsidRPr="00C955FF" w:rsidRDefault="00ED665B" w:rsidP="00DC2656">
      <w:pPr>
        <w:rPr>
          <w:rFonts w:ascii="Calibri" w:hAnsi="Calibri" w:cs="Calibri"/>
          <w:lang w:val="ru-RU"/>
        </w:rPr>
        <w:sectPr w:rsidR="00ED665B" w:rsidRPr="00C955FF">
          <w:pgSz w:w="11904" w:h="16838"/>
          <w:pgMar w:top="1219" w:right="1416" w:bottom="2621" w:left="1416" w:header="720" w:footer="720" w:gutter="0"/>
          <w:cols w:space="60"/>
          <w:noEndnote/>
        </w:sectPr>
      </w:pPr>
    </w:p>
    <w:p w:rsidR="00ED665B" w:rsidRPr="00C955FF" w:rsidRDefault="00640824" w:rsidP="00DC2656">
      <w:pPr>
        <w:ind w:left="5"/>
        <w:rPr>
          <w:rFonts w:ascii="Calibri" w:hAnsi="Calibri" w:cs="Calibri"/>
          <w:b/>
          <w:bCs/>
        </w:rPr>
      </w:pPr>
      <w:r>
        <w:rPr>
          <w:rFonts w:ascii="Calibri" w:hAnsi="Calibri"/>
          <w:b/>
          <w:color w:val="009649"/>
          <w:sz w:val="28"/>
        </w:rPr>
        <w:lastRenderedPageBreak/>
        <w:t>Обґрунтування та дані</w:t>
      </w:r>
    </w:p>
    <w:p w:rsidR="00ED665B" w:rsidRPr="00907702" w:rsidRDefault="006C7D2F" w:rsidP="00DC2656">
      <w:pPr>
        <w:spacing w:before="168"/>
        <w:ind w:left="5" w:right="10"/>
        <w:jc w:val="both"/>
        <w:rPr>
          <w:rFonts w:ascii="Calibri" w:hAnsi="Calibri" w:cs="Calibri"/>
        </w:rPr>
      </w:pPr>
      <w:r>
        <w:rPr>
          <w:rFonts w:ascii="Calibri" w:hAnsi="Calibri"/>
          <w:color w:val="000000"/>
          <w:sz w:val="22"/>
        </w:rPr>
        <w:t xml:space="preserve">У 2015 році ВООЗ замовила оновлений систематичний огляд точності комерційних LPA для виявлення МТБК та резистентності до рифампіцину та ізоніазиду. Всього було виявлено 74 дослідження, що включають 94 унікальні набори даних (див. </w:t>
      </w:r>
      <w:r w:rsidRPr="00B537E4">
        <w:rPr>
          <w:rFonts w:ascii="Calibri" w:hAnsi="Calibri"/>
          <w:b/>
          <w:color w:val="000000"/>
          <w:sz w:val="22"/>
        </w:rPr>
        <w:t>Додаток 1.3</w:t>
      </w:r>
      <w:r>
        <w:rPr>
          <w:rFonts w:ascii="Calibri" w:hAnsi="Calibri"/>
          <w:color w:val="000000"/>
          <w:sz w:val="22"/>
        </w:rPr>
        <w:t xml:space="preserve"> «FL-LPA»). З цих 94 наборів даних 83 давали оцінку аналізам Hain версії 1, п’ять – Hain версії 2, а шість – аналізові Nipro. Тільки в одному з досліджень було проведено тестування з порівнянням всіх трьох цільових ЛПА в однакових умовах на безпосередньо випробуваних клінічних зразках та непрямо випробуваних ізолятах, і ці дані були включені у шість окремих наборів даних </w:t>
      </w:r>
      <w:r>
        <w:rPr>
          <w:rFonts w:ascii="Calibri" w:hAnsi="Calibri"/>
          <w:i/>
          <w:color w:val="000000"/>
          <w:sz w:val="22"/>
        </w:rPr>
        <w:t>(39)</w:t>
      </w:r>
      <w:r>
        <w:rPr>
          <w:rFonts w:ascii="Calibri" w:hAnsi="Calibri"/>
          <w:color w:val="000000"/>
          <w:sz w:val="22"/>
        </w:rPr>
        <w:t>.</w:t>
      </w:r>
      <w:r>
        <w:rPr>
          <w:rFonts w:ascii="Calibri" w:hAnsi="Calibri"/>
          <w:i/>
          <w:color w:val="000000"/>
          <w:sz w:val="22"/>
        </w:rPr>
        <w:t xml:space="preserve"> </w:t>
      </w:r>
      <w:r>
        <w:rPr>
          <w:rFonts w:ascii="Calibri" w:hAnsi="Calibri"/>
          <w:color w:val="000000"/>
          <w:sz w:val="22"/>
        </w:rPr>
        <w:t>У жодному дослідженні не проводилося тестування LPA на зразках та культуральних ізолятах у тих самих пацієнтів, що не виключало прямих порівнянь дослідження.</w:t>
      </w:r>
    </w:p>
    <w:p w:rsidR="00ED665B" w:rsidRPr="00907702" w:rsidRDefault="006C7D2F" w:rsidP="00DC2656">
      <w:pPr>
        <w:spacing w:before="168"/>
        <w:ind w:left="10" w:right="19"/>
        <w:jc w:val="both"/>
        <w:rPr>
          <w:rFonts w:ascii="Calibri" w:hAnsi="Calibri" w:cs="Calibri"/>
        </w:rPr>
      </w:pPr>
      <w:r>
        <w:rPr>
          <w:rFonts w:ascii="Calibri" w:hAnsi="Calibri"/>
          <w:color w:val="000000"/>
          <w:sz w:val="22"/>
        </w:rPr>
        <w:t xml:space="preserve">Після систематичного огляду, проведеного у 2015 році, у березні 2016 року за рішенням Глобальної програми боротьби з туберкульозом ВООЗ було скликано ГРН з метою проведення оцінки даних та оновлення рекомендацій щодо політики 2008 року про використання комерційних LPA для виявлення МТБК та резистентності до ізоніазиду та рифампіцину. Питання PICO наведено у </w:t>
      </w:r>
      <w:r>
        <w:rPr>
          <w:rFonts w:ascii="Calibri" w:hAnsi="Calibri"/>
          <w:color w:val="1B61AF"/>
          <w:sz w:val="22"/>
        </w:rPr>
        <w:t>Вставці 2.3.1</w:t>
      </w:r>
      <w:r>
        <w:rPr>
          <w:rFonts w:ascii="Calibri" w:hAnsi="Calibri"/>
          <w:color w:val="000000"/>
          <w:sz w:val="22"/>
        </w:rPr>
        <w:t>.</w:t>
      </w:r>
    </w:p>
    <w:p w:rsidR="00ED665B" w:rsidRPr="00907702" w:rsidRDefault="006C7D2F" w:rsidP="00DC2656">
      <w:pPr>
        <w:spacing w:before="168"/>
        <w:jc w:val="both"/>
        <w:rPr>
          <w:rFonts w:ascii="Calibri" w:hAnsi="Calibri" w:cs="Calibri"/>
        </w:rPr>
      </w:pPr>
      <w:r>
        <w:rPr>
          <w:rFonts w:ascii="Calibri" w:hAnsi="Calibri"/>
          <w:color w:val="000000"/>
          <w:sz w:val="22"/>
        </w:rPr>
        <w:t>LPA порівнювали з референс стандартом ТМЧ на основі фенотипічного посіву та складеним референс стандартом, який поєднував результати генетичного секвенування з результатами ТМЧ на основі фенотипічного посіву. Фенотипічний ТМЧ був основним референс стандартом, застосовуваним до всіх учасників для всіх аналізів. Ці аналізи були стратифіковані, по-перше, за чутливістю або резистентністю до рифампіцину або ізоніазиду (або обох) та, по-друге, за типом тестування LPA (непряме тестування або пряме тестування).</w:t>
      </w:r>
    </w:p>
    <w:p w:rsidR="00ED665B" w:rsidRPr="00907702" w:rsidRDefault="00243C66" w:rsidP="00243C66">
      <w:pPr>
        <w:tabs>
          <w:tab w:val="left" w:pos="739"/>
        </w:tabs>
        <w:spacing w:before="120"/>
        <w:ind w:right="365"/>
        <w:jc w:val="both"/>
        <w:rPr>
          <w:rFonts w:ascii="Calibri" w:hAnsi="Calibri" w:cs="Calibri"/>
          <w:color w:val="000000"/>
          <w:sz w:val="22"/>
          <w:szCs w:val="22"/>
        </w:rPr>
      </w:pPr>
      <w:r>
        <w:rPr>
          <w:rFonts w:ascii="Calibri" w:hAnsi="Calibri"/>
          <w:noProof/>
          <w:lang w:val="en-US" w:bidi="ar-SA"/>
        </w:rPr>
        <mc:AlternateContent>
          <mc:Choice Requires="wpg">
            <w:drawing>
              <wp:anchor distT="0" distB="0" distL="114300" distR="114300" simplePos="0" relativeHeight="251754496" behindDoc="0" locked="0" layoutInCell="1" allowOverlap="1" wp14:anchorId="268B8A8E" wp14:editId="524F2394">
                <wp:simplePos x="0" y="0"/>
                <wp:positionH relativeFrom="margin">
                  <wp:posOffset>-19685</wp:posOffset>
                </wp:positionH>
                <wp:positionV relativeFrom="paragraph">
                  <wp:posOffset>126696</wp:posOffset>
                </wp:positionV>
                <wp:extent cx="5779135" cy="2657034"/>
                <wp:effectExtent l="0" t="0" r="0" b="0"/>
                <wp:wrapNone/>
                <wp:docPr id="577" name="Группа 577"/>
                <wp:cNvGraphicFramePr/>
                <a:graphic xmlns:a="http://schemas.openxmlformats.org/drawingml/2006/main">
                  <a:graphicData uri="http://schemas.microsoft.com/office/word/2010/wordprocessingGroup">
                    <wpg:wgp>
                      <wpg:cNvGrpSpPr/>
                      <wpg:grpSpPr>
                        <a:xfrm>
                          <a:off x="0" y="0"/>
                          <a:ext cx="5779135" cy="2657034"/>
                          <a:chOff x="-172" y="685"/>
                          <a:chExt cx="5779692" cy="2733062"/>
                        </a:xfrm>
                      </wpg:grpSpPr>
                      <wps:wsp>
                        <wps:cNvPr id="578" name="Прямоугольник с двумя скругленными соседними углами 578"/>
                        <wps:cNvSpPr/>
                        <wps:spPr>
                          <a:xfrm rot="5400000">
                            <a:off x="1602479" y="-1443294"/>
                            <a:ext cx="2733062"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Прямоугольник с двумя скругленными соседними углами 579"/>
                        <wps:cNvSpPr/>
                        <wps:spPr>
                          <a:xfrm rot="5400000">
                            <a:off x="1589206" y="-1440522"/>
                            <a:ext cx="340792" cy="3519548"/>
                          </a:xfrm>
                          <a:prstGeom prst="round2SameRect">
                            <a:avLst>
                              <a:gd name="adj1" fmla="val 50000"/>
                              <a:gd name="adj2" fmla="val 0"/>
                            </a:avLst>
                          </a:prstGeom>
                          <a:solidFill>
                            <a:srgbClr val="0096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Надпись 580"/>
                        <wps:cNvSpPr txBox="1"/>
                        <wps:spPr>
                          <a:xfrm>
                            <a:off x="161888" y="219896"/>
                            <a:ext cx="5029200" cy="287020"/>
                          </a:xfrm>
                          <a:prstGeom prst="rect">
                            <a:avLst/>
                          </a:prstGeom>
                          <a:noFill/>
                          <a:ln w="6350">
                            <a:noFill/>
                          </a:ln>
                        </wps:spPr>
                        <wps:txbx>
                          <w:txbxContent>
                            <w:p w:rsidR="00BE6F5B" w:rsidRPr="00A3729E" w:rsidRDefault="00BE6F5B" w:rsidP="00243C66">
                              <w:pPr>
                                <w:rPr>
                                  <w:rFonts w:asciiTheme="minorHAnsi" w:hAnsiTheme="minorHAnsi" w:cstheme="minorHAnsi"/>
                                </w:rPr>
                              </w:pPr>
                              <w:r>
                                <w:rPr>
                                  <w:rFonts w:asciiTheme="minorHAnsi" w:hAnsiTheme="minorHAnsi"/>
                                  <w:b/>
                                  <w:color w:val="FFFFFF"/>
                                  <w:sz w:val="22"/>
                                </w:rPr>
                                <w:t>Вставка 2.3.1. Питання PICO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1" name="Надпись 581"/>
                        <wps:cNvSpPr txBox="1"/>
                        <wps:spPr>
                          <a:xfrm>
                            <a:off x="385172" y="636834"/>
                            <a:ext cx="5082362" cy="2021523"/>
                          </a:xfrm>
                          <a:prstGeom prst="rect">
                            <a:avLst/>
                          </a:prstGeom>
                          <a:noFill/>
                          <a:ln w="6350">
                            <a:noFill/>
                          </a:ln>
                        </wps:spPr>
                        <wps:txbx>
                          <w:txbxContent>
                            <w:p w:rsidR="00BE6F5B" w:rsidRPr="00243C66" w:rsidRDefault="00BE6F5B" w:rsidP="00B537E4">
                              <w:pPr>
                                <w:tabs>
                                  <w:tab w:val="left" w:pos="238"/>
                                </w:tabs>
                                <w:spacing w:after="120"/>
                                <w:jc w:val="both"/>
                                <w:rPr>
                                  <w:rFonts w:ascii="Calibri" w:hAnsi="Calibri" w:cs="Calibri"/>
                                  <w:color w:val="000000"/>
                                </w:rPr>
                              </w:pPr>
                              <w:r>
                                <w:rPr>
                                  <w:rFonts w:ascii="Calibri" w:hAnsi="Calibri"/>
                                  <w:color w:val="000000"/>
                                </w:rPr>
                                <w:t>1.</w:t>
                              </w:r>
                              <w:r>
                                <w:rPr>
                                  <w:rFonts w:ascii="Calibri" w:hAnsi="Calibri"/>
                                  <w:color w:val="000000"/>
                                </w:rPr>
                                <w:tab/>
                                <w:t>Чи слід використовувати LPA для прийняття клінічних рішень щодо використання рифампіцину при прямому тестуванні зразків та непрямому тестуванні культуральних ізолятів у пацієнтів з ознаками та симптомами, що свідчать про захворювання на ТБ?</w:t>
                              </w:r>
                            </w:p>
                            <w:p w:rsidR="00BE6F5B" w:rsidRPr="00243C66" w:rsidRDefault="00BE6F5B" w:rsidP="00B537E4">
                              <w:pPr>
                                <w:tabs>
                                  <w:tab w:val="left" w:pos="238"/>
                                </w:tabs>
                                <w:spacing w:after="120"/>
                                <w:jc w:val="both"/>
                                <w:rPr>
                                  <w:rFonts w:ascii="Calibri" w:hAnsi="Calibri" w:cs="Calibri"/>
                                  <w:color w:val="000000"/>
                                </w:rPr>
                              </w:pPr>
                              <w:r>
                                <w:rPr>
                                  <w:rFonts w:ascii="Calibri" w:hAnsi="Calibri"/>
                                  <w:color w:val="000000"/>
                                </w:rPr>
                                <w:t>2.</w:t>
                              </w:r>
                              <w:r>
                                <w:rPr>
                                  <w:rFonts w:ascii="Calibri" w:hAnsi="Calibri"/>
                                  <w:color w:val="000000"/>
                                </w:rPr>
                                <w:tab/>
                                <w:t>Чи слід використовувати LPA для прийняття клінічних рішень щодо використання ізоніазиду при прямому тестуванні зразків та непрямому тестуванні культуральних ізолятів у пацієнтів з ознаками та симптомами, що свідчать про захворювання на ТБ?</w:t>
                              </w:r>
                            </w:p>
                            <w:p w:rsidR="00BE6F5B" w:rsidRPr="00243C66" w:rsidRDefault="00BE6F5B" w:rsidP="00B537E4">
                              <w:pPr>
                                <w:tabs>
                                  <w:tab w:val="left" w:pos="238"/>
                                </w:tabs>
                                <w:spacing w:after="120"/>
                                <w:jc w:val="both"/>
                                <w:rPr>
                                  <w:rFonts w:ascii="Calibri" w:hAnsi="Calibri" w:cs="Calibri"/>
                                  <w:color w:val="000000"/>
                                </w:rPr>
                              </w:pPr>
                              <w:r>
                                <w:rPr>
                                  <w:rFonts w:ascii="Calibri" w:hAnsi="Calibri"/>
                                  <w:color w:val="000000"/>
                                </w:rPr>
                                <w:t>3.</w:t>
                              </w:r>
                              <w:r>
                                <w:rPr>
                                  <w:rFonts w:ascii="Calibri" w:hAnsi="Calibri"/>
                                  <w:color w:val="000000"/>
                                </w:rPr>
                                <w:tab/>
                                <w:t>Чи слід використовувати LPA для діагностики МЛС-ТБ у пацієнтів з ознаками та симптомами, що свідчать про захворювання на ТБ?</w:t>
                              </w:r>
                            </w:p>
                            <w:p w:rsidR="00BE6F5B" w:rsidRPr="00F85B2E" w:rsidRDefault="00BE6F5B" w:rsidP="00B537E4">
                              <w:pPr>
                                <w:tabs>
                                  <w:tab w:val="left" w:pos="238"/>
                                </w:tabs>
                                <w:spacing w:after="120"/>
                                <w:jc w:val="both"/>
                                <w:rPr>
                                  <w:rFonts w:asciiTheme="minorHAnsi" w:hAnsiTheme="minorHAnsi" w:cstheme="minorHAnsi"/>
                                </w:rPr>
                              </w:pPr>
                              <w:r>
                                <w:rPr>
                                  <w:rFonts w:ascii="Calibri" w:hAnsi="Calibri"/>
                                  <w:color w:val="000000"/>
                                </w:rPr>
                                <w:t>4.</w:t>
                              </w:r>
                              <w:r>
                                <w:rPr>
                                  <w:rFonts w:ascii="Calibri" w:hAnsi="Calibri"/>
                                  <w:color w:val="000000"/>
                                </w:rPr>
                                <w:tab/>
                                <w:t>Чи слід застосовувати LPA для діагностики ТБ у пацієнтів з ознаками та симптомами, що свідчать про захворювання на ТБ, але чиї результати мазка мокротиння негативні?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8B8A8E" id="Группа 577" o:spid="_x0000_s1093" style="position:absolute;left:0;text-align:left;margin-left:-1.55pt;margin-top:10pt;width:455.05pt;height:209.2pt;z-index:251754496;mso-position-horizontal-relative:margin;mso-width-relative:margin;mso-height-relative:margin" coordorigin="-1,6" coordsize="57796,2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">
                <v:shape id="Прямоугольник с двумя скругленными соседними углами 578" o:spid="_x0000_s1094" style="position:absolute;left:16024;top:-14433;width:27331;height:56210;rotation:90;visibility:visible;mso-wrap-style:square;v-text-anchor:middle" coordsize="2733062,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" path="m225833,l2507229,v124724,,225833,101109,225833,225833l2733062,5621020r,l,5621020r,l,225833c,101109,101109,,225833,xe" fillcolor="#c6e0ce" stroked="f" strokeweight="1pt">
                  <v:stroke joinstyle="miter"/>
                  <v:path arrowok="t" o:connecttype="custom" o:connectlocs="225833,0;2507229,0;2733062,225833;2733062,5621020;2733062,5621020;0,5621020;0,5621020;0,225833;225833,0" o:connectangles="0,0,0,0,0,0,0,0,0"/>
                </v:shape>
                <v:shape id="Прямоугольник с двумя скругленными соседними углами 579" o:spid="_x0000_s1095" style="position:absolute;left:15892;top:-14405;width:3408;height:35194;rotation:90;visibility:visible;mso-wrap-style:square;v-text-anchor:middle" coordsize="340792,351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" path="m170396,r,c264503,,340792,76289,340792,170396r,3349152l340792,3519548,,3519548r,l,170396c,76289,76289,,170396,xe" fillcolor="#009649" stroked="f" strokeweight="1pt">
                  <v:stroke joinstyle="miter"/>
                  <v:path arrowok="t" o:connecttype="custom" o:connectlocs="170396,0;170396,0;340792,170396;340792,3519548;340792,3519548;0,3519548;0,3519548;0,170396;170396,0" o:connectangles="0,0,0,0,0,0,0,0,0"/>
                </v:shape>
                <v:shape id="Надпись 580" o:spid="_x0000_s1096" type="#_x0000_t202" style="position:absolute;left:1618;top:2198;width:50292;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" filled="f" stroked="f" strokeweight=".5pt">
                  <v:textbox inset="0,0,0,0">
                    <w:txbxContent>
                      <w:p w:rsidR="00BE6F5B" w:rsidRPr="00A3729E" w:rsidRDefault="00BE6F5B" w:rsidP="00243C66">
                        <w:pPr>
                          <w:rPr>
                            <w:rFonts w:asciiTheme="minorHAnsi" w:hAnsiTheme="minorHAnsi" w:cstheme="minorHAnsi"/>
                          </w:rPr>
                        </w:pPr>
                        <w:r>
                          <w:rPr>
                            <w:rFonts w:asciiTheme="minorHAnsi" w:hAnsiTheme="minorHAnsi"/>
                            <w:b/>
                            <w:color w:val="FFFFFF"/>
                            <w:sz w:val="22"/>
                          </w:rPr>
                          <w:t>Вставка 2.3.1. Питання PICO</w:t>
                        </w:r>
                      </w:p>
                    </w:txbxContent>
                  </v:textbox>
                </v:shape>
                <v:shape id="Надпись 581" o:spid="_x0000_s1097" type="#_x0000_t202" style="position:absolute;left:3851;top:6368;width:50824;height:20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" filled="f" stroked="f" strokeweight=".5pt">
                  <v:textbox inset="0,0,0,0">
                    <w:txbxContent>
                      <w:p w:rsidR="00BE6F5B" w:rsidRPr="00243C66" w:rsidRDefault="00BE6F5B" w:rsidP="00B537E4">
                        <w:pPr>
                          <w:tabs>
                            <w:tab w:val="left" w:pos="238"/>
                          </w:tabs>
                          <w:spacing w:after="120"/>
                          <w:jc w:val="both"/>
                          <w:rPr>
                            <w:rFonts w:ascii="Calibri" w:hAnsi="Calibri" w:cs="Calibri"/>
                            <w:color w:val="000000"/>
                          </w:rPr>
                        </w:pPr>
                        <w:r>
                          <w:rPr>
                            <w:rFonts w:ascii="Calibri" w:hAnsi="Calibri"/>
                            <w:color w:val="000000"/>
                          </w:rPr>
                          <w:t>1.</w:t>
                        </w:r>
                        <w:r>
                          <w:rPr>
                            <w:rFonts w:ascii="Calibri" w:hAnsi="Calibri"/>
                            <w:color w:val="000000"/>
                          </w:rPr>
                          <w:tab/>
                          <w:t>Чи слід використовувати LPA для прийняття клінічних рішень щодо використання рифампіцину при прямому тестуванні зразків та непрямому тестуванні культуральних ізолятів у пацієнтів з ознаками та симптомами, що свідчать про захворювання на ТБ?</w:t>
                        </w:r>
                      </w:p>
                      <w:p w:rsidR="00BE6F5B" w:rsidRPr="00243C66" w:rsidRDefault="00BE6F5B" w:rsidP="00B537E4">
                        <w:pPr>
                          <w:tabs>
                            <w:tab w:val="left" w:pos="238"/>
                          </w:tabs>
                          <w:spacing w:after="120"/>
                          <w:jc w:val="both"/>
                          <w:rPr>
                            <w:rFonts w:ascii="Calibri" w:hAnsi="Calibri" w:cs="Calibri"/>
                            <w:color w:val="000000"/>
                          </w:rPr>
                        </w:pPr>
                        <w:r>
                          <w:rPr>
                            <w:rFonts w:ascii="Calibri" w:hAnsi="Calibri"/>
                            <w:color w:val="000000"/>
                          </w:rPr>
                          <w:t>2.</w:t>
                        </w:r>
                        <w:r>
                          <w:rPr>
                            <w:rFonts w:ascii="Calibri" w:hAnsi="Calibri"/>
                            <w:color w:val="000000"/>
                          </w:rPr>
                          <w:tab/>
                          <w:t>Чи слід використовувати LPA для прийняття клінічних рішень щодо використання ізоніазиду при прямому тестуванні зразків та непрямому тестуванні культуральних ізолятів у пацієнтів з ознаками та симптомами, що свідчать про захворювання на ТБ?</w:t>
                        </w:r>
                      </w:p>
                      <w:p w:rsidR="00BE6F5B" w:rsidRPr="00243C66" w:rsidRDefault="00BE6F5B" w:rsidP="00B537E4">
                        <w:pPr>
                          <w:tabs>
                            <w:tab w:val="left" w:pos="238"/>
                          </w:tabs>
                          <w:spacing w:after="120"/>
                          <w:jc w:val="both"/>
                          <w:rPr>
                            <w:rFonts w:ascii="Calibri" w:hAnsi="Calibri" w:cs="Calibri"/>
                            <w:color w:val="000000"/>
                          </w:rPr>
                        </w:pPr>
                        <w:r>
                          <w:rPr>
                            <w:rFonts w:ascii="Calibri" w:hAnsi="Calibri"/>
                            <w:color w:val="000000"/>
                          </w:rPr>
                          <w:t>3.</w:t>
                        </w:r>
                        <w:r>
                          <w:rPr>
                            <w:rFonts w:ascii="Calibri" w:hAnsi="Calibri"/>
                            <w:color w:val="000000"/>
                          </w:rPr>
                          <w:tab/>
                          <w:t>Чи слід використовувати LPA для діагностики МЛС-ТБ у пацієнтів з ознаками та симптомами, що свідчать про захворювання на ТБ?</w:t>
                        </w:r>
                      </w:p>
                      <w:p w:rsidR="00BE6F5B" w:rsidRPr="00F85B2E" w:rsidRDefault="00BE6F5B" w:rsidP="00B537E4">
                        <w:pPr>
                          <w:tabs>
                            <w:tab w:val="left" w:pos="238"/>
                          </w:tabs>
                          <w:spacing w:after="120"/>
                          <w:jc w:val="both"/>
                          <w:rPr>
                            <w:rFonts w:asciiTheme="minorHAnsi" w:hAnsiTheme="minorHAnsi" w:cstheme="minorHAnsi"/>
                          </w:rPr>
                        </w:pPr>
                        <w:r>
                          <w:rPr>
                            <w:rFonts w:ascii="Calibri" w:hAnsi="Calibri"/>
                            <w:color w:val="000000"/>
                          </w:rPr>
                          <w:t>4.</w:t>
                        </w:r>
                        <w:r>
                          <w:rPr>
                            <w:rFonts w:ascii="Calibri" w:hAnsi="Calibri"/>
                            <w:color w:val="000000"/>
                          </w:rPr>
                          <w:tab/>
                          <w:t>Чи слід застосовувати LPA для діагностики ТБ у пацієнтів з ознаками та симптомами, що свідчать про захворювання на ТБ, але чиї результати мазка мокротиння негативні?</w:t>
                        </w:r>
                      </w:p>
                    </w:txbxContent>
                  </v:textbox>
                </v:shape>
                <w10:wrap anchorx="margin"/>
              </v:group>
            </w:pict>
          </mc:Fallback>
        </mc:AlternateContent>
      </w:r>
    </w:p>
    <w:p w:rsidR="00ED665B" w:rsidRPr="00907702" w:rsidRDefault="006C7D2F" w:rsidP="00B537E4">
      <w:pPr>
        <w:spacing w:before="4320"/>
        <w:ind w:left="5" w:right="5"/>
        <w:jc w:val="both"/>
        <w:rPr>
          <w:rFonts w:ascii="Calibri" w:hAnsi="Calibri" w:cs="Calibri"/>
        </w:rPr>
      </w:pPr>
      <w:r>
        <w:rPr>
          <w:rFonts w:ascii="Calibri" w:hAnsi="Calibri"/>
          <w:color w:val="000000"/>
          <w:sz w:val="22"/>
        </w:rPr>
        <w:t>Кілька досліджень свідчили або про чутливість (відсутні істинно позитивні і хибнонегативні результати), або про специфічність (відсутні істинно негативні і хибнопозитивні результати), але не про обидва. Для цих досліджень був проведений однофакторний метааналіз випадкових ефектів оцінок чутливості або специфічності окремо для оптимального використання даних. Результати однофакторного аналізу (з використанням всіх досліджень) порівнювали з результатами двофакторного аналізу підмножини досліджень, що сприяло оцінкам як чутливості, так і специфічності.</w:t>
      </w:r>
    </w:p>
    <w:p w:rsidR="00ED665B" w:rsidRPr="00907702" w:rsidRDefault="00ED665B" w:rsidP="00DC2656">
      <w:pPr>
        <w:spacing w:before="715"/>
        <w:ind w:left="5" w:right="5"/>
        <w:jc w:val="both"/>
        <w:rPr>
          <w:rFonts w:ascii="Calibri" w:hAnsi="Calibri" w:cs="Calibri"/>
        </w:rPr>
        <w:sectPr w:rsidR="00ED665B" w:rsidRPr="00907702">
          <w:pgSz w:w="11904" w:h="16838"/>
          <w:pgMar w:top="1382" w:right="1416" w:bottom="1296" w:left="1421" w:header="720" w:footer="720" w:gutter="0"/>
          <w:cols w:space="60"/>
          <w:noEndnote/>
        </w:sectPr>
      </w:pPr>
    </w:p>
    <w:p w:rsidR="00ED665B" w:rsidRPr="00907702" w:rsidRDefault="006C7D2F" w:rsidP="00DC2656">
      <w:pPr>
        <w:ind w:right="5"/>
        <w:jc w:val="both"/>
        <w:rPr>
          <w:rFonts w:ascii="Calibri" w:hAnsi="Calibri" w:cs="Calibri"/>
        </w:rPr>
      </w:pPr>
      <w:r>
        <w:rPr>
          <w:rFonts w:ascii="Calibri" w:hAnsi="Calibri"/>
          <w:color w:val="000000"/>
          <w:sz w:val="22"/>
        </w:rPr>
        <w:lastRenderedPageBreak/>
        <w:t>Якщо було щонайменше чотири дослідження для індексних тестів із даними, які свідчили лише про чутливість або специфічність, для оцінки однієї сумарної оцінки проводили однофакторний метааналіз випадкових ефектів, не допускаючи кореляції між чутливістю та специфічністю. У випадках, коли було менше чотирьох досліджень, або коли на форест-діаграмах, які представляють результати метааналізу, було виявлено істотну неоднорідність, яка перешкоджала метааналізу, для цих індексних тестів проводили описовий аналіз. Форест-діаграми візуально оцінювалися на гетерогенність серед досліджень в рамках кожного індексного тесту та в підсумкових графіках, на мінливість в оцінках та ширину області прогнозування (ширша область прогнозування передбачає більшу неоднорідність).</w:t>
      </w:r>
    </w:p>
    <w:p w:rsidR="00ED665B" w:rsidRPr="00907702" w:rsidRDefault="006C7D2F" w:rsidP="00DC2656">
      <w:pPr>
        <w:spacing w:before="168"/>
        <w:jc w:val="both"/>
        <w:rPr>
          <w:rFonts w:ascii="Calibri" w:hAnsi="Calibri" w:cs="Calibri"/>
        </w:rPr>
      </w:pPr>
      <w:r>
        <w:rPr>
          <w:rFonts w:ascii="Calibri" w:hAnsi="Calibri"/>
          <w:color w:val="000000"/>
          <w:sz w:val="22"/>
        </w:rPr>
        <w:t xml:space="preserve">Виконання тестів узагальнено в </w:t>
      </w:r>
      <w:r>
        <w:rPr>
          <w:rFonts w:ascii="Calibri" w:hAnsi="Calibri"/>
          <w:color w:val="1B61AF"/>
          <w:sz w:val="22"/>
        </w:rPr>
        <w:t>Таблиці 2.3.2</w:t>
      </w:r>
      <w:r>
        <w:rPr>
          <w:rFonts w:ascii="Calibri" w:hAnsi="Calibri"/>
          <w:color w:val="000000"/>
          <w:sz w:val="22"/>
        </w:rPr>
        <w:t>. Результати ґрунтуються на різній кількості досліджень та протестованих зразків. В деяких випадках для метааналізу було доступно занадто мало досліджень. Результати єдиного порівняння трьох тестів в однакових умовах представлені в правих колонках для порівняння. Наведені дані – це всі порівняння з ТМЧ на основі фенотипічного посіву в якості референс стандарту.</w:t>
      </w:r>
    </w:p>
    <w:p w:rsidR="00ED665B" w:rsidRPr="00907702" w:rsidRDefault="00ED665B" w:rsidP="00DC2656">
      <w:pPr>
        <w:spacing w:before="168"/>
        <w:jc w:val="both"/>
        <w:rPr>
          <w:rFonts w:ascii="Calibri" w:hAnsi="Calibri" w:cs="Calibri"/>
        </w:rPr>
        <w:sectPr w:rsidR="00ED665B" w:rsidRPr="00907702">
          <w:pgSz w:w="11904" w:h="16838"/>
          <w:pgMar w:top="1339" w:right="1411" w:bottom="11170" w:left="1416" w:header="720" w:footer="720" w:gutter="0"/>
          <w:cols w:space="60"/>
          <w:noEndnote/>
        </w:sectPr>
      </w:pPr>
    </w:p>
    <w:p w:rsidR="00ED665B" w:rsidRPr="00861EB9" w:rsidRDefault="006C7D2F" w:rsidP="00DC2656">
      <w:pPr>
        <w:ind w:left="29"/>
        <w:rPr>
          <w:rFonts w:ascii="Calibri" w:hAnsi="Calibri" w:cs="Calibri"/>
          <w:b/>
          <w:bCs/>
        </w:rPr>
      </w:pPr>
      <w:bookmarkStart w:id="25" w:name="bookmark30"/>
      <w:r>
        <w:rPr>
          <w:rFonts w:ascii="Calibri" w:hAnsi="Calibri"/>
          <w:b/>
          <w:color w:val="636466"/>
          <w:sz w:val="24"/>
        </w:rPr>
        <w:lastRenderedPageBreak/>
        <w:t>Т</w:t>
      </w:r>
      <w:bookmarkEnd w:id="25"/>
      <w:r>
        <w:rPr>
          <w:rFonts w:ascii="Calibri" w:hAnsi="Calibri"/>
          <w:b/>
          <w:color w:val="636466"/>
          <w:sz w:val="24"/>
        </w:rPr>
        <w:t>аблиця 2.3.2. Виконання трьох тестів LPA для виявлення резистентності до рифампіцину та ізоніазиду з ТМЧ на основі фенотипічного посіву в якості референс стандарту</w:t>
      </w:r>
    </w:p>
    <w:p w:rsidR="00ED665B" w:rsidRPr="00907702" w:rsidRDefault="00ED665B" w:rsidP="00DC2656">
      <w:pPr>
        <w:spacing w:after="187"/>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49"/>
        <w:gridCol w:w="1531"/>
        <w:gridCol w:w="1546"/>
        <w:gridCol w:w="1565"/>
        <w:gridCol w:w="1555"/>
        <w:gridCol w:w="1565"/>
      </w:tblGrid>
      <w:tr w:rsidR="00E012D4" w:rsidRPr="00E012D4" w:rsidTr="00E012D4">
        <w:trPr>
          <w:trHeight w:hRule="exact" w:val="677"/>
        </w:trPr>
        <w:tc>
          <w:tcPr>
            <w:tcW w:w="2880"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rsidR="00E012D4" w:rsidRPr="00E012D4" w:rsidRDefault="00E012D4" w:rsidP="00E012D4">
            <w:pPr>
              <w:jc w:val="center"/>
              <w:rPr>
                <w:rFonts w:asciiTheme="minorHAnsi" w:hAnsiTheme="minorHAnsi" w:cstheme="minorHAnsi"/>
                <w:b/>
                <w:bCs/>
                <w:sz w:val="22"/>
                <w:szCs w:val="22"/>
              </w:rPr>
            </w:pPr>
          </w:p>
        </w:tc>
        <w:tc>
          <w:tcPr>
            <w:tcW w:w="3111"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rsidR="00E012D4" w:rsidRPr="00E012D4" w:rsidRDefault="009B3894" w:rsidP="00E012D4">
            <w:pPr>
              <w:jc w:val="center"/>
              <w:rPr>
                <w:rFonts w:asciiTheme="minorHAnsi" w:hAnsiTheme="minorHAnsi" w:cstheme="minorHAnsi"/>
                <w:b/>
                <w:bCs/>
                <w:sz w:val="22"/>
                <w:szCs w:val="22"/>
              </w:rPr>
            </w:pPr>
            <w:r w:rsidRPr="009B3894">
              <w:rPr>
                <w:rFonts w:asciiTheme="minorHAnsi" w:hAnsiTheme="minorHAnsi"/>
                <w:b/>
                <w:sz w:val="22"/>
              </w:rPr>
              <w:t>Об’єднані дані щодо ефективності метааналізу.</w:t>
            </w:r>
          </w:p>
        </w:tc>
        <w:tc>
          <w:tcPr>
            <w:tcW w:w="3120" w:type="dxa"/>
            <w:gridSpan w:val="2"/>
            <w:tcBorders>
              <w:top w:val="single" w:sz="8" w:space="0" w:color="009649"/>
              <w:left w:val="single" w:sz="8" w:space="0" w:color="009649"/>
              <w:bottom w:val="single" w:sz="8" w:space="0" w:color="009649"/>
              <w:right w:val="single" w:sz="8" w:space="0" w:color="009649"/>
            </w:tcBorders>
            <w:shd w:val="clear" w:color="auto" w:fill="27A86A"/>
            <w:vAlign w:val="center"/>
          </w:tcPr>
          <w:p w:rsidR="00E012D4" w:rsidRPr="00E012D4" w:rsidRDefault="00E012D4" w:rsidP="00E012D4">
            <w:pPr>
              <w:jc w:val="center"/>
              <w:rPr>
                <w:rFonts w:asciiTheme="minorHAnsi" w:hAnsiTheme="minorHAnsi" w:cstheme="minorHAnsi"/>
                <w:b/>
                <w:bCs/>
                <w:sz w:val="22"/>
                <w:szCs w:val="22"/>
              </w:rPr>
            </w:pPr>
            <w:r>
              <w:rPr>
                <w:rFonts w:asciiTheme="minorHAnsi" w:hAnsiTheme="minorHAnsi"/>
                <w:b/>
                <w:sz w:val="22"/>
              </w:rPr>
              <w:t xml:space="preserve">Nathavitharana et al. 2017 </w:t>
            </w:r>
            <w:r w:rsidRPr="00BE6F5B">
              <w:rPr>
                <w:rFonts w:asciiTheme="minorHAnsi" w:hAnsiTheme="minorHAnsi"/>
                <w:b/>
                <w:i/>
                <w:sz w:val="22"/>
              </w:rPr>
              <w:t>(16)</w:t>
            </w:r>
            <w:r w:rsidRPr="00AC0097">
              <w:rPr>
                <w:rFonts w:asciiTheme="minorHAnsi" w:hAnsiTheme="minorHAnsi"/>
                <w:b/>
                <w:sz w:val="22"/>
                <w:vertAlign w:val="superscript"/>
              </w:rPr>
              <w:t>a</w:t>
            </w:r>
          </w:p>
        </w:tc>
      </w:tr>
      <w:tr w:rsidR="00E012D4" w:rsidRPr="00E012D4" w:rsidTr="00E012D4">
        <w:trPr>
          <w:trHeight w:hRule="exact" w:val="667"/>
        </w:trPr>
        <w:tc>
          <w:tcPr>
            <w:tcW w:w="1349" w:type="dxa"/>
            <w:tcBorders>
              <w:top w:val="single" w:sz="8" w:space="0" w:color="009649"/>
              <w:left w:val="nil"/>
              <w:bottom w:val="single" w:sz="8" w:space="0" w:color="009649"/>
              <w:right w:val="nil"/>
            </w:tcBorders>
            <w:shd w:val="clear" w:color="auto" w:fill="auto"/>
            <w:vAlign w:val="center"/>
          </w:tcPr>
          <w:p w:rsidR="00E012D4" w:rsidRPr="00E012D4" w:rsidRDefault="00E012D4" w:rsidP="00E012D4">
            <w:pPr>
              <w:shd w:val="clear" w:color="auto" w:fill="FFFFFF"/>
              <w:jc w:val="center"/>
              <w:rPr>
                <w:rFonts w:asciiTheme="minorHAnsi" w:hAnsiTheme="minorHAnsi" w:cstheme="minorHAnsi"/>
                <w:sz w:val="22"/>
                <w:szCs w:val="22"/>
              </w:rPr>
            </w:pPr>
          </w:p>
        </w:tc>
        <w:tc>
          <w:tcPr>
            <w:tcW w:w="1531" w:type="dxa"/>
            <w:tcBorders>
              <w:top w:val="single" w:sz="8" w:space="0" w:color="009649"/>
              <w:left w:val="nil"/>
              <w:bottom w:val="single" w:sz="8" w:space="0" w:color="009649"/>
              <w:right w:val="nil"/>
            </w:tcBorders>
            <w:shd w:val="clear" w:color="auto" w:fill="auto"/>
            <w:vAlign w:val="center"/>
          </w:tcPr>
          <w:p w:rsidR="00E012D4" w:rsidRPr="00E012D4" w:rsidRDefault="00E012D4" w:rsidP="00E012D4">
            <w:pPr>
              <w:shd w:val="clear" w:color="auto" w:fill="FFFFFF"/>
              <w:spacing w:line="226" w:lineRule="exact"/>
              <w:ind w:left="24" w:right="240"/>
              <w:jc w:val="center"/>
              <w:rPr>
                <w:rFonts w:asciiTheme="minorHAnsi" w:hAnsiTheme="minorHAnsi" w:cstheme="minorHAnsi"/>
                <w:sz w:val="22"/>
                <w:szCs w:val="22"/>
              </w:rPr>
            </w:pPr>
            <w:r>
              <w:rPr>
                <w:rFonts w:asciiTheme="minorHAnsi" w:hAnsiTheme="minorHAnsi"/>
                <w:color w:val="000000"/>
                <w:sz w:val="22"/>
              </w:rPr>
              <w:t>Лінійний зонд-аналіз</w:t>
            </w:r>
          </w:p>
        </w:tc>
        <w:tc>
          <w:tcPr>
            <w:tcW w:w="1546" w:type="dxa"/>
            <w:tcBorders>
              <w:top w:val="single" w:sz="8" w:space="0" w:color="009649"/>
              <w:left w:val="nil"/>
              <w:bottom w:val="single" w:sz="8" w:space="0" w:color="009649"/>
              <w:right w:val="nil"/>
            </w:tcBorders>
            <w:shd w:val="clear" w:color="auto" w:fill="auto"/>
            <w:vAlign w:val="center"/>
          </w:tcPr>
          <w:p w:rsidR="00E012D4" w:rsidRPr="00E012D4" w:rsidRDefault="00E012D4" w:rsidP="00E012D4">
            <w:pPr>
              <w:shd w:val="clear" w:color="auto" w:fill="FFFFFF"/>
              <w:jc w:val="center"/>
              <w:rPr>
                <w:rFonts w:asciiTheme="minorHAnsi" w:hAnsiTheme="minorHAnsi" w:cstheme="minorHAnsi"/>
                <w:sz w:val="22"/>
                <w:szCs w:val="22"/>
              </w:rPr>
            </w:pPr>
            <w:r>
              <w:rPr>
                <w:rFonts w:asciiTheme="minorHAnsi" w:hAnsiTheme="minorHAnsi"/>
                <w:color w:val="000000"/>
                <w:sz w:val="22"/>
              </w:rPr>
              <w:t>Чутливість</w:t>
            </w:r>
          </w:p>
          <w:p w:rsidR="00E012D4" w:rsidRPr="00E012D4" w:rsidRDefault="00E012D4" w:rsidP="00E012D4">
            <w:pPr>
              <w:shd w:val="clear" w:color="auto" w:fill="FFFFFF"/>
              <w:jc w:val="center"/>
              <w:rPr>
                <w:rFonts w:asciiTheme="minorHAnsi" w:hAnsiTheme="minorHAnsi" w:cstheme="minorHAnsi"/>
                <w:sz w:val="22"/>
                <w:szCs w:val="22"/>
              </w:rPr>
            </w:pPr>
            <w:r>
              <w:rPr>
                <w:rFonts w:asciiTheme="minorHAnsi" w:hAnsiTheme="minorHAnsi"/>
                <w:color w:val="000000"/>
                <w:sz w:val="22"/>
              </w:rPr>
              <w:t>(%)</w:t>
            </w:r>
            <w:r>
              <w:rPr>
                <w:rFonts w:asciiTheme="minorHAnsi" w:hAnsiTheme="minorHAnsi"/>
                <w:color w:val="000000"/>
                <w:sz w:val="22"/>
                <w:vertAlign w:val="superscript"/>
              </w:rPr>
              <w:t>b</w:t>
            </w:r>
          </w:p>
        </w:tc>
        <w:tc>
          <w:tcPr>
            <w:tcW w:w="1565" w:type="dxa"/>
            <w:tcBorders>
              <w:top w:val="single" w:sz="8" w:space="0" w:color="009649"/>
              <w:left w:val="nil"/>
              <w:bottom w:val="single" w:sz="8" w:space="0" w:color="009649"/>
              <w:right w:val="nil"/>
            </w:tcBorders>
            <w:shd w:val="clear" w:color="auto" w:fill="auto"/>
            <w:vAlign w:val="center"/>
          </w:tcPr>
          <w:p w:rsidR="00E012D4" w:rsidRPr="00E012D4" w:rsidRDefault="00E012D4" w:rsidP="00E012D4">
            <w:pPr>
              <w:shd w:val="clear" w:color="auto" w:fill="FFFFFF"/>
              <w:spacing w:line="230" w:lineRule="exact"/>
              <w:ind w:left="192" w:right="173"/>
              <w:jc w:val="center"/>
              <w:rPr>
                <w:rFonts w:asciiTheme="minorHAnsi" w:hAnsiTheme="minorHAnsi" w:cstheme="minorHAnsi"/>
                <w:sz w:val="22"/>
                <w:szCs w:val="22"/>
              </w:rPr>
            </w:pPr>
            <w:r>
              <w:rPr>
                <w:rFonts w:asciiTheme="minorHAnsi" w:hAnsiTheme="minorHAnsi"/>
                <w:color w:val="000000"/>
                <w:sz w:val="22"/>
              </w:rPr>
              <w:t>Специфічність (%)</w:t>
            </w:r>
          </w:p>
        </w:tc>
        <w:tc>
          <w:tcPr>
            <w:tcW w:w="1555" w:type="dxa"/>
            <w:tcBorders>
              <w:top w:val="single" w:sz="8" w:space="0" w:color="009649"/>
              <w:left w:val="nil"/>
              <w:bottom w:val="single" w:sz="8" w:space="0" w:color="009649"/>
              <w:right w:val="nil"/>
            </w:tcBorders>
            <w:shd w:val="clear" w:color="auto" w:fill="auto"/>
            <w:vAlign w:val="center"/>
          </w:tcPr>
          <w:p w:rsidR="00E012D4" w:rsidRPr="00E012D4" w:rsidRDefault="00E012D4" w:rsidP="00E012D4">
            <w:pPr>
              <w:shd w:val="clear" w:color="auto" w:fill="FFFFFF"/>
              <w:spacing w:line="226" w:lineRule="exact"/>
              <w:ind w:left="168" w:right="168"/>
              <w:jc w:val="center"/>
              <w:rPr>
                <w:rFonts w:asciiTheme="minorHAnsi" w:hAnsiTheme="minorHAnsi" w:cstheme="minorHAnsi"/>
                <w:sz w:val="22"/>
                <w:szCs w:val="22"/>
              </w:rPr>
            </w:pPr>
            <w:r>
              <w:rPr>
                <w:rFonts w:asciiTheme="minorHAnsi" w:hAnsiTheme="minorHAnsi"/>
                <w:color w:val="000000"/>
                <w:sz w:val="22"/>
              </w:rPr>
              <w:t>Чутливість (%)</w:t>
            </w:r>
          </w:p>
        </w:tc>
        <w:tc>
          <w:tcPr>
            <w:tcW w:w="1565" w:type="dxa"/>
            <w:tcBorders>
              <w:top w:val="single" w:sz="8" w:space="0" w:color="009649"/>
              <w:left w:val="nil"/>
              <w:bottom w:val="single" w:sz="8" w:space="0" w:color="009649"/>
              <w:right w:val="nil"/>
            </w:tcBorders>
            <w:shd w:val="clear" w:color="auto" w:fill="auto"/>
            <w:vAlign w:val="center"/>
          </w:tcPr>
          <w:p w:rsidR="00E012D4" w:rsidRPr="00E012D4" w:rsidRDefault="00E012D4" w:rsidP="00E012D4">
            <w:pPr>
              <w:shd w:val="clear" w:color="auto" w:fill="FFFFFF"/>
              <w:spacing w:line="230" w:lineRule="exact"/>
              <w:ind w:left="182" w:right="182"/>
              <w:jc w:val="center"/>
              <w:rPr>
                <w:rFonts w:asciiTheme="minorHAnsi" w:hAnsiTheme="minorHAnsi" w:cstheme="minorHAnsi"/>
                <w:sz w:val="22"/>
                <w:szCs w:val="22"/>
              </w:rPr>
            </w:pPr>
            <w:r>
              <w:rPr>
                <w:rFonts w:asciiTheme="minorHAnsi" w:hAnsiTheme="minorHAnsi"/>
                <w:color w:val="000000"/>
                <w:sz w:val="22"/>
              </w:rPr>
              <w:t>Специфічність (%)</w:t>
            </w:r>
          </w:p>
        </w:tc>
      </w:tr>
      <w:tr w:rsidR="00E012D4" w:rsidRPr="00E012D4" w:rsidTr="00114CB4">
        <w:trPr>
          <w:trHeight w:hRule="exact" w:val="634"/>
        </w:trPr>
        <w:tc>
          <w:tcPr>
            <w:tcW w:w="1349" w:type="dxa"/>
            <w:vMerge w:val="restart"/>
            <w:tcBorders>
              <w:top w:val="single" w:sz="8" w:space="0" w:color="009649"/>
              <w:left w:val="nil"/>
              <w:bottom w:val="single" w:sz="8" w:space="0" w:color="009649"/>
              <w:right w:val="nil"/>
            </w:tcBorders>
            <w:shd w:val="clear" w:color="auto" w:fill="auto"/>
          </w:tcPr>
          <w:p w:rsidR="00E012D4" w:rsidRPr="00E012D4" w:rsidRDefault="00E012D4" w:rsidP="00114CB4">
            <w:pPr>
              <w:shd w:val="clear" w:color="auto" w:fill="FFFFFF"/>
              <w:spacing w:line="226" w:lineRule="exact"/>
              <w:ind w:left="53"/>
              <w:rPr>
                <w:rFonts w:asciiTheme="minorHAnsi" w:hAnsiTheme="minorHAnsi" w:cstheme="minorHAnsi"/>
                <w:sz w:val="22"/>
                <w:szCs w:val="22"/>
              </w:rPr>
            </w:pPr>
            <w:r>
              <w:rPr>
                <w:rFonts w:asciiTheme="minorHAnsi" w:hAnsiTheme="minorHAnsi"/>
                <w:color w:val="000000"/>
                <w:sz w:val="22"/>
              </w:rPr>
              <w:t>Рифампіцин</w:t>
            </w:r>
          </w:p>
          <w:p w:rsidR="00E012D4" w:rsidRPr="00E012D4" w:rsidRDefault="00E012D4" w:rsidP="00114CB4">
            <w:pPr>
              <w:shd w:val="clear" w:color="auto" w:fill="FFFFFF"/>
              <w:spacing w:line="226" w:lineRule="exact"/>
              <w:ind w:left="53"/>
              <w:rPr>
                <w:rFonts w:asciiTheme="minorHAnsi" w:hAnsiTheme="minorHAnsi" w:cstheme="minorHAnsi"/>
                <w:sz w:val="22"/>
                <w:szCs w:val="22"/>
              </w:rPr>
            </w:pPr>
            <w:r>
              <w:rPr>
                <w:rFonts w:asciiTheme="minorHAnsi" w:hAnsiTheme="minorHAnsi"/>
                <w:color w:val="000000"/>
                <w:sz w:val="22"/>
              </w:rPr>
              <w:t>Зразки</w:t>
            </w:r>
          </w:p>
          <w:p w:rsidR="00E012D4" w:rsidRPr="00E012D4" w:rsidRDefault="00E012D4" w:rsidP="00114CB4">
            <w:pPr>
              <w:shd w:val="clear" w:color="auto" w:fill="FFFFFF"/>
              <w:spacing w:line="226" w:lineRule="exact"/>
              <w:ind w:left="53"/>
              <w:rPr>
                <w:rFonts w:asciiTheme="minorHAnsi" w:hAnsiTheme="minorHAnsi" w:cstheme="minorHAnsi"/>
                <w:sz w:val="22"/>
                <w:szCs w:val="22"/>
              </w:rPr>
            </w:pPr>
            <w:r>
              <w:rPr>
                <w:rFonts w:asciiTheme="minorHAnsi" w:hAnsiTheme="minorHAnsi"/>
                <w:color w:val="000000"/>
                <w:sz w:val="22"/>
              </w:rPr>
              <w:t>мокротиння</w:t>
            </w:r>
          </w:p>
        </w:tc>
        <w:tc>
          <w:tcPr>
            <w:tcW w:w="1531"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rPr>
                <w:rFonts w:asciiTheme="minorHAnsi" w:hAnsiTheme="minorHAnsi" w:cstheme="minorHAnsi"/>
                <w:sz w:val="22"/>
                <w:szCs w:val="22"/>
              </w:rPr>
            </w:pPr>
            <w:r>
              <w:rPr>
                <w:rFonts w:asciiTheme="minorHAnsi" w:hAnsiTheme="minorHAnsi"/>
                <w:color w:val="000000"/>
                <w:sz w:val="22"/>
              </w:rPr>
              <w:t>Hain версії 1</w:t>
            </w:r>
          </w:p>
        </w:tc>
        <w:tc>
          <w:tcPr>
            <w:tcW w:w="1546"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44"/>
              <w:jc w:val="center"/>
              <w:rPr>
                <w:rFonts w:asciiTheme="minorHAnsi" w:hAnsiTheme="minorHAnsi"/>
                <w:color w:val="000000"/>
                <w:sz w:val="22"/>
              </w:rPr>
            </w:pPr>
            <w:r>
              <w:rPr>
                <w:rFonts w:asciiTheme="minorHAnsi" w:hAnsiTheme="minorHAnsi"/>
                <w:color w:val="000000"/>
                <w:sz w:val="22"/>
              </w:rPr>
              <w:t xml:space="preserve">96,8 </w:t>
            </w:r>
          </w:p>
          <w:p w:rsidR="00E012D4" w:rsidRPr="00E012D4" w:rsidRDefault="00E012D4" w:rsidP="00E012D4">
            <w:pPr>
              <w:shd w:val="clear" w:color="auto" w:fill="FFFFFF"/>
              <w:spacing w:line="226" w:lineRule="exact"/>
              <w:ind w:left="158" w:right="144"/>
              <w:jc w:val="center"/>
              <w:rPr>
                <w:rFonts w:asciiTheme="minorHAnsi" w:hAnsiTheme="minorHAnsi" w:cstheme="minorHAnsi"/>
                <w:sz w:val="22"/>
                <w:szCs w:val="22"/>
              </w:rPr>
            </w:pPr>
            <w:r>
              <w:rPr>
                <w:rFonts w:asciiTheme="minorHAnsi" w:hAnsiTheme="minorHAnsi"/>
                <w:color w:val="000000"/>
                <w:sz w:val="22"/>
              </w:rPr>
              <w:t>(94,7-98,1)</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68" w:right="154"/>
              <w:jc w:val="center"/>
              <w:rPr>
                <w:rFonts w:asciiTheme="minorHAnsi" w:hAnsiTheme="minorHAnsi"/>
                <w:color w:val="000000"/>
                <w:sz w:val="22"/>
              </w:rPr>
            </w:pPr>
            <w:r>
              <w:rPr>
                <w:rFonts w:asciiTheme="minorHAnsi" w:hAnsiTheme="minorHAnsi"/>
                <w:color w:val="000000"/>
                <w:sz w:val="22"/>
              </w:rPr>
              <w:t xml:space="preserve">98,1 </w:t>
            </w:r>
          </w:p>
          <w:p w:rsidR="00E012D4" w:rsidRPr="00E012D4" w:rsidRDefault="00E012D4" w:rsidP="00E012D4">
            <w:pPr>
              <w:shd w:val="clear" w:color="auto" w:fill="FFFFFF"/>
              <w:spacing w:line="226" w:lineRule="exact"/>
              <w:ind w:left="168" w:right="154"/>
              <w:jc w:val="center"/>
              <w:rPr>
                <w:rFonts w:asciiTheme="minorHAnsi" w:hAnsiTheme="minorHAnsi" w:cstheme="minorHAnsi"/>
                <w:sz w:val="22"/>
                <w:szCs w:val="22"/>
              </w:rPr>
            </w:pPr>
            <w:r>
              <w:rPr>
                <w:rFonts w:asciiTheme="minorHAnsi" w:hAnsiTheme="minorHAnsi"/>
                <w:color w:val="000000"/>
                <w:sz w:val="22"/>
              </w:rPr>
              <w:t>(96,9-98,8)</w:t>
            </w:r>
          </w:p>
        </w:tc>
        <w:tc>
          <w:tcPr>
            <w:tcW w:w="155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54"/>
              <w:jc w:val="center"/>
              <w:rPr>
                <w:rFonts w:asciiTheme="minorHAnsi" w:hAnsiTheme="minorHAnsi"/>
                <w:color w:val="000000"/>
                <w:sz w:val="22"/>
              </w:rPr>
            </w:pPr>
            <w:r>
              <w:rPr>
                <w:rFonts w:asciiTheme="minorHAnsi" w:hAnsiTheme="minorHAnsi"/>
                <w:color w:val="000000"/>
                <w:sz w:val="22"/>
              </w:rPr>
              <w:t xml:space="preserve">97,1 </w:t>
            </w:r>
          </w:p>
          <w:p w:rsidR="00E012D4" w:rsidRPr="00E012D4" w:rsidRDefault="00E012D4" w:rsidP="00E012D4">
            <w:pPr>
              <w:shd w:val="clear" w:color="auto" w:fill="FFFFFF"/>
              <w:spacing w:line="226" w:lineRule="exact"/>
              <w:ind w:left="158" w:right="154"/>
              <w:jc w:val="center"/>
              <w:rPr>
                <w:rFonts w:asciiTheme="minorHAnsi" w:hAnsiTheme="minorHAnsi" w:cstheme="minorHAnsi"/>
                <w:sz w:val="22"/>
                <w:szCs w:val="22"/>
              </w:rPr>
            </w:pPr>
            <w:r>
              <w:rPr>
                <w:rFonts w:asciiTheme="minorHAnsi" w:hAnsiTheme="minorHAnsi"/>
                <w:color w:val="000000"/>
                <w:sz w:val="22"/>
              </w:rPr>
              <w:t>(93,3-99,0)</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34777B">
            <w:pPr>
              <w:shd w:val="clear" w:color="auto" w:fill="FFFFFF"/>
              <w:spacing w:line="226" w:lineRule="exact"/>
              <w:ind w:left="20" w:right="163" w:firstLine="4"/>
              <w:jc w:val="center"/>
              <w:rPr>
                <w:rFonts w:asciiTheme="minorHAnsi" w:hAnsiTheme="minorHAnsi"/>
                <w:color w:val="000000"/>
                <w:sz w:val="22"/>
              </w:rPr>
            </w:pPr>
            <w:r>
              <w:rPr>
                <w:rFonts w:asciiTheme="minorHAnsi" w:hAnsiTheme="minorHAnsi"/>
                <w:color w:val="000000"/>
                <w:sz w:val="22"/>
              </w:rPr>
              <w:t xml:space="preserve">97,1 </w:t>
            </w:r>
          </w:p>
          <w:p w:rsidR="00E012D4" w:rsidRPr="00E012D4" w:rsidRDefault="00E012D4" w:rsidP="0034777B">
            <w:pPr>
              <w:shd w:val="clear" w:color="auto" w:fill="FFFFFF"/>
              <w:spacing w:line="226" w:lineRule="exact"/>
              <w:ind w:left="20" w:right="163" w:firstLine="4"/>
              <w:jc w:val="center"/>
              <w:rPr>
                <w:rFonts w:asciiTheme="minorHAnsi" w:hAnsiTheme="minorHAnsi" w:cstheme="minorHAnsi"/>
                <w:sz w:val="22"/>
                <w:szCs w:val="22"/>
              </w:rPr>
            </w:pPr>
            <w:r>
              <w:rPr>
                <w:rFonts w:asciiTheme="minorHAnsi" w:hAnsiTheme="minorHAnsi"/>
                <w:color w:val="000000"/>
                <w:sz w:val="22"/>
              </w:rPr>
              <w:t>(94,3-98,7)</w:t>
            </w:r>
          </w:p>
        </w:tc>
      </w:tr>
      <w:tr w:rsidR="00E012D4" w:rsidRPr="00E012D4" w:rsidTr="00114CB4">
        <w:trPr>
          <w:trHeight w:hRule="exact" w:val="715"/>
        </w:trPr>
        <w:tc>
          <w:tcPr>
            <w:tcW w:w="1349" w:type="dxa"/>
            <w:vMerge/>
            <w:tcBorders>
              <w:top w:val="single" w:sz="8" w:space="0" w:color="009649"/>
              <w:left w:val="nil"/>
              <w:bottom w:val="nil"/>
              <w:right w:val="nil"/>
            </w:tcBorders>
            <w:shd w:val="clear" w:color="auto" w:fill="auto"/>
          </w:tcPr>
          <w:p w:rsidR="00E012D4" w:rsidRPr="00E012D4" w:rsidRDefault="00E012D4" w:rsidP="00114CB4">
            <w:pPr>
              <w:rPr>
                <w:rFonts w:asciiTheme="minorHAnsi" w:hAnsiTheme="minorHAnsi" w:cstheme="minorHAnsi"/>
                <w:sz w:val="22"/>
                <w:szCs w:val="22"/>
              </w:rPr>
            </w:pPr>
          </w:p>
          <w:p w:rsidR="00E012D4" w:rsidRPr="00E012D4" w:rsidRDefault="00E012D4" w:rsidP="00114CB4">
            <w:pPr>
              <w:rPr>
                <w:rFonts w:asciiTheme="minorHAnsi" w:hAnsiTheme="minorHAnsi" w:cstheme="minorHAnsi"/>
                <w:sz w:val="22"/>
                <w:szCs w:val="22"/>
              </w:rPr>
            </w:pPr>
          </w:p>
        </w:tc>
        <w:tc>
          <w:tcPr>
            <w:tcW w:w="1531"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rPr>
                <w:rFonts w:asciiTheme="minorHAnsi" w:hAnsiTheme="minorHAnsi" w:cstheme="minorHAnsi"/>
                <w:sz w:val="22"/>
                <w:szCs w:val="22"/>
              </w:rPr>
            </w:pPr>
            <w:r>
              <w:rPr>
                <w:rFonts w:asciiTheme="minorHAnsi" w:hAnsiTheme="minorHAnsi"/>
                <w:color w:val="000000"/>
                <w:sz w:val="22"/>
              </w:rPr>
              <w:t>Hain версії 2</w:t>
            </w:r>
          </w:p>
        </w:tc>
        <w:tc>
          <w:tcPr>
            <w:tcW w:w="1546"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30" w:lineRule="exact"/>
              <w:ind w:left="158" w:right="144"/>
              <w:jc w:val="center"/>
              <w:rPr>
                <w:rFonts w:asciiTheme="minorHAnsi" w:hAnsiTheme="minorHAnsi"/>
                <w:color w:val="000000"/>
                <w:sz w:val="22"/>
              </w:rPr>
            </w:pPr>
            <w:r>
              <w:rPr>
                <w:rFonts w:asciiTheme="minorHAnsi" w:hAnsiTheme="minorHAnsi"/>
                <w:color w:val="000000"/>
                <w:sz w:val="22"/>
              </w:rPr>
              <w:t xml:space="preserve">95,8 </w:t>
            </w:r>
          </w:p>
          <w:p w:rsidR="00E012D4" w:rsidRPr="00E012D4" w:rsidRDefault="00E012D4" w:rsidP="00E012D4">
            <w:pPr>
              <w:shd w:val="clear" w:color="auto" w:fill="FFFFFF"/>
              <w:spacing w:line="230" w:lineRule="exact"/>
              <w:ind w:left="158" w:right="144"/>
              <w:jc w:val="center"/>
              <w:rPr>
                <w:rFonts w:asciiTheme="minorHAnsi" w:hAnsiTheme="minorHAnsi" w:cstheme="minorHAnsi"/>
                <w:sz w:val="22"/>
                <w:szCs w:val="22"/>
              </w:rPr>
            </w:pPr>
            <w:r>
              <w:rPr>
                <w:rFonts w:asciiTheme="minorHAnsi" w:hAnsiTheme="minorHAnsi"/>
                <w:color w:val="000000"/>
                <w:sz w:val="22"/>
              </w:rPr>
              <w:t>(92,6-97,6)</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30" w:lineRule="exact"/>
              <w:ind w:left="168" w:right="154"/>
              <w:jc w:val="center"/>
              <w:rPr>
                <w:rFonts w:asciiTheme="minorHAnsi" w:hAnsiTheme="minorHAnsi"/>
                <w:color w:val="000000"/>
                <w:sz w:val="22"/>
              </w:rPr>
            </w:pPr>
            <w:r>
              <w:rPr>
                <w:rFonts w:asciiTheme="minorHAnsi" w:hAnsiTheme="minorHAnsi"/>
                <w:color w:val="000000"/>
                <w:sz w:val="22"/>
              </w:rPr>
              <w:t xml:space="preserve">98,4 </w:t>
            </w:r>
          </w:p>
          <w:p w:rsidR="00E012D4" w:rsidRPr="00E012D4" w:rsidRDefault="00E012D4" w:rsidP="00E012D4">
            <w:pPr>
              <w:shd w:val="clear" w:color="auto" w:fill="FFFFFF"/>
              <w:spacing w:line="230" w:lineRule="exact"/>
              <w:ind w:left="168" w:right="154"/>
              <w:jc w:val="center"/>
              <w:rPr>
                <w:rFonts w:asciiTheme="minorHAnsi" w:hAnsiTheme="minorHAnsi" w:cstheme="minorHAnsi"/>
                <w:sz w:val="22"/>
                <w:szCs w:val="22"/>
              </w:rPr>
            </w:pPr>
            <w:r>
              <w:rPr>
                <w:rFonts w:asciiTheme="minorHAnsi" w:hAnsiTheme="minorHAnsi"/>
                <w:color w:val="000000"/>
                <w:sz w:val="22"/>
              </w:rPr>
              <w:t>(96,9-99,2)</w:t>
            </w:r>
          </w:p>
        </w:tc>
        <w:tc>
          <w:tcPr>
            <w:tcW w:w="155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30" w:lineRule="exact"/>
              <w:ind w:left="158" w:right="154"/>
              <w:jc w:val="center"/>
              <w:rPr>
                <w:rFonts w:asciiTheme="minorHAnsi" w:hAnsiTheme="minorHAnsi"/>
                <w:color w:val="000000"/>
                <w:sz w:val="22"/>
              </w:rPr>
            </w:pPr>
            <w:r>
              <w:rPr>
                <w:rFonts w:asciiTheme="minorHAnsi" w:hAnsiTheme="minorHAnsi"/>
                <w:color w:val="000000"/>
                <w:sz w:val="22"/>
              </w:rPr>
              <w:t xml:space="preserve">98,2 </w:t>
            </w:r>
          </w:p>
          <w:p w:rsidR="00E012D4" w:rsidRPr="00E012D4" w:rsidRDefault="00E012D4" w:rsidP="00E012D4">
            <w:pPr>
              <w:shd w:val="clear" w:color="auto" w:fill="FFFFFF"/>
              <w:spacing w:line="230" w:lineRule="exact"/>
              <w:ind w:left="158" w:right="154"/>
              <w:jc w:val="center"/>
              <w:rPr>
                <w:rFonts w:asciiTheme="minorHAnsi" w:hAnsiTheme="minorHAnsi" w:cstheme="minorHAnsi"/>
                <w:sz w:val="22"/>
                <w:szCs w:val="22"/>
              </w:rPr>
            </w:pPr>
            <w:r>
              <w:rPr>
                <w:rFonts w:asciiTheme="minorHAnsi" w:hAnsiTheme="minorHAnsi"/>
                <w:color w:val="000000"/>
                <w:sz w:val="22"/>
              </w:rPr>
              <w:t>(95,0-99,6)</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34777B">
            <w:pPr>
              <w:shd w:val="clear" w:color="auto" w:fill="FFFFFF"/>
              <w:spacing w:line="230" w:lineRule="exact"/>
              <w:ind w:left="20" w:right="163" w:firstLine="4"/>
              <w:jc w:val="center"/>
              <w:rPr>
                <w:rFonts w:asciiTheme="minorHAnsi" w:hAnsiTheme="minorHAnsi"/>
                <w:color w:val="000000"/>
                <w:sz w:val="22"/>
              </w:rPr>
            </w:pPr>
            <w:r>
              <w:rPr>
                <w:rFonts w:asciiTheme="minorHAnsi" w:hAnsiTheme="minorHAnsi"/>
                <w:color w:val="000000"/>
                <w:sz w:val="22"/>
              </w:rPr>
              <w:t xml:space="preserve">97,8 </w:t>
            </w:r>
          </w:p>
          <w:p w:rsidR="00E012D4" w:rsidRPr="00E012D4" w:rsidRDefault="00E012D4" w:rsidP="0034777B">
            <w:pPr>
              <w:shd w:val="clear" w:color="auto" w:fill="FFFFFF"/>
              <w:spacing w:line="230" w:lineRule="exact"/>
              <w:ind w:left="20" w:right="163" w:firstLine="4"/>
              <w:jc w:val="center"/>
              <w:rPr>
                <w:rFonts w:asciiTheme="minorHAnsi" w:hAnsiTheme="minorHAnsi" w:cstheme="minorHAnsi"/>
                <w:sz w:val="22"/>
                <w:szCs w:val="22"/>
              </w:rPr>
            </w:pPr>
            <w:r>
              <w:rPr>
                <w:rFonts w:asciiTheme="minorHAnsi" w:hAnsiTheme="minorHAnsi"/>
                <w:color w:val="000000"/>
                <w:sz w:val="22"/>
              </w:rPr>
              <w:t>(95,3-99,2)</w:t>
            </w:r>
          </w:p>
        </w:tc>
      </w:tr>
      <w:tr w:rsidR="00E012D4" w:rsidRPr="00E012D4" w:rsidTr="00114CB4">
        <w:trPr>
          <w:trHeight w:hRule="exact" w:val="638"/>
        </w:trPr>
        <w:tc>
          <w:tcPr>
            <w:tcW w:w="1349" w:type="dxa"/>
            <w:vMerge/>
            <w:tcBorders>
              <w:top w:val="nil"/>
              <w:left w:val="nil"/>
              <w:bottom w:val="single" w:sz="8" w:space="0" w:color="009649"/>
              <w:right w:val="nil"/>
            </w:tcBorders>
            <w:shd w:val="clear" w:color="auto" w:fill="auto"/>
          </w:tcPr>
          <w:p w:rsidR="00E012D4" w:rsidRPr="00E012D4" w:rsidRDefault="00E012D4" w:rsidP="00114CB4">
            <w:pPr>
              <w:rPr>
                <w:rFonts w:asciiTheme="minorHAnsi" w:hAnsiTheme="minorHAnsi" w:cstheme="minorHAnsi"/>
                <w:sz w:val="22"/>
                <w:szCs w:val="22"/>
              </w:rPr>
            </w:pPr>
          </w:p>
          <w:p w:rsidR="00E012D4" w:rsidRPr="00E012D4" w:rsidRDefault="00E012D4" w:rsidP="00114CB4">
            <w:pPr>
              <w:rPr>
                <w:rFonts w:asciiTheme="minorHAnsi" w:hAnsiTheme="minorHAnsi" w:cstheme="minorHAnsi"/>
                <w:sz w:val="22"/>
                <w:szCs w:val="22"/>
              </w:rPr>
            </w:pPr>
          </w:p>
        </w:tc>
        <w:tc>
          <w:tcPr>
            <w:tcW w:w="1531"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ind w:left="43"/>
              <w:rPr>
                <w:rFonts w:asciiTheme="minorHAnsi" w:hAnsiTheme="minorHAnsi" w:cstheme="minorHAnsi"/>
                <w:sz w:val="22"/>
                <w:szCs w:val="22"/>
              </w:rPr>
            </w:pPr>
            <w:r>
              <w:rPr>
                <w:rFonts w:asciiTheme="minorHAnsi" w:hAnsiTheme="minorHAnsi"/>
                <w:color w:val="000000"/>
                <w:sz w:val="22"/>
              </w:rPr>
              <w:t>Nipro</w:t>
            </w:r>
          </w:p>
        </w:tc>
        <w:tc>
          <w:tcPr>
            <w:tcW w:w="1546"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jc w:val="center"/>
              <w:rPr>
                <w:rFonts w:asciiTheme="minorHAnsi" w:hAnsiTheme="minorHAnsi" w:cstheme="minorHAnsi"/>
                <w:sz w:val="22"/>
                <w:szCs w:val="22"/>
              </w:rPr>
            </w:pPr>
            <w:r>
              <w:rPr>
                <w:rFonts w:asciiTheme="minorHAnsi" w:hAnsiTheme="minorHAnsi"/>
                <w:color w:val="000000"/>
                <w:sz w:val="22"/>
              </w:rPr>
              <w:t>75-100</w:t>
            </w:r>
            <w:r>
              <w:rPr>
                <w:rFonts w:asciiTheme="minorHAnsi" w:hAnsiTheme="minorHAnsi"/>
                <w:color w:val="000000"/>
                <w:sz w:val="22"/>
                <w:vertAlign w:val="superscript"/>
              </w:rPr>
              <w:t>в</w:t>
            </w:r>
          </w:p>
        </w:tc>
        <w:tc>
          <w:tcPr>
            <w:tcW w:w="1565"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jc w:val="center"/>
              <w:rPr>
                <w:rFonts w:asciiTheme="minorHAnsi" w:hAnsiTheme="minorHAnsi" w:cstheme="minorHAnsi"/>
                <w:sz w:val="22"/>
                <w:szCs w:val="22"/>
              </w:rPr>
            </w:pPr>
            <w:r>
              <w:rPr>
                <w:rFonts w:asciiTheme="minorHAnsi" w:hAnsiTheme="minorHAnsi"/>
                <w:color w:val="000000"/>
                <w:sz w:val="22"/>
              </w:rPr>
              <w:t>96,5-100</w:t>
            </w:r>
            <w:r>
              <w:rPr>
                <w:rFonts w:asciiTheme="minorHAnsi" w:hAnsiTheme="minorHAnsi"/>
                <w:color w:val="000000"/>
                <w:sz w:val="22"/>
                <w:vertAlign w:val="superscript"/>
              </w:rPr>
              <w:t>в</w:t>
            </w:r>
          </w:p>
        </w:tc>
        <w:tc>
          <w:tcPr>
            <w:tcW w:w="155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54"/>
              <w:jc w:val="center"/>
              <w:rPr>
                <w:rFonts w:asciiTheme="minorHAnsi" w:hAnsiTheme="minorHAnsi"/>
                <w:color w:val="000000"/>
                <w:sz w:val="22"/>
              </w:rPr>
            </w:pPr>
            <w:r>
              <w:rPr>
                <w:rFonts w:asciiTheme="minorHAnsi" w:hAnsiTheme="minorHAnsi"/>
                <w:color w:val="000000"/>
                <w:sz w:val="22"/>
              </w:rPr>
              <w:t xml:space="preserve">96,5 </w:t>
            </w:r>
          </w:p>
          <w:p w:rsidR="00E012D4" w:rsidRPr="00E012D4" w:rsidRDefault="00E012D4" w:rsidP="00E012D4">
            <w:pPr>
              <w:shd w:val="clear" w:color="auto" w:fill="FFFFFF"/>
              <w:spacing w:line="226" w:lineRule="exact"/>
              <w:ind w:left="158" w:right="154"/>
              <w:jc w:val="center"/>
              <w:rPr>
                <w:rFonts w:asciiTheme="minorHAnsi" w:hAnsiTheme="minorHAnsi" w:cstheme="minorHAnsi"/>
                <w:sz w:val="22"/>
                <w:szCs w:val="22"/>
              </w:rPr>
            </w:pPr>
            <w:r>
              <w:rPr>
                <w:rFonts w:asciiTheme="minorHAnsi" w:hAnsiTheme="minorHAnsi"/>
                <w:color w:val="000000"/>
                <w:sz w:val="22"/>
              </w:rPr>
              <w:t>(92,5-98,7)</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34777B">
            <w:pPr>
              <w:shd w:val="clear" w:color="auto" w:fill="FFFFFF"/>
              <w:spacing w:line="226" w:lineRule="exact"/>
              <w:ind w:left="20" w:right="163" w:firstLine="4"/>
              <w:jc w:val="center"/>
              <w:rPr>
                <w:rFonts w:asciiTheme="minorHAnsi" w:hAnsiTheme="minorHAnsi"/>
                <w:color w:val="000000"/>
                <w:sz w:val="22"/>
              </w:rPr>
            </w:pPr>
            <w:r>
              <w:rPr>
                <w:rFonts w:asciiTheme="minorHAnsi" w:hAnsiTheme="minorHAnsi"/>
                <w:color w:val="000000"/>
                <w:sz w:val="22"/>
              </w:rPr>
              <w:t xml:space="preserve">97,5 </w:t>
            </w:r>
          </w:p>
          <w:p w:rsidR="00E012D4" w:rsidRPr="00E012D4" w:rsidRDefault="00E012D4" w:rsidP="0034777B">
            <w:pPr>
              <w:shd w:val="clear" w:color="auto" w:fill="FFFFFF"/>
              <w:spacing w:line="226" w:lineRule="exact"/>
              <w:ind w:left="20" w:right="163" w:firstLine="4"/>
              <w:jc w:val="center"/>
              <w:rPr>
                <w:rFonts w:asciiTheme="minorHAnsi" w:hAnsiTheme="minorHAnsi" w:cstheme="minorHAnsi"/>
                <w:sz w:val="22"/>
                <w:szCs w:val="22"/>
              </w:rPr>
            </w:pPr>
            <w:r>
              <w:rPr>
                <w:rFonts w:asciiTheme="minorHAnsi" w:hAnsiTheme="minorHAnsi"/>
                <w:color w:val="000000"/>
                <w:sz w:val="22"/>
              </w:rPr>
              <w:t>(94,8-99,0)</w:t>
            </w:r>
          </w:p>
        </w:tc>
      </w:tr>
      <w:tr w:rsidR="00E012D4" w:rsidRPr="00E012D4" w:rsidTr="00114CB4">
        <w:trPr>
          <w:trHeight w:hRule="exact" w:val="653"/>
        </w:trPr>
        <w:tc>
          <w:tcPr>
            <w:tcW w:w="1349" w:type="dxa"/>
            <w:vMerge w:val="restart"/>
            <w:tcBorders>
              <w:top w:val="single" w:sz="8" w:space="0" w:color="009649"/>
              <w:left w:val="nil"/>
              <w:bottom w:val="single" w:sz="8" w:space="0" w:color="009649"/>
              <w:right w:val="nil"/>
            </w:tcBorders>
            <w:shd w:val="clear" w:color="auto" w:fill="auto"/>
          </w:tcPr>
          <w:p w:rsidR="00E012D4" w:rsidRPr="00E012D4" w:rsidRDefault="00E012D4" w:rsidP="00114CB4">
            <w:pPr>
              <w:shd w:val="clear" w:color="auto" w:fill="FFFFFF"/>
              <w:spacing w:line="226" w:lineRule="exact"/>
              <w:ind w:left="53"/>
              <w:rPr>
                <w:rFonts w:asciiTheme="minorHAnsi" w:hAnsiTheme="minorHAnsi" w:cstheme="minorHAnsi"/>
                <w:sz w:val="22"/>
                <w:szCs w:val="22"/>
              </w:rPr>
            </w:pPr>
            <w:r>
              <w:rPr>
                <w:rFonts w:asciiTheme="minorHAnsi" w:hAnsiTheme="minorHAnsi"/>
                <w:color w:val="000000"/>
                <w:sz w:val="22"/>
              </w:rPr>
              <w:t>Ізоніазид</w:t>
            </w:r>
          </w:p>
          <w:p w:rsidR="00E012D4" w:rsidRPr="00E012D4" w:rsidRDefault="00E012D4" w:rsidP="00114CB4">
            <w:pPr>
              <w:shd w:val="clear" w:color="auto" w:fill="FFFFFF"/>
              <w:spacing w:line="226" w:lineRule="exact"/>
              <w:ind w:left="53"/>
              <w:rPr>
                <w:rFonts w:asciiTheme="minorHAnsi" w:hAnsiTheme="minorHAnsi" w:cstheme="minorHAnsi"/>
                <w:sz w:val="22"/>
                <w:szCs w:val="22"/>
              </w:rPr>
            </w:pPr>
            <w:r>
              <w:rPr>
                <w:rFonts w:asciiTheme="minorHAnsi" w:hAnsiTheme="minorHAnsi"/>
                <w:color w:val="000000"/>
                <w:sz w:val="22"/>
              </w:rPr>
              <w:t>Зразки</w:t>
            </w:r>
          </w:p>
          <w:p w:rsidR="00E012D4" w:rsidRPr="00E012D4" w:rsidRDefault="00E012D4" w:rsidP="00114CB4">
            <w:pPr>
              <w:shd w:val="clear" w:color="auto" w:fill="FFFFFF"/>
              <w:spacing w:line="226" w:lineRule="exact"/>
              <w:ind w:left="53"/>
              <w:rPr>
                <w:rFonts w:asciiTheme="minorHAnsi" w:hAnsiTheme="minorHAnsi" w:cstheme="minorHAnsi"/>
                <w:sz w:val="22"/>
                <w:szCs w:val="22"/>
              </w:rPr>
            </w:pPr>
            <w:r>
              <w:rPr>
                <w:rFonts w:asciiTheme="minorHAnsi" w:hAnsiTheme="minorHAnsi"/>
                <w:color w:val="000000"/>
                <w:sz w:val="22"/>
              </w:rPr>
              <w:t>мокротиння</w:t>
            </w:r>
          </w:p>
        </w:tc>
        <w:tc>
          <w:tcPr>
            <w:tcW w:w="1531"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rPr>
                <w:rFonts w:asciiTheme="minorHAnsi" w:hAnsiTheme="minorHAnsi" w:cstheme="minorHAnsi"/>
                <w:sz w:val="22"/>
                <w:szCs w:val="22"/>
              </w:rPr>
            </w:pPr>
            <w:r>
              <w:rPr>
                <w:rFonts w:asciiTheme="minorHAnsi" w:hAnsiTheme="minorHAnsi"/>
                <w:color w:val="000000"/>
                <w:sz w:val="22"/>
              </w:rPr>
              <w:t>Hain версії 1</w:t>
            </w:r>
          </w:p>
        </w:tc>
        <w:tc>
          <w:tcPr>
            <w:tcW w:w="1546"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44"/>
              <w:jc w:val="center"/>
              <w:rPr>
                <w:rFonts w:asciiTheme="minorHAnsi" w:hAnsiTheme="minorHAnsi"/>
                <w:color w:val="000000"/>
                <w:sz w:val="22"/>
              </w:rPr>
            </w:pPr>
            <w:r>
              <w:rPr>
                <w:rFonts w:asciiTheme="minorHAnsi" w:hAnsiTheme="minorHAnsi"/>
                <w:color w:val="000000"/>
                <w:sz w:val="22"/>
              </w:rPr>
              <w:t>88,4</w:t>
            </w:r>
          </w:p>
          <w:p w:rsidR="00E012D4" w:rsidRPr="00E012D4" w:rsidRDefault="00114CB4" w:rsidP="00E012D4">
            <w:pPr>
              <w:shd w:val="clear" w:color="auto" w:fill="FFFFFF"/>
              <w:spacing w:line="226" w:lineRule="exact"/>
              <w:ind w:left="158" w:right="14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84,4-91,6)</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68" w:right="154"/>
              <w:jc w:val="center"/>
              <w:rPr>
                <w:rFonts w:asciiTheme="minorHAnsi" w:hAnsiTheme="minorHAnsi"/>
                <w:color w:val="000000"/>
                <w:sz w:val="22"/>
              </w:rPr>
            </w:pPr>
            <w:r>
              <w:rPr>
                <w:rFonts w:asciiTheme="minorHAnsi" w:hAnsiTheme="minorHAnsi"/>
                <w:color w:val="000000"/>
                <w:sz w:val="22"/>
              </w:rPr>
              <w:t>98,3</w:t>
            </w:r>
          </w:p>
          <w:p w:rsidR="00E012D4" w:rsidRPr="00E012D4" w:rsidRDefault="00114CB4" w:rsidP="00E012D4">
            <w:pPr>
              <w:shd w:val="clear" w:color="auto" w:fill="FFFFFF"/>
              <w:spacing w:line="226" w:lineRule="exact"/>
              <w:ind w:left="168" w:right="15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97,4-98,9)</w:t>
            </w:r>
          </w:p>
        </w:tc>
        <w:tc>
          <w:tcPr>
            <w:tcW w:w="155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54"/>
              <w:jc w:val="center"/>
              <w:rPr>
                <w:rFonts w:asciiTheme="minorHAnsi" w:hAnsiTheme="minorHAnsi"/>
                <w:color w:val="000000"/>
                <w:sz w:val="22"/>
              </w:rPr>
            </w:pPr>
            <w:r>
              <w:rPr>
                <w:rFonts w:asciiTheme="minorHAnsi" w:hAnsiTheme="minorHAnsi"/>
                <w:color w:val="000000"/>
                <w:sz w:val="22"/>
              </w:rPr>
              <w:t>94,4</w:t>
            </w:r>
          </w:p>
          <w:p w:rsidR="00E012D4" w:rsidRPr="00E012D4" w:rsidRDefault="00114CB4" w:rsidP="00E012D4">
            <w:pPr>
              <w:shd w:val="clear" w:color="auto" w:fill="FFFFFF"/>
              <w:spacing w:line="226" w:lineRule="exact"/>
              <w:ind w:left="158" w:right="15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90,2-97,2)</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34777B">
            <w:pPr>
              <w:shd w:val="clear" w:color="auto" w:fill="FFFFFF"/>
              <w:spacing w:line="226" w:lineRule="exact"/>
              <w:ind w:left="20" w:right="163" w:firstLine="4"/>
              <w:jc w:val="center"/>
              <w:rPr>
                <w:rFonts w:asciiTheme="minorHAnsi" w:hAnsiTheme="minorHAnsi"/>
                <w:color w:val="000000"/>
                <w:sz w:val="22"/>
              </w:rPr>
            </w:pPr>
            <w:r>
              <w:rPr>
                <w:rFonts w:asciiTheme="minorHAnsi" w:hAnsiTheme="minorHAnsi"/>
                <w:color w:val="000000"/>
                <w:sz w:val="22"/>
              </w:rPr>
              <w:t>96,4</w:t>
            </w:r>
          </w:p>
          <w:p w:rsidR="00E012D4" w:rsidRPr="00E012D4" w:rsidRDefault="00114CB4" w:rsidP="0034777B">
            <w:pPr>
              <w:shd w:val="clear" w:color="auto" w:fill="FFFFFF"/>
              <w:spacing w:line="226" w:lineRule="exact"/>
              <w:ind w:left="20" w:right="163" w:firstLine="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93,2-98,3)</w:t>
            </w:r>
          </w:p>
        </w:tc>
      </w:tr>
      <w:tr w:rsidR="00E012D4" w:rsidRPr="00E012D4" w:rsidTr="00114CB4">
        <w:trPr>
          <w:trHeight w:hRule="exact" w:val="677"/>
        </w:trPr>
        <w:tc>
          <w:tcPr>
            <w:tcW w:w="1349" w:type="dxa"/>
            <w:vMerge/>
            <w:tcBorders>
              <w:top w:val="single" w:sz="8" w:space="0" w:color="009649"/>
              <w:left w:val="nil"/>
              <w:bottom w:val="nil"/>
              <w:right w:val="nil"/>
            </w:tcBorders>
            <w:shd w:val="clear" w:color="auto" w:fill="auto"/>
          </w:tcPr>
          <w:p w:rsidR="00E012D4" w:rsidRPr="00E012D4" w:rsidRDefault="00E012D4" w:rsidP="00114CB4">
            <w:pPr>
              <w:rPr>
                <w:rFonts w:asciiTheme="minorHAnsi" w:hAnsiTheme="minorHAnsi" w:cstheme="minorHAnsi"/>
                <w:sz w:val="22"/>
                <w:szCs w:val="22"/>
              </w:rPr>
            </w:pPr>
          </w:p>
          <w:p w:rsidR="00E012D4" w:rsidRPr="00E012D4" w:rsidRDefault="00E012D4" w:rsidP="00114CB4">
            <w:pPr>
              <w:rPr>
                <w:rFonts w:asciiTheme="minorHAnsi" w:hAnsiTheme="minorHAnsi" w:cstheme="minorHAnsi"/>
                <w:sz w:val="22"/>
                <w:szCs w:val="22"/>
              </w:rPr>
            </w:pPr>
          </w:p>
        </w:tc>
        <w:tc>
          <w:tcPr>
            <w:tcW w:w="1531"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rPr>
                <w:rFonts w:asciiTheme="minorHAnsi" w:hAnsiTheme="minorHAnsi" w:cstheme="minorHAnsi"/>
                <w:sz w:val="22"/>
                <w:szCs w:val="22"/>
              </w:rPr>
            </w:pPr>
            <w:r>
              <w:rPr>
                <w:rFonts w:asciiTheme="minorHAnsi" w:hAnsiTheme="minorHAnsi"/>
                <w:color w:val="000000"/>
                <w:sz w:val="22"/>
              </w:rPr>
              <w:t>Hain версії 2</w:t>
            </w:r>
          </w:p>
        </w:tc>
        <w:tc>
          <w:tcPr>
            <w:tcW w:w="1546"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44"/>
              <w:jc w:val="center"/>
              <w:rPr>
                <w:rFonts w:asciiTheme="minorHAnsi" w:hAnsiTheme="minorHAnsi"/>
                <w:color w:val="000000"/>
                <w:sz w:val="22"/>
              </w:rPr>
            </w:pPr>
            <w:r>
              <w:rPr>
                <w:rFonts w:asciiTheme="minorHAnsi" w:hAnsiTheme="minorHAnsi"/>
                <w:color w:val="000000"/>
                <w:sz w:val="22"/>
              </w:rPr>
              <w:t>94,5</w:t>
            </w:r>
          </w:p>
          <w:p w:rsidR="00E012D4" w:rsidRPr="00E012D4" w:rsidRDefault="00114CB4" w:rsidP="00E012D4">
            <w:pPr>
              <w:shd w:val="clear" w:color="auto" w:fill="FFFFFF"/>
              <w:spacing w:line="226" w:lineRule="exact"/>
              <w:ind w:left="158" w:right="14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91,4-96,5)</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10" w:right="96"/>
              <w:jc w:val="center"/>
              <w:rPr>
                <w:rFonts w:asciiTheme="minorHAnsi" w:hAnsiTheme="minorHAnsi"/>
                <w:color w:val="000000"/>
                <w:sz w:val="22"/>
              </w:rPr>
            </w:pPr>
            <w:r>
              <w:rPr>
                <w:rFonts w:asciiTheme="minorHAnsi" w:hAnsiTheme="minorHAnsi"/>
                <w:color w:val="000000"/>
                <w:sz w:val="22"/>
              </w:rPr>
              <w:t>99,3</w:t>
            </w:r>
          </w:p>
          <w:p w:rsidR="00E012D4" w:rsidRPr="00E012D4" w:rsidRDefault="00114CB4" w:rsidP="00E012D4">
            <w:pPr>
              <w:shd w:val="clear" w:color="auto" w:fill="FFFFFF"/>
              <w:spacing w:line="226" w:lineRule="exact"/>
              <w:ind w:left="110" w:right="96"/>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92,6-100,0)</w:t>
            </w:r>
          </w:p>
        </w:tc>
        <w:tc>
          <w:tcPr>
            <w:tcW w:w="155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54"/>
              <w:jc w:val="center"/>
              <w:rPr>
                <w:rFonts w:asciiTheme="minorHAnsi" w:hAnsiTheme="minorHAnsi"/>
                <w:color w:val="000000"/>
                <w:sz w:val="22"/>
              </w:rPr>
            </w:pPr>
            <w:r>
              <w:rPr>
                <w:rFonts w:asciiTheme="minorHAnsi" w:hAnsiTheme="minorHAnsi"/>
                <w:color w:val="000000"/>
                <w:sz w:val="22"/>
              </w:rPr>
              <w:t>95,4</w:t>
            </w:r>
          </w:p>
          <w:p w:rsidR="00E012D4" w:rsidRPr="00E012D4" w:rsidRDefault="00114CB4" w:rsidP="00E012D4">
            <w:pPr>
              <w:shd w:val="clear" w:color="auto" w:fill="FFFFFF"/>
              <w:spacing w:line="226" w:lineRule="exact"/>
              <w:ind w:left="158" w:right="15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91,5-97,9)</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34777B">
            <w:pPr>
              <w:shd w:val="clear" w:color="auto" w:fill="FFFFFF"/>
              <w:spacing w:line="226" w:lineRule="exact"/>
              <w:ind w:left="20" w:right="163" w:firstLine="4"/>
              <w:jc w:val="center"/>
              <w:rPr>
                <w:rFonts w:asciiTheme="minorHAnsi" w:hAnsiTheme="minorHAnsi"/>
                <w:color w:val="000000"/>
                <w:sz w:val="22"/>
              </w:rPr>
            </w:pPr>
            <w:r>
              <w:rPr>
                <w:rFonts w:asciiTheme="minorHAnsi" w:hAnsiTheme="minorHAnsi"/>
                <w:color w:val="000000"/>
                <w:sz w:val="22"/>
              </w:rPr>
              <w:t>98,8</w:t>
            </w:r>
          </w:p>
          <w:p w:rsidR="00E012D4" w:rsidRPr="00E012D4" w:rsidRDefault="00114CB4" w:rsidP="0034777B">
            <w:pPr>
              <w:shd w:val="clear" w:color="auto" w:fill="FFFFFF"/>
              <w:spacing w:line="226" w:lineRule="exact"/>
              <w:ind w:left="20" w:right="163" w:firstLine="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96,5-99,8)</w:t>
            </w:r>
          </w:p>
        </w:tc>
      </w:tr>
      <w:tr w:rsidR="00E012D4" w:rsidRPr="00E012D4" w:rsidTr="00114CB4">
        <w:trPr>
          <w:trHeight w:hRule="exact" w:val="658"/>
        </w:trPr>
        <w:tc>
          <w:tcPr>
            <w:tcW w:w="1349" w:type="dxa"/>
            <w:vMerge/>
            <w:tcBorders>
              <w:top w:val="nil"/>
              <w:left w:val="nil"/>
              <w:bottom w:val="single" w:sz="8" w:space="0" w:color="009649"/>
              <w:right w:val="nil"/>
            </w:tcBorders>
            <w:shd w:val="clear" w:color="auto" w:fill="auto"/>
          </w:tcPr>
          <w:p w:rsidR="00E012D4" w:rsidRPr="00E012D4" w:rsidRDefault="00E012D4" w:rsidP="00114CB4">
            <w:pPr>
              <w:rPr>
                <w:rFonts w:asciiTheme="minorHAnsi" w:hAnsiTheme="minorHAnsi" w:cstheme="minorHAnsi"/>
                <w:sz w:val="22"/>
                <w:szCs w:val="22"/>
              </w:rPr>
            </w:pPr>
          </w:p>
          <w:p w:rsidR="00E012D4" w:rsidRPr="00E012D4" w:rsidRDefault="00E012D4" w:rsidP="00114CB4">
            <w:pPr>
              <w:rPr>
                <w:rFonts w:asciiTheme="minorHAnsi" w:hAnsiTheme="minorHAnsi" w:cstheme="minorHAnsi"/>
                <w:sz w:val="22"/>
                <w:szCs w:val="22"/>
              </w:rPr>
            </w:pPr>
          </w:p>
        </w:tc>
        <w:tc>
          <w:tcPr>
            <w:tcW w:w="1531"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ind w:left="43"/>
              <w:rPr>
                <w:rFonts w:asciiTheme="minorHAnsi" w:hAnsiTheme="minorHAnsi" w:cstheme="minorHAnsi"/>
                <w:sz w:val="22"/>
                <w:szCs w:val="22"/>
              </w:rPr>
            </w:pPr>
            <w:r>
              <w:rPr>
                <w:rFonts w:asciiTheme="minorHAnsi" w:hAnsiTheme="minorHAnsi"/>
                <w:color w:val="000000"/>
                <w:sz w:val="22"/>
              </w:rPr>
              <w:t>Nipro</w:t>
            </w:r>
          </w:p>
        </w:tc>
        <w:tc>
          <w:tcPr>
            <w:tcW w:w="1546"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jc w:val="center"/>
              <w:rPr>
                <w:rFonts w:asciiTheme="minorHAnsi" w:hAnsiTheme="minorHAnsi" w:cstheme="minorHAnsi"/>
                <w:sz w:val="22"/>
                <w:szCs w:val="22"/>
              </w:rPr>
            </w:pPr>
            <w:r>
              <w:rPr>
                <w:rFonts w:asciiTheme="minorHAnsi" w:hAnsiTheme="minorHAnsi"/>
                <w:color w:val="000000"/>
                <w:sz w:val="22"/>
              </w:rPr>
              <w:t>50-94,9</w:t>
            </w:r>
            <w:r>
              <w:rPr>
                <w:rFonts w:asciiTheme="minorHAnsi" w:hAnsiTheme="minorHAnsi"/>
                <w:b/>
                <w:color w:val="000000"/>
                <w:sz w:val="22"/>
                <w:vertAlign w:val="superscript"/>
              </w:rPr>
              <w:t>C</w:t>
            </w:r>
          </w:p>
        </w:tc>
        <w:tc>
          <w:tcPr>
            <w:tcW w:w="1565"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jc w:val="center"/>
              <w:rPr>
                <w:rFonts w:asciiTheme="minorHAnsi" w:hAnsiTheme="minorHAnsi" w:cstheme="minorHAnsi"/>
                <w:sz w:val="22"/>
                <w:szCs w:val="22"/>
              </w:rPr>
            </w:pPr>
            <w:r>
              <w:rPr>
                <w:rFonts w:asciiTheme="minorHAnsi" w:hAnsiTheme="minorHAnsi"/>
                <w:color w:val="000000"/>
                <w:sz w:val="22"/>
              </w:rPr>
              <w:t>96,5-97,8</w:t>
            </w:r>
            <w:r>
              <w:rPr>
                <w:rFonts w:asciiTheme="minorHAnsi" w:hAnsiTheme="minorHAnsi"/>
                <w:b/>
                <w:color w:val="000000"/>
                <w:sz w:val="22"/>
                <w:vertAlign w:val="superscript"/>
              </w:rPr>
              <w:t>C</w:t>
            </w:r>
          </w:p>
        </w:tc>
        <w:tc>
          <w:tcPr>
            <w:tcW w:w="155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54"/>
              <w:jc w:val="center"/>
              <w:rPr>
                <w:rFonts w:asciiTheme="minorHAnsi" w:hAnsiTheme="minorHAnsi"/>
                <w:color w:val="000000"/>
                <w:sz w:val="22"/>
              </w:rPr>
            </w:pPr>
            <w:r>
              <w:rPr>
                <w:rFonts w:asciiTheme="minorHAnsi" w:hAnsiTheme="minorHAnsi"/>
                <w:color w:val="000000"/>
                <w:sz w:val="22"/>
              </w:rPr>
              <w:t>94,9</w:t>
            </w:r>
          </w:p>
          <w:p w:rsidR="00E012D4" w:rsidRPr="00E012D4" w:rsidRDefault="00114CB4" w:rsidP="00E012D4">
            <w:pPr>
              <w:shd w:val="clear" w:color="auto" w:fill="FFFFFF"/>
              <w:spacing w:line="226" w:lineRule="exact"/>
              <w:ind w:left="158" w:right="15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90,9-97,5)</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34777B">
            <w:pPr>
              <w:shd w:val="clear" w:color="auto" w:fill="FFFFFF"/>
              <w:spacing w:line="226" w:lineRule="exact"/>
              <w:ind w:left="20" w:right="163" w:firstLine="4"/>
              <w:jc w:val="center"/>
              <w:rPr>
                <w:rFonts w:asciiTheme="minorHAnsi" w:hAnsiTheme="minorHAnsi"/>
                <w:color w:val="000000"/>
                <w:sz w:val="22"/>
              </w:rPr>
            </w:pPr>
            <w:r>
              <w:rPr>
                <w:rFonts w:asciiTheme="minorHAnsi" w:hAnsiTheme="minorHAnsi"/>
                <w:color w:val="000000"/>
                <w:sz w:val="22"/>
              </w:rPr>
              <w:t>97,6</w:t>
            </w:r>
          </w:p>
          <w:p w:rsidR="00E012D4" w:rsidRPr="00E012D4" w:rsidRDefault="00114CB4" w:rsidP="0034777B">
            <w:pPr>
              <w:shd w:val="clear" w:color="auto" w:fill="FFFFFF"/>
              <w:spacing w:line="226" w:lineRule="exact"/>
              <w:ind w:left="20" w:right="163" w:firstLine="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94,8-99,1)</w:t>
            </w:r>
          </w:p>
        </w:tc>
      </w:tr>
      <w:tr w:rsidR="00E012D4" w:rsidRPr="00E012D4" w:rsidTr="00114CB4">
        <w:trPr>
          <w:trHeight w:hRule="exact" w:val="629"/>
        </w:trPr>
        <w:tc>
          <w:tcPr>
            <w:tcW w:w="1349" w:type="dxa"/>
            <w:vMerge w:val="restart"/>
            <w:tcBorders>
              <w:top w:val="single" w:sz="8" w:space="0" w:color="009649"/>
              <w:left w:val="nil"/>
              <w:bottom w:val="single" w:sz="8" w:space="0" w:color="009649"/>
              <w:right w:val="nil"/>
            </w:tcBorders>
            <w:shd w:val="clear" w:color="auto" w:fill="auto"/>
          </w:tcPr>
          <w:p w:rsidR="00E012D4" w:rsidRPr="00E012D4" w:rsidRDefault="00E012D4" w:rsidP="00114CB4">
            <w:pPr>
              <w:shd w:val="clear" w:color="auto" w:fill="FFFFFF"/>
              <w:spacing w:line="226" w:lineRule="exact"/>
              <w:ind w:left="53"/>
              <w:rPr>
                <w:rFonts w:asciiTheme="minorHAnsi" w:hAnsiTheme="minorHAnsi" w:cstheme="minorHAnsi"/>
                <w:sz w:val="22"/>
                <w:szCs w:val="22"/>
              </w:rPr>
            </w:pPr>
            <w:r>
              <w:rPr>
                <w:rFonts w:asciiTheme="minorHAnsi" w:hAnsiTheme="minorHAnsi"/>
                <w:color w:val="000000"/>
                <w:sz w:val="22"/>
              </w:rPr>
              <w:t>Рифампіцин</w:t>
            </w:r>
          </w:p>
          <w:p w:rsidR="00E012D4" w:rsidRPr="00E012D4" w:rsidRDefault="00E012D4" w:rsidP="00114CB4">
            <w:pPr>
              <w:shd w:val="clear" w:color="auto" w:fill="FFFFFF"/>
              <w:spacing w:line="226" w:lineRule="exact"/>
              <w:ind w:left="53"/>
              <w:rPr>
                <w:rFonts w:asciiTheme="minorHAnsi" w:hAnsiTheme="minorHAnsi" w:cstheme="minorHAnsi"/>
                <w:sz w:val="22"/>
                <w:szCs w:val="22"/>
              </w:rPr>
            </w:pPr>
            <w:r>
              <w:rPr>
                <w:rFonts w:asciiTheme="minorHAnsi" w:hAnsiTheme="minorHAnsi"/>
                <w:color w:val="000000"/>
                <w:sz w:val="22"/>
              </w:rPr>
              <w:t>ізоляти</w:t>
            </w:r>
          </w:p>
          <w:p w:rsidR="00E012D4" w:rsidRPr="00E012D4" w:rsidRDefault="00E012D4" w:rsidP="00114CB4">
            <w:pPr>
              <w:shd w:val="clear" w:color="auto" w:fill="FFFFFF"/>
              <w:spacing w:line="226" w:lineRule="exact"/>
              <w:ind w:left="53"/>
              <w:rPr>
                <w:rFonts w:asciiTheme="minorHAnsi" w:hAnsiTheme="minorHAnsi" w:cstheme="minorHAnsi"/>
                <w:sz w:val="22"/>
                <w:szCs w:val="22"/>
              </w:rPr>
            </w:pPr>
            <w:r>
              <w:rPr>
                <w:rFonts w:asciiTheme="minorHAnsi" w:hAnsiTheme="minorHAnsi"/>
                <w:color w:val="000000"/>
                <w:sz w:val="22"/>
              </w:rPr>
              <w:t>посіву</w:t>
            </w:r>
          </w:p>
        </w:tc>
        <w:tc>
          <w:tcPr>
            <w:tcW w:w="1531"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rPr>
                <w:rFonts w:asciiTheme="minorHAnsi" w:hAnsiTheme="minorHAnsi" w:cstheme="minorHAnsi"/>
                <w:sz w:val="22"/>
                <w:szCs w:val="22"/>
              </w:rPr>
            </w:pPr>
            <w:r>
              <w:rPr>
                <w:rFonts w:asciiTheme="minorHAnsi" w:hAnsiTheme="minorHAnsi"/>
                <w:color w:val="000000"/>
                <w:sz w:val="22"/>
              </w:rPr>
              <w:t>Hain версії 1</w:t>
            </w:r>
          </w:p>
        </w:tc>
        <w:tc>
          <w:tcPr>
            <w:tcW w:w="1546"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44"/>
              <w:jc w:val="center"/>
              <w:rPr>
                <w:rFonts w:asciiTheme="minorHAnsi" w:hAnsiTheme="minorHAnsi"/>
                <w:color w:val="000000"/>
                <w:sz w:val="22"/>
              </w:rPr>
            </w:pPr>
            <w:r>
              <w:rPr>
                <w:rFonts w:asciiTheme="minorHAnsi" w:hAnsiTheme="minorHAnsi"/>
                <w:color w:val="000000"/>
                <w:sz w:val="22"/>
              </w:rPr>
              <w:t>97,3</w:t>
            </w:r>
          </w:p>
          <w:p w:rsidR="00E012D4" w:rsidRPr="00E012D4" w:rsidRDefault="00114CB4" w:rsidP="00E012D4">
            <w:pPr>
              <w:shd w:val="clear" w:color="auto" w:fill="FFFFFF"/>
              <w:spacing w:line="226" w:lineRule="exact"/>
              <w:ind w:left="158" w:right="14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95,7-98,3)</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68" w:right="154"/>
              <w:jc w:val="center"/>
              <w:rPr>
                <w:rFonts w:asciiTheme="minorHAnsi" w:hAnsiTheme="minorHAnsi"/>
                <w:color w:val="000000"/>
                <w:sz w:val="22"/>
              </w:rPr>
            </w:pPr>
            <w:r>
              <w:rPr>
                <w:rFonts w:asciiTheme="minorHAnsi" w:hAnsiTheme="minorHAnsi"/>
                <w:color w:val="000000"/>
                <w:sz w:val="22"/>
              </w:rPr>
              <w:t>99,5</w:t>
            </w:r>
          </w:p>
          <w:p w:rsidR="00E012D4" w:rsidRPr="00E012D4" w:rsidRDefault="00114CB4" w:rsidP="00E012D4">
            <w:pPr>
              <w:shd w:val="clear" w:color="auto" w:fill="FFFFFF"/>
              <w:spacing w:line="226" w:lineRule="exact"/>
              <w:ind w:left="168" w:right="15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98,8-98,8)</w:t>
            </w:r>
          </w:p>
        </w:tc>
        <w:tc>
          <w:tcPr>
            <w:tcW w:w="155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54"/>
              <w:jc w:val="center"/>
              <w:rPr>
                <w:rFonts w:asciiTheme="minorHAnsi" w:hAnsiTheme="minorHAnsi"/>
                <w:color w:val="000000"/>
                <w:sz w:val="22"/>
              </w:rPr>
            </w:pPr>
            <w:r>
              <w:rPr>
                <w:rFonts w:asciiTheme="minorHAnsi" w:hAnsiTheme="minorHAnsi"/>
                <w:color w:val="000000"/>
                <w:sz w:val="22"/>
              </w:rPr>
              <w:t>91,3</w:t>
            </w:r>
          </w:p>
          <w:p w:rsidR="00E012D4" w:rsidRPr="00E012D4" w:rsidRDefault="00114CB4" w:rsidP="00E012D4">
            <w:pPr>
              <w:shd w:val="clear" w:color="auto" w:fill="FFFFFF"/>
              <w:spacing w:line="226" w:lineRule="exact"/>
              <w:ind w:left="158" w:right="15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86,0-95,0)</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34777B">
            <w:pPr>
              <w:shd w:val="clear" w:color="auto" w:fill="FFFFFF"/>
              <w:spacing w:line="226" w:lineRule="exact"/>
              <w:ind w:left="20" w:right="163" w:firstLine="4"/>
              <w:jc w:val="center"/>
              <w:rPr>
                <w:rFonts w:asciiTheme="minorHAnsi" w:hAnsiTheme="minorHAnsi"/>
                <w:color w:val="000000"/>
                <w:sz w:val="22"/>
              </w:rPr>
            </w:pPr>
            <w:r>
              <w:rPr>
                <w:rFonts w:asciiTheme="minorHAnsi" w:hAnsiTheme="minorHAnsi"/>
                <w:color w:val="000000"/>
                <w:sz w:val="22"/>
              </w:rPr>
              <w:t>97,1</w:t>
            </w:r>
          </w:p>
          <w:p w:rsidR="00E012D4" w:rsidRPr="00E012D4" w:rsidRDefault="00114CB4" w:rsidP="0034777B">
            <w:pPr>
              <w:shd w:val="clear" w:color="auto" w:fill="FFFFFF"/>
              <w:spacing w:line="226" w:lineRule="exact"/>
              <w:ind w:left="20" w:right="163" w:firstLine="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94,3-98,7)</w:t>
            </w:r>
          </w:p>
        </w:tc>
      </w:tr>
      <w:tr w:rsidR="00E012D4" w:rsidRPr="00E012D4" w:rsidTr="00114CB4">
        <w:trPr>
          <w:trHeight w:hRule="exact" w:val="701"/>
        </w:trPr>
        <w:tc>
          <w:tcPr>
            <w:tcW w:w="1349" w:type="dxa"/>
            <w:vMerge/>
            <w:tcBorders>
              <w:top w:val="single" w:sz="8" w:space="0" w:color="009649"/>
              <w:left w:val="nil"/>
              <w:bottom w:val="nil"/>
              <w:right w:val="nil"/>
            </w:tcBorders>
            <w:shd w:val="clear" w:color="auto" w:fill="auto"/>
          </w:tcPr>
          <w:p w:rsidR="00E012D4" w:rsidRPr="00E012D4" w:rsidRDefault="00E012D4" w:rsidP="00114CB4">
            <w:pPr>
              <w:rPr>
                <w:rFonts w:asciiTheme="minorHAnsi" w:hAnsiTheme="minorHAnsi" w:cstheme="minorHAnsi"/>
                <w:sz w:val="22"/>
                <w:szCs w:val="22"/>
              </w:rPr>
            </w:pPr>
          </w:p>
          <w:p w:rsidR="00E012D4" w:rsidRPr="00E012D4" w:rsidRDefault="00E012D4" w:rsidP="00114CB4">
            <w:pPr>
              <w:rPr>
                <w:rFonts w:asciiTheme="minorHAnsi" w:hAnsiTheme="minorHAnsi" w:cstheme="minorHAnsi"/>
                <w:sz w:val="22"/>
                <w:szCs w:val="22"/>
              </w:rPr>
            </w:pPr>
          </w:p>
        </w:tc>
        <w:tc>
          <w:tcPr>
            <w:tcW w:w="1531"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rPr>
                <w:rFonts w:asciiTheme="minorHAnsi" w:hAnsiTheme="minorHAnsi" w:cstheme="minorHAnsi"/>
                <w:sz w:val="22"/>
                <w:szCs w:val="22"/>
              </w:rPr>
            </w:pPr>
            <w:r>
              <w:rPr>
                <w:rFonts w:asciiTheme="minorHAnsi" w:hAnsiTheme="minorHAnsi"/>
                <w:color w:val="000000"/>
                <w:sz w:val="22"/>
              </w:rPr>
              <w:t>Hain версії 2</w:t>
            </w:r>
          </w:p>
        </w:tc>
        <w:tc>
          <w:tcPr>
            <w:tcW w:w="1546"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jc w:val="center"/>
              <w:rPr>
                <w:rFonts w:asciiTheme="minorHAnsi" w:hAnsiTheme="minorHAnsi" w:cstheme="minorHAnsi"/>
                <w:sz w:val="22"/>
                <w:szCs w:val="22"/>
              </w:rPr>
            </w:pPr>
            <w:r>
              <w:rPr>
                <w:rFonts w:asciiTheme="minorHAnsi" w:hAnsiTheme="minorHAnsi"/>
                <w:color w:val="000000"/>
                <w:sz w:val="22"/>
              </w:rPr>
              <w:t>91.3</w:t>
            </w:r>
            <w:r>
              <w:rPr>
                <w:rFonts w:asciiTheme="minorHAnsi" w:hAnsiTheme="minorHAnsi"/>
                <w:color w:val="000000"/>
                <w:sz w:val="22"/>
                <w:vertAlign w:val="superscript"/>
              </w:rPr>
              <w:t>г</w:t>
            </w:r>
          </w:p>
        </w:tc>
        <w:tc>
          <w:tcPr>
            <w:tcW w:w="1565"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jc w:val="center"/>
              <w:rPr>
                <w:rFonts w:asciiTheme="minorHAnsi" w:hAnsiTheme="minorHAnsi" w:cstheme="minorHAnsi"/>
                <w:sz w:val="22"/>
                <w:szCs w:val="22"/>
              </w:rPr>
            </w:pPr>
            <w:r>
              <w:rPr>
                <w:rFonts w:asciiTheme="minorHAnsi" w:hAnsiTheme="minorHAnsi"/>
                <w:color w:val="000000"/>
                <w:sz w:val="22"/>
              </w:rPr>
              <w:t>98.0</w:t>
            </w:r>
            <w:r>
              <w:rPr>
                <w:rFonts w:asciiTheme="minorHAnsi" w:hAnsiTheme="minorHAnsi"/>
                <w:color w:val="000000"/>
                <w:sz w:val="22"/>
                <w:vertAlign w:val="superscript"/>
              </w:rPr>
              <w:t>г</w:t>
            </w:r>
          </w:p>
        </w:tc>
        <w:tc>
          <w:tcPr>
            <w:tcW w:w="155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54"/>
              <w:jc w:val="center"/>
              <w:rPr>
                <w:rFonts w:asciiTheme="minorHAnsi" w:hAnsiTheme="minorHAnsi"/>
                <w:color w:val="000000"/>
                <w:sz w:val="22"/>
              </w:rPr>
            </w:pPr>
            <w:r>
              <w:rPr>
                <w:rFonts w:asciiTheme="minorHAnsi" w:hAnsiTheme="minorHAnsi"/>
                <w:color w:val="000000"/>
                <w:sz w:val="22"/>
              </w:rPr>
              <w:t>91,3</w:t>
            </w:r>
          </w:p>
          <w:p w:rsidR="00E012D4" w:rsidRPr="00E012D4" w:rsidRDefault="00114CB4" w:rsidP="00E012D4">
            <w:pPr>
              <w:shd w:val="clear" w:color="auto" w:fill="FFFFFF"/>
              <w:spacing w:line="226" w:lineRule="exact"/>
              <w:ind w:left="158" w:right="15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86,0-95,0)</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34777B">
            <w:pPr>
              <w:shd w:val="clear" w:color="auto" w:fill="FFFFFF"/>
              <w:spacing w:line="226" w:lineRule="exact"/>
              <w:ind w:left="20" w:right="163" w:firstLine="4"/>
              <w:jc w:val="center"/>
              <w:rPr>
                <w:rFonts w:asciiTheme="minorHAnsi" w:hAnsiTheme="minorHAnsi"/>
                <w:color w:val="000000"/>
                <w:sz w:val="22"/>
              </w:rPr>
            </w:pPr>
            <w:r>
              <w:rPr>
                <w:rFonts w:asciiTheme="minorHAnsi" w:hAnsiTheme="minorHAnsi"/>
                <w:color w:val="000000"/>
                <w:sz w:val="22"/>
              </w:rPr>
              <w:t>97,1</w:t>
            </w:r>
          </w:p>
          <w:p w:rsidR="00E012D4" w:rsidRPr="00E012D4" w:rsidRDefault="00114CB4" w:rsidP="0034777B">
            <w:pPr>
              <w:shd w:val="clear" w:color="auto" w:fill="FFFFFF"/>
              <w:spacing w:line="226" w:lineRule="exact"/>
              <w:ind w:left="20" w:right="163" w:firstLine="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94,3-98,7)</w:t>
            </w:r>
          </w:p>
        </w:tc>
      </w:tr>
      <w:tr w:rsidR="00E012D4" w:rsidRPr="00E012D4" w:rsidTr="00114CB4">
        <w:trPr>
          <w:trHeight w:hRule="exact" w:val="662"/>
        </w:trPr>
        <w:tc>
          <w:tcPr>
            <w:tcW w:w="1349" w:type="dxa"/>
            <w:vMerge/>
            <w:tcBorders>
              <w:top w:val="nil"/>
              <w:left w:val="nil"/>
              <w:bottom w:val="single" w:sz="8" w:space="0" w:color="009649"/>
              <w:right w:val="nil"/>
            </w:tcBorders>
            <w:shd w:val="clear" w:color="auto" w:fill="auto"/>
          </w:tcPr>
          <w:p w:rsidR="00E012D4" w:rsidRPr="00E012D4" w:rsidRDefault="00E012D4" w:rsidP="00114CB4">
            <w:pPr>
              <w:rPr>
                <w:rFonts w:asciiTheme="minorHAnsi" w:hAnsiTheme="minorHAnsi" w:cstheme="minorHAnsi"/>
                <w:sz w:val="22"/>
                <w:szCs w:val="22"/>
              </w:rPr>
            </w:pPr>
          </w:p>
          <w:p w:rsidR="00E012D4" w:rsidRPr="00E012D4" w:rsidRDefault="00E012D4" w:rsidP="00114CB4">
            <w:pPr>
              <w:rPr>
                <w:rFonts w:asciiTheme="minorHAnsi" w:hAnsiTheme="minorHAnsi" w:cstheme="minorHAnsi"/>
                <w:sz w:val="22"/>
                <w:szCs w:val="22"/>
              </w:rPr>
            </w:pPr>
          </w:p>
        </w:tc>
        <w:tc>
          <w:tcPr>
            <w:tcW w:w="1531"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ind w:left="43"/>
              <w:rPr>
                <w:rFonts w:asciiTheme="minorHAnsi" w:hAnsiTheme="minorHAnsi" w:cstheme="minorHAnsi"/>
                <w:sz w:val="22"/>
                <w:szCs w:val="22"/>
              </w:rPr>
            </w:pPr>
            <w:r>
              <w:rPr>
                <w:rFonts w:asciiTheme="minorHAnsi" w:hAnsiTheme="minorHAnsi"/>
                <w:color w:val="000000"/>
                <w:sz w:val="22"/>
              </w:rPr>
              <w:t>Nipro</w:t>
            </w:r>
          </w:p>
        </w:tc>
        <w:tc>
          <w:tcPr>
            <w:tcW w:w="1546"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jc w:val="center"/>
              <w:rPr>
                <w:rFonts w:asciiTheme="minorHAnsi" w:hAnsiTheme="minorHAnsi" w:cstheme="minorHAnsi"/>
                <w:sz w:val="22"/>
                <w:szCs w:val="22"/>
              </w:rPr>
            </w:pPr>
            <w:r>
              <w:rPr>
                <w:rFonts w:asciiTheme="minorHAnsi" w:hAnsiTheme="minorHAnsi"/>
                <w:color w:val="000000"/>
                <w:sz w:val="22"/>
              </w:rPr>
              <w:t xml:space="preserve">92.8-98.9 </w:t>
            </w:r>
            <w:r>
              <w:rPr>
                <w:rFonts w:asciiTheme="minorHAnsi" w:hAnsiTheme="minorHAnsi"/>
                <w:color w:val="000000"/>
                <w:sz w:val="22"/>
                <w:vertAlign w:val="superscript"/>
              </w:rPr>
              <w:t>в</w:t>
            </w:r>
          </w:p>
        </w:tc>
        <w:tc>
          <w:tcPr>
            <w:tcW w:w="1565"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jc w:val="center"/>
              <w:rPr>
                <w:rFonts w:asciiTheme="minorHAnsi" w:hAnsiTheme="minorHAnsi" w:cstheme="minorHAnsi"/>
                <w:sz w:val="22"/>
                <w:szCs w:val="22"/>
              </w:rPr>
            </w:pPr>
            <w:r>
              <w:rPr>
                <w:rFonts w:asciiTheme="minorHAnsi" w:hAnsiTheme="minorHAnsi"/>
                <w:color w:val="000000"/>
                <w:sz w:val="22"/>
              </w:rPr>
              <w:t>97,3-98,2</w:t>
            </w:r>
            <w:r>
              <w:rPr>
                <w:rFonts w:asciiTheme="minorHAnsi" w:hAnsiTheme="minorHAnsi"/>
                <w:b/>
                <w:color w:val="000000"/>
                <w:sz w:val="22"/>
                <w:vertAlign w:val="superscript"/>
              </w:rPr>
              <w:t>C</w:t>
            </w:r>
          </w:p>
        </w:tc>
        <w:tc>
          <w:tcPr>
            <w:tcW w:w="155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54"/>
              <w:jc w:val="center"/>
              <w:rPr>
                <w:rFonts w:asciiTheme="minorHAnsi" w:hAnsiTheme="minorHAnsi"/>
                <w:color w:val="000000"/>
                <w:sz w:val="22"/>
              </w:rPr>
            </w:pPr>
            <w:r>
              <w:rPr>
                <w:rFonts w:asciiTheme="minorHAnsi" w:hAnsiTheme="minorHAnsi"/>
                <w:color w:val="000000"/>
                <w:sz w:val="22"/>
              </w:rPr>
              <w:t>92,4</w:t>
            </w:r>
          </w:p>
          <w:p w:rsidR="00E012D4" w:rsidRPr="00E012D4" w:rsidRDefault="00114CB4" w:rsidP="00E012D4">
            <w:pPr>
              <w:shd w:val="clear" w:color="auto" w:fill="FFFFFF"/>
              <w:spacing w:line="226" w:lineRule="exact"/>
              <w:ind w:left="158" w:right="15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87,4-95,9)</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34777B">
            <w:pPr>
              <w:shd w:val="clear" w:color="auto" w:fill="FFFFFF"/>
              <w:spacing w:line="226" w:lineRule="exact"/>
              <w:ind w:left="20" w:right="163" w:firstLine="4"/>
              <w:jc w:val="center"/>
              <w:rPr>
                <w:rFonts w:asciiTheme="minorHAnsi" w:hAnsiTheme="minorHAnsi"/>
                <w:color w:val="000000"/>
                <w:sz w:val="22"/>
              </w:rPr>
            </w:pPr>
            <w:r>
              <w:rPr>
                <w:rFonts w:asciiTheme="minorHAnsi" w:hAnsiTheme="minorHAnsi"/>
                <w:color w:val="000000"/>
                <w:sz w:val="22"/>
              </w:rPr>
              <w:t>97,5</w:t>
            </w:r>
          </w:p>
          <w:p w:rsidR="00E012D4" w:rsidRPr="00E012D4" w:rsidRDefault="00114CB4" w:rsidP="0034777B">
            <w:pPr>
              <w:shd w:val="clear" w:color="auto" w:fill="FFFFFF"/>
              <w:spacing w:line="226" w:lineRule="exact"/>
              <w:ind w:left="20" w:right="163" w:firstLine="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94,3-99,2)</w:t>
            </w:r>
          </w:p>
        </w:tc>
      </w:tr>
      <w:tr w:rsidR="00E012D4" w:rsidRPr="00E012D4" w:rsidTr="00114CB4">
        <w:trPr>
          <w:trHeight w:hRule="exact" w:val="648"/>
        </w:trPr>
        <w:tc>
          <w:tcPr>
            <w:tcW w:w="1349" w:type="dxa"/>
            <w:vMerge w:val="restart"/>
            <w:tcBorders>
              <w:top w:val="single" w:sz="8" w:space="0" w:color="009649"/>
              <w:left w:val="nil"/>
              <w:bottom w:val="single" w:sz="8" w:space="0" w:color="009649"/>
              <w:right w:val="nil"/>
            </w:tcBorders>
            <w:shd w:val="clear" w:color="auto" w:fill="auto"/>
          </w:tcPr>
          <w:p w:rsidR="00E012D4" w:rsidRPr="00E012D4" w:rsidRDefault="00E012D4" w:rsidP="00114CB4">
            <w:pPr>
              <w:shd w:val="clear" w:color="auto" w:fill="FFFFFF"/>
              <w:spacing w:line="226" w:lineRule="exact"/>
              <w:ind w:left="53"/>
              <w:rPr>
                <w:rFonts w:asciiTheme="minorHAnsi" w:hAnsiTheme="minorHAnsi" w:cstheme="minorHAnsi"/>
                <w:sz w:val="22"/>
                <w:szCs w:val="22"/>
              </w:rPr>
            </w:pPr>
            <w:r>
              <w:rPr>
                <w:rFonts w:asciiTheme="minorHAnsi" w:hAnsiTheme="minorHAnsi"/>
                <w:color w:val="000000"/>
                <w:sz w:val="22"/>
              </w:rPr>
              <w:t>Ізоніазид</w:t>
            </w:r>
          </w:p>
          <w:p w:rsidR="00E012D4" w:rsidRPr="00E012D4" w:rsidRDefault="00E012D4" w:rsidP="00114CB4">
            <w:pPr>
              <w:shd w:val="clear" w:color="auto" w:fill="FFFFFF"/>
              <w:spacing w:line="226" w:lineRule="exact"/>
              <w:ind w:left="53"/>
              <w:rPr>
                <w:rFonts w:asciiTheme="minorHAnsi" w:hAnsiTheme="minorHAnsi" w:cstheme="minorHAnsi"/>
                <w:sz w:val="22"/>
                <w:szCs w:val="22"/>
              </w:rPr>
            </w:pPr>
            <w:r>
              <w:rPr>
                <w:rFonts w:asciiTheme="minorHAnsi" w:hAnsiTheme="minorHAnsi"/>
                <w:color w:val="000000"/>
                <w:sz w:val="22"/>
              </w:rPr>
              <w:t>ізоляти</w:t>
            </w:r>
          </w:p>
          <w:p w:rsidR="00E012D4" w:rsidRPr="00E012D4" w:rsidRDefault="00E012D4" w:rsidP="00114CB4">
            <w:pPr>
              <w:shd w:val="clear" w:color="auto" w:fill="FFFFFF"/>
              <w:spacing w:line="226" w:lineRule="exact"/>
              <w:ind w:left="53"/>
              <w:rPr>
                <w:rFonts w:asciiTheme="minorHAnsi" w:hAnsiTheme="minorHAnsi" w:cstheme="minorHAnsi"/>
                <w:sz w:val="22"/>
                <w:szCs w:val="22"/>
              </w:rPr>
            </w:pPr>
            <w:r>
              <w:rPr>
                <w:rFonts w:asciiTheme="minorHAnsi" w:hAnsiTheme="minorHAnsi"/>
                <w:color w:val="000000"/>
                <w:sz w:val="22"/>
              </w:rPr>
              <w:t>посіву</w:t>
            </w:r>
          </w:p>
        </w:tc>
        <w:tc>
          <w:tcPr>
            <w:tcW w:w="1531"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rPr>
                <w:rFonts w:asciiTheme="minorHAnsi" w:hAnsiTheme="minorHAnsi" w:cstheme="minorHAnsi"/>
                <w:sz w:val="22"/>
                <w:szCs w:val="22"/>
              </w:rPr>
            </w:pPr>
            <w:r>
              <w:rPr>
                <w:rFonts w:asciiTheme="minorHAnsi" w:hAnsiTheme="minorHAnsi"/>
                <w:color w:val="000000"/>
                <w:sz w:val="22"/>
              </w:rPr>
              <w:t>Hain версії 1</w:t>
            </w:r>
          </w:p>
        </w:tc>
        <w:tc>
          <w:tcPr>
            <w:tcW w:w="1546"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44"/>
              <w:jc w:val="center"/>
              <w:rPr>
                <w:rFonts w:asciiTheme="minorHAnsi" w:hAnsiTheme="minorHAnsi"/>
                <w:color w:val="000000"/>
                <w:sz w:val="22"/>
              </w:rPr>
            </w:pPr>
            <w:r>
              <w:rPr>
                <w:rFonts w:asciiTheme="minorHAnsi" w:hAnsiTheme="minorHAnsi"/>
                <w:color w:val="000000"/>
                <w:sz w:val="22"/>
              </w:rPr>
              <w:t>91,5</w:t>
            </w:r>
          </w:p>
          <w:p w:rsidR="00E012D4" w:rsidRPr="00E012D4" w:rsidRDefault="00114CB4" w:rsidP="00E012D4">
            <w:pPr>
              <w:shd w:val="clear" w:color="auto" w:fill="FFFFFF"/>
              <w:spacing w:line="226" w:lineRule="exact"/>
              <w:ind w:left="158" w:right="14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89,0-93,5)</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92" w:right="178"/>
              <w:jc w:val="center"/>
              <w:rPr>
                <w:rFonts w:asciiTheme="minorHAnsi" w:hAnsiTheme="minorHAnsi"/>
                <w:color w:val="000000"/>
                <w:sz w:val="22"/>
              </w:rPr>
            </w:pPr>
            <w:r>
              <w:rPr>
                <w:rFonts w:asciiTheme="minorHAnsi" w:hAnsiTheme="minorHAnsi"/>
                <w:color w:val="000000"/>
                <w:sz w:val="22"/>
              </w:rPr>
              <w:t>99,8</w:t>
            </w:r>
          </w:p>
          <w:p w:rsidR="00E012D4" w:rsidRPr="00E012D4" w:rsidRDefault="00114CB4" w:rsidP="00E012D4">
            <w:pPr>
              <w:shd w:val="clear" w:color="auto" w:fill="FFFFFF"/>
              <w:spacing w:line="226" w:lineRule="exact"/>
              <w:ind w:left="192" w:right="178"/>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99,3-100)</w:t>
            </w:r>
          </w:p>
        </w:tc>
        <w:tc>
          <w:tcPr>
            <w:tcW w:w="155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54"/>
              <w:jc w:val="center"/>
              <w:rPr>
                <w:rFonts w:asciiTheme="minorHAnsi" w:hAnsiTheme="minorHAnsi"/>
                <w:color w:val="000000"/>
                <w:sz w:val="22"/>
              </w:rPr>
            </w:pPr>
            <w:r>
              <w:rPr>
                <w:rFonts w:asciiTheme="minorHAnsi" w:hAnsiTheme="minorHAnsi"/>
                <w:color w:val="000000"/>
                <w:sz w:val="22"/>
              </w:rPr>
              <w:t>89,4</w:t>
            </w:r>
          </w:p>
          <w:p w:rsidR="00E012D4" w:rsidRPr="00E012D4" w:rsidRDefault="00114CB4" w:rsidP="00E012D4">
            <w:pPr>
              <w:shd w:val="clear" w:color="auto" w:fill="FFFFFF"/>
              <w:spacing w:line="226" w:lineRule="exact"/>
              <w:ind w:left="158" w:right="15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84,3-93,3)</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34777B">
            <w:pPr>
              <w:shd w:val="clear" w:color="auto" w:fill="FFFFFF"/>
              <w:spacing w:line="226" w:lineRule="exact"/>
              <w:ind w:left="20" w:right="163" w:firstLine="4"/>
              <w:jc w:val="center"/>
              <w:rPr>
                <w:rFonts w:asciiTheme="minorHAnsi" w:hAnsiTheme="minorHAnsi"/>
                <w:color w:val="000000"/>
                <w:sz w:val="22"/>
              </w:rPr>
            </w:pPr>
            <w:r>
              <w:rPr>
                <w:rFonts w:asciiTheme="minorHAnsi" w:hAnsiTheme="minorHAnsi"/>
                <w:color w:val="000000"/>
                <w:sz w:val="22"/>
              </w:rPr>
              <w:t>98,9</w:t>
            </w:r>
          </w:p>
          <w:p w:rsidR="00E012D4" w:rsidRPr="00E012D4" w:rsidRDefault="00114CB4" w:rsidP="0034777B">
            <w:pPr>
              <w:shd w:val="clear" w:color="auto" w:fill="FFFFFF"/>
              <w:spacing w:line="226" w:lineRule="exact"/>
              <w:ind w:left="20" w:right="163" w:firstLine="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96,0-99,9)</w:t>
            </w:r>
          </w:p>
        </w:tc>
      </w:tr>
      <w:tr w:rsidR="00E012D4" w:rsidRPr="00E012D4" w:rsidTr="00E012D4">
        <w:trPr>
          <w:trHeight w:hRule="exact" w:val="677"/>
        </w:trPr>
        <w:tc>
          <w:tcPr>
            <w:tcW w:w="1349" w:type="dxa"/>
            <w:vMerge/>
            <w:tcBorders>
              <w:top w:val="single" w:sz="8" w:space="0" w:color="009649"/>
              <w:left w:val="nil"/>
              <w:bottom w:val="single" w:sz="8" w:space="0" w:color="009649"/>
              <w:right w:val="nil"/>
            </w:tcBorders>
            <w:shd w:val="clear" w:color="auto" w:fill="auto"/>
            <w:vAlign w:val="center"/>
          </w:tcPr>
          <w:p w:rsidR="00E012D4" w:rsidRPr="00E012D4" w:rsidRDefault="00E012D4" w:rsidP="00E012D4">
            <w:pPr>
              <w:jc w:val="center"/>
              <w:rPr>
                <w:rFonts w:asciiTheme="minorHAnsi" w:hAnsiTheme="minorHAnsi" w:cstheme="minorHAnsi"/>
                <w:sz w:val="22"/>
                <w:szCs w:val="22"/>
              </w:rPr>
            </w:pPr>
          </w:p>
          <w:p w:rsidR="00E012D4" w:rsidRPr="00E012D4" w:rsidRDefault="00E012D4" w:rsidP="00E012D4">
            <w:pPr>
              <w:jc w:val="center"/>
              <w:rPr>
                <w:rFonts w:asciiTheme="minorHAnsi" w:hAnsiTheme="minorHAnsi" w:cstheme="minorHAnsi"/>
                <w:sz w:val="22"/>
                <w:szCs w:val="22"/>
              </w:rPr>
            </w:pPr>
          </w:p>
        </w:tc>
        <w:tc>
          <w:tcPr>
            <w:tcW w:w="1531"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rPr>
                <w:rFonts w:asciiTheme="minorHAnsi" w:hAnsiTheme="minorHAnsi" w:cstheme="minorHAnsi"/>
                <w:sz w:val="22"/>
                <w:szCs w:val="22"/>
              </w:rPr>
            </w:pPr>
            <w:r>
              <w:rPr>
                <w:rFonts w:asciiTheme="minorHAnsi" w:hAnsiTheme="minorHAnsi"/>
                <w:color w:val="000000"/>
                <w:sz w:val="22"/>
              </w:rPr>
              <w:t>Hain версії 2</w:t>
            </w:r>
          </w:p>
        </w:tc>
        <w:tc>
          <w:tcPr>
            <w:tcW w:w="1546"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jc w:val="center"/>
              <w:rPr>
                <w:rFonts w:asciiTheme="minorHAnsi" w:hAnsiTheme="minorHAnsi" w:cstheme="minorHAnsi"/>
                <w:sz w:val="22"/>
                <w:szCs w:val="22"/>
              </w:rPr>
            </w:pPr>
            <w:r>
              <w:rPr>
                <w:rFonts w:asciiTheme="minorHAnsi" w:hAnsiTheme="minorHAnsi"/>
                <w:color w:val="000000"/>
                <w:sz w:val="22"/>
              </w:rPr>
              <w:t>89.4</w:t>
            </w:r>
            <w:r>
              <w:rPr>
                <w:rFonts w:asciiTheme="minorHAnsi" w:hAnsiTheme="minorHAnsi"/>
                <w:color w:val="000000"/>
                <w:sz w:val="22"/>
                <w:vertAlign w:val="superscript"/>
              </w:rPr>
              <w:t>г</w:t>
            </w:r>
          </w:p>
        </w:tc>
        <w:tc>
          <w:tcPr>
            <w:tcW w:w="1565"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jc w:val="center"/>
              <w:rPr>
                <w:rFonts w:asciiTheme="minorHAnsi" w:hAnsiTheme="minorHAnsi" w:cstheme="minorHAnsi"/>
                <w:sz w:val="22"/>
                <w:szCs w:val="22"/>
              </w:rPr>
            </w:pPr>
            <w:r>
              <w:rPr>
                <w:rFonts w:asciiTheme="minorHAnsi" w:hAnsiTheme="minorHAnsi"/>
                <w:color w:val="000000"/>
                <w:sz w:val="22"/>
              </w:rPr>
              <w:t>98.9</w:t>
            </w:r>
            <w:r>
              <w:rPr>
                <w:rFonts w:asciiTheme="minorHAnsi" w:hAnsiTheme="minorHAnsi"/>
                <w:color w:val="000000"/>
                <w:sz w:val="22"/>
                <w:vertAlign w:val="superscript"/>
              </w:rPr>
              <w:t>г</w:t>
            </w:r>
          </w:p>
        </w:tc>
        <w:tc>
          <w:tcPr>
            <w:tcW w:w="155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30" w:lineRule="exact"/>
              <w:ind w:left="158" w:right="154"/>
              <w:jc w:val="center"/>
              <w:rPr>
                <w:rFonts w:asciiTheme="minorHAnsi" w:hAnsiTheme="minorHAnsi"/>
                <w:color w:val="000000"/>
                <w:sz w:val="22"/>
              </w:rPr>
            </w:pPr>
            <w:r>
              <w:rPr>
                <w:rFonts w:asciiTheme="minorHAnsi" w:hAnsiTheme="minorHAnsi"/>
                <w:color w:val="000000"/>
                <w:sz w:val="22"/>
              </w:rPr>
              <w:t>89,4</w:t>
            </w:r>
          </w:p>
          <w:p w:rsidR="00E012D4" w:rsidRPr="00E012D4" w:rsidRDefault="00114CB4" w:rsidP="00E012D4">
            <w:pPr>
              <w:shd w:val="clear" w:color="auto" w:fill="FFFFFF"/>
              <w:spacing w:line="230" w:lineRule="exact"/>
              <w:ind w:left="158" w:right="15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84,3-93,3)</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34777B">
            <w:pPr>
              <w:shd w:val="clear" w:color="auto" w:fill="FFFFFF"/>
              <w:spacing w:line="230" w:lineRule="exact"/>
              <w:ind w:left="20" w:right="163" w:firstLine="4"/>
              <w:jc w:val="center"/>
              <w:rPr>
                <w:rFonts w:asciiTheme="minorHAnsi" w:hAnsiTheme="minorHAnsi"/>
                <w:color w:val="000000"/>
                <w:sz w:val="22"/>
              </w:rPr>
            </w:pPr>
            <w:r>
              <w:rPr>
                <w:rFonts w:asciiTheme="minorHAnsi" w:hAnsiTheme="minorHAnsi"/>
                <w:color w:val="000000"/>
                <w:sz w:val="22"/>
              </w:rPr>
              <w:t>98,9</w:t>
            </w:r>
          </w:p>
          <w:p w:rsidR="00E012D4" w:rsidRPr="00E012D4" w:rsidRDefault="00114CB4" w:rsidP="0034777B">
            <w:pPr>
              <w:shd w:val="clear" w:color="auto" w:fill="FFFFFF"/>
              <w:spacing w:line="230" w:lineRule="exact"/>
              <w:ind w:left="20" w:right="163" w:firstLine="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96,0-99,9)</w:t>
            </w:r>
          </w:p>
        </w:tc>
      </w:tr>
      <w:tr w:rsidR="00E012D4" w:rsidRPr="00E012D4" w:rsidTr="00E012D4">
        <w:trPr>
          <w:trHeight w:hRule="exact" w:val="677"/>
        </w:trPr>
        <w:tc>
          <w:tcPr>
            <w:tcW w:w="1349" w:type="dxa"/>
            <w:vMerge/>
            <w:tcBorders>
              <w:top w:val="nil"/>
              <w:left w:val="nil"/>
              <w:bottom w:val="single" w:sz="8" w:space="0" w:color="009649"/>
              <w:right w:val="nil"/>
            </w:tcBorders>
            <w:shd w:val="clear" w:color="auto" w:fill="auto"/>
            <w:vAlign w:val="center"/>
          </w:tcPr>
          <w:p w:rsidR="00E012D4" w:rsidRPr="00E012D4" w:rsidRDefault="00E012D4" w:rsidP="00E012D4">
            <w:pPr>
              <w:jc w:val="center"/>
              <w:rPr>
                <w:rFonts w:asciiTheme="minorHAnsi" w:hAnsiTheme="minorHAnsi" w:cstheme="minorHAnsi"/>
                <w:sz w:val="22"/>
                <w:szCs w:val="22"/>
              </w:rPr>
            </w:pPr>
          </w:p>
          <w:p w:rsidR="00E012D4" w:rsidRPr="00E012D4" w:rsidRDefault="00E012D4" w:rsidP="00E012D4">
            <w:pPr>
              <w:jc w:val="center"/>
              <w:rPr>
                <w:rFonts w:asciiTheme="minorHAnsi" w:hAnsiTheme="minorHAnsi" w:cstheme="minorHAnsi"/>
                <w:sz w:val="22"/>
                <w:szCs w:val="22"/>
              </w:rPr>
            </w:pPr>
          </w:p>
        </w:tc>
        <w:tc>
          <w:tcPr>
            <w:tcW w:w="1531"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ind w:left="43"/>
              <w:rPr>
                <w:rFonts w:asciiTheme="minorHAnsi" w:hAnsiTheme="minorHAnsi" w:cstheme="minorHAnsi"/>
                <w:sz w:val="22"/>
                <w:szCs w:val="22"/>
              </w:rPr>
            </w:pPr>
            <w:r>
              <w:rPr>
                <w:rFonts w:asciiTheme="minorHAnsi" w:hAnsiTheme="minorHAnsi"/>
                <w:color w:val="000000"/>
                <w:sz w:val="22"/>
              </w:rPr>
              <w:t>Nipro</w:t>
            </w:r>
          </w:p>
        </w:tc>
        <w:tc>
          <w:tcPr>
            <w:tcW w:w="1546"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jc w:val="center"/>
              <w:rPr>
                <w:rFonts w:asciiTheme="minorHAnsi" w:hAnsiTheme="minorHAnsi" w:cstheme="minorHAnsi"/>
                <w:sz w:val="22"/>
                <w:szCs w:val="22"/>
              </w:rPr>
            </w:pPr>
            <w:r>
              <w:rPr>
                <w:rFonts w:asciiTheme="minorHAnsi" w:hAnsiTheme="minorHAnsi"/>
                <w:color w:val="000000"/>
                <w:sz w:val="22"/>
              </w:rPr>
              <w:t>61,6—91,6</w:t>
            </w:r>
            <w:r>
              <w:rPr>
                <w:rFonts w:asciiTheme="minorHAnsi" w:hAnsiTheme="minorHAnsi"/>
                <w:color w:val="000000"/>
                <w:sz w:val="22"/>
                <w:vertAlign w:val="superscript"/>
              </w:rPr>
              <w:t>C</w:t>
            </w:r>
          </w:p>
        </w:tc>
        <w:tc>
          <w:tcPr>
            <w:tcW w:w="1565" w:type="dxa"/>
            <w:tcBorders>
              <w:top w:val="single" w:sz="8" w:space="0" w:color="009649"/>
              <w:left w:val="nil"/>
              <w:bottom w:val="single" w:sz="8" w:space="0" w:color="009649"/>
              <w:right w:val="nil"/>
            </w:tcBorders>
            <w:shd w:val="clear" w:color="auto" w:fill="auto"/>
            <w:vAlign w:val="center"/>
          </w:tcPr>
          <w:p w:rsidR="00E012D4" w:rsidRPr="00E012D4" w:rsidRDefault="00E012D4" w:rsidP="00114CB4">
            <w:pPr>
              <w:shd w:val="clear" w:color="auto" w:fill="FFFFFF"/>
              <w:spacing w:after="240"/>
              <w:jc w:val="center"/>
              <w:rPr>
                <w:rFonts w:asciiTheme="minorHAnsi" w:hAnsiTheme="minorHAnsi" w:cstheme="minorHAnsi"/>
                <w:sz w:val="22"/>
                <w:szCs w:val="22"/>
              </w:rPr>
            </w:pPr>
            <w:r>
              <w:rPr>
                <w:rFonts w:asciiTheme="minorHAnsi" w:hAnsiTheme="minorHAnsi"/>
                <w:color w:val="000000"/>
                <w:sz w:val="22"/>
              </w:rPr>
              <w:t>99,4-100</w:t>
            </w:r>
            <w:r>
              <w:rPr>
                <w:rFonts w:asciiTheme="minorHAnsi" w:hAnsiTheme="minorHAnsi"/>
                <w:color w:val="000000"/>
                <w:sz w:val="22"/>
                <w:vertAlign w:val="superscript"/>
              </w:rPr>
              <w:t>в</w:t>
            </w:r>
          </w:p>
        </w:tc>
        <w:tc>
          <w:tcPr>
            <w:tcW w:w="1555" w:type="dxa"/>
            <w:tcBorders>
              <w:top w:val="single" w:sz="8" w:space="0" w:color="009649"/>
              <w:left w:val="nil"/>
              <w:bottom w:val="single" w:sz="8" w:space="0" w:color="009649"/>
              <w:right w:val="nil"/>
            </w:tcBorders>
            <w:shd w:val="clear" w:color="auto" w:fill="auto"/>
            <w:vAlign w:val="center"/>
          </w:tcPr>
          <w:p w:rsidR="00114CB4" w:rsidRDefault="00E012D4" w:rsidP="00E012D4">
            <w:pPr>
              <w:shd w:val="clear" w:color="auto" w:fill="FFFFFF"/>
              <w:spacing w:line="226" w:lineRule="exact"/>
              <w:ind w:left="158" w:right="154"/>
              <w:jc w:val="center"/>
              <w:rPr>
                <w:rFonts w:asciiTheme="minorHAnsi" w:hAnsiTheme="minorHAnsi"/>
                <w:color w:val="000000"/>
                <w:sz w:val="22"/>
              </w:rPr>
            </w:pPr>
            <w:r>
              <w:rPr>
                <w:rFonts w:asciiTheme="minorHAnsi" w:hAnsiTheme="minorHAnsi"/>
                <w:color w:val="000000"/>
                <w:sz w:val="22"/>
              </w:rPr>
              <w:t>89,9</w:t>
            </w:r>
          </w:p>
          <w:p w:rsidR="00E012D4" w:rsidRPr="00E012D4" w:rsidRDefault="00114CB4" w:rsidP="00E012D4">
            <w:pPr>
              <w:shd w:val="clear" w:color="auto" w:fill="FFFFFF"/>
              <w:spacing w:line="226" w:lineRule="exact"/>
              <w:ind w:left="158" w:right="15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84,9-93,8)</w:t>
            </w:r>
          </w:p>
        </w:tc>
        <w:tc>
          <w:tcPr>
            <w:tcW w:w="1565" w:type="dxa"/>
            <w:tcBorders>
              <w:top w:val="single" w:sz="8" w:space="0" w:color="009649"/>
              <w:left w:val="nil"/>
              <w:bottom w:val="single" w:sz="8" w:space="0" w:color="009649"/>
              <w:right w:val="nil"/>
            </w:tcBorders>
            <w:shd w:val="clear" w:color="auto" w:fill="auto"/>
            <w:vAlign w:val="center"/>
          </w:tcPr>
          <w:p w:rsidR="00114CB4" w:rsidRDefault="00E012D4" w:rsidP="0034777B">
            <w:pPr>
              <w:shd w:val="clear" w:color="auto" w:fill="FFFFFF"/>
              <w:spacing w:line="226" w:lineRule="exact"/>
              <w:ind w:left="20" w:right="163" w:firstLine="4"/>
              <w:jc w:val="center"/>
              <w:rPr>
                <w:rFonts w:asciiTheme="minorHAnsi" w:hAnsiTheme="minorHAnsi"/>
                <w:color w:val="000000"/>
                <w:sz w:val="22"/>
              </w:rPr>
            </w:pPr>
            <w:r>
              <w:rPr>
                <w:rFonts w:asciiTheme="minorHAnsi" w:hAnsiTheme="minorHAnsi"/>
                <w:color w:val="000000"/>
                <w:sz w:val="22"/>
              </w:rPr>
              <w:t>99,4</w:t>
            </w:r>
          </w:p>
          <w:p w:rsidR="00E012D4" w:rsidRPr="00E012D4" w:rsidRDefault="00114CB4" w:rsidP="0034777B">
            <w:pPr>
              <w:shd w:val="clear" w:color="auto" w:fill="FFFFFF"/>
              <w:spacing w:line="226" w:lineRule="exact"/>
              <w:ind w:left="20" w:right="163" w:firstLine="4"/>
              <w:jc w:val="center"/>
              <w:rPr>
                <w:rFonts w:asciiTheme="minorHAnsi" w:hAnsiTheme="minorHAnsi" w:cstheme="minorHAnsi"/>
                <w:sz w:val="22"/>
                <w:szCs w:val="22"/>
              </w:rPr>
            </w:pPr>
            <w:r>
              <w:rPr>
                <w:rFonts w:asciiTheme="minorHAnsi" w:hAnsiTheme="minorHAnsi"/>
                <w:color w:val="000000"/>
                <w:sz w:val="22"/>
              </w:rPr>
              <w:t>(</w:t>
            </w:r>
            <w:r w:rsidR="00E012D4">
              <w:rPr>
                <w:rFonts w:asciiTheme="minorHAnsi" w:hAnsiTheme="minorHAnsi"/>
                <w:color w:val="000000"/>
                <w:sz w:val="22"/>
              </w:rPr>
              <w:t>96,9-100)</w:t>
            </w:r>
          </w:p>
        </w:tc>
      </w:tr>
    </w:tbl>
    <w:p w:rsidR="00ED665B" w:rsidRPr="00907702" w:rsidRDefault="006C7D2F" w:rsidP="00DC2656">
      <w:pPr>
        <w:spacing w:before="86"/>
        <w:ind w:left="29"/>
        <w:rPr>
          <w:rFonts w:ascii="Calibri" w:hAnsi="Calibri" w:cs="Calibri"/>
        </w:rPr>
      </w:pPr>
      <w:r>
        <w:rPr>
          <w:rFonts w:ascii="Calibri" w:hAnsi="Calibri"/>
          <w:color w:val="000000"/>
          <w:sz w:val="16"/>
        </w:rPr>
        <w:t>ТМЧ: тест медикаментозної чутливості; LPA: лінійний зонд-аналіз.</w:t>
      </w:r>
    </w:p>
    <w:p w:rsidR="00ED665B" w:rsidRPr="00907702" w:rsidRDefault="006C7D2F" w:rsidP="00DC2656">
      <w:pPr>
        <w:ind w:left="29"/>
        <w:rPr>
          <w:rFonts w:ascii="Calibri" w:hAnsi="Calibri" w:cs="Calibri"/>
        </w:rPr>
      </w:pPr>
      <w:r>
        <w:rPr>
          <w:rFonts w:ascii="Calibri" w:hAnsi="Calibri"/>
          <w:color w:val="000000"/>
          <w:sz w:val="16"/>
          <w:vertAlign w:val="superscript"/>
        </w:rPr>
        <w:t>a</w:t>
      </w:r>
      <w:r>
        <w:rPr>
          <w:rFonts w:ascii="Calibri" w:hAnsi="Calibri"/>
          <w:color w:val="000000"/>
          <w:sz w:val="16"/>
        </w:rPr>
        <w:t xml:space="preserve"> Результати порівняльного дослідження трьох LPA від Nathavitharana et al. 2017. </w:t>
      </w:r>
      <w:r w:rsidRPr="00BE6F5B">
        <w:rPr>
          <w:rFonts w:ascii="Calibri" w:hAnsi="Calibri"/>
          <w:i/>
          <w:color w:val="000000"/>
          <w:sz w:val="16"/>
        </w:rPr>
        <w:t>(39)</w:t>
      </w:r>
    </w:p>
    <w:p w:rsidR="00ED665B" w:rsidRPr="00907702" w:rsidRDefault="006C7D2F" w:rsidP="00DC2656">
      <w:pPr>
        <w:ind w:left="29"/>
        <w:rPr>
          <w:rFonts w:ascii="Calibri" w:hAnsi="Calibri" w:cs="Calibri"/>
        </w:rPr>
      </w:pPr>
      <w:r>
        <w:rPr>
          <w:rFonts w:ascii="Calibri" w:hAnsi="Calibri"/>
          <w:color w:val="000000"/>
          <w:sz w:val="16"/>
          <w:vertAlign w:val="superscript"/>
        </w:rPr>
        <w:t>б</w:t>
      </w:r>
      <w:r>
        <w:rPr>
          <w:rFonts w:ascii="Calibri" w:hAnsi="Calibri"/>
          <w:color w:val="000000"/>
          <w:sz w:val="16"/>
        </w:rPr>
        <w:t xml:space="preserve"> Значення чутливості та специфічності показано з 95% довірчим інтервалом у дужках.</w:t>
      </w:r>
    </w:p>
    <w:p w:rsidR="00ED665B" w:rsidRPr="00907702" w:rsidRDefault="006C7D2F" w:rsidP="00DC2656">
      <w:pPr>
        <w:ind w:left="29"/>
        <w:rPr>
          <w:rFonts w:ascii="Calibri" w:hAnsi="Calibri" w:cs="Calibri"/>
        </w:rPr>
      </w:pPr>
      <w:r>
        <w:rPr>
          <w:rFonts w:ascii="Calibri" w:hAnsi="Calibri"/>
          <w:color w:val="000000"/>
          <w:sz w:val="16"/>
          <w:vertAlign w:val="superscript"/>
        </w:rPr>
        <w:t>в</w:t>
      </w:r>
      <w:r>
        <w:rPr>
          <w:rFonts w:ascii="Calibri" w:hAnsi="Calibri"/>
          <w:color w:val="000000"/>
          <w:sz w:val="16"/>
        </w:rPr>
        <w:t xml:space="preserve"> Менше чотирьох досліджень – метааналіз не можливий.</w:t>
      </w:r>
    </w:p>
    <w:p w:rsidR="00ED665B" w:rsidRPr="00907702" w:rsidRDefault="006C7D2F" w:rsidP="00DC2656">
      <w:pPr>
        <w:ind w:left="29"/>
        <w:rPr>
          <w:rFonts w:ascii="Calibri" w:hAnsi="Calibri" w:cs="Calibri"/>
        </w:rPr>
      </w:pPr>
      <w:r>
        <w:rPr>
          <w:rFonts w:ascii="Calibri" w:hAnsi="Calibri"/>
          <w:color w:val="000000"/>
          <w:sz w:val="16"/>
          <w:vertAlign w:val="superscript"/>
        </w:rPr>
        <w:t>г</w:t>
      </w:r>
      <w:r>
        <w:rPr>
          <w:rFonts w:ascii="Calibri" w:hAnsi="Calibri"/>
          <w:color w:val="000000"/>
          <w:sz w:val="16"/>
        </w:rPr>
        <w:t xml:space="preserve"> Одне дослідження.</w:t>
      </w:r>
    </w:p>
    <w:p w:rsidR="00ED665B" w:rsidRPr="00E012D4" w:rsidRDefault="006C7D2F" w:rsidP="00DC2656">
      <w:pPr>
        <w:spacing w:before="360"/>
        <w:ind w:left="29"/>
        <w:rPr>
          <w:rFonts w:ascii="Calibri" w:hAnsi="Calibri" w:cs="Calibri"/>
          <w:b/>
          <w:bCs/>
        </w:rPr>
      </w:pPr>
      <w:r>
        <w:rPr>
          <w:rFonts w:ascii="Calibri" w:hAnsi="Calibri"/>
          <w:b/>
          <w:color w:val="009649"/>
          <w:sz w:val="28"/>
        </w:rPr>
        <w:t>Рекомендації щодо впровадження</w:t>
      </w:r>
    </w:p>
    <w:p w:rsidR="00ED665B" w:rsidRPr="00907702" w:rsidRDefault="006C7D2F" w:rsidP="00DC2656">
      <w:pPr>
        <w:spacing w:before="168"/>
        <w:ind w:left="29" w:right="10"/>
        <w:jc w:val="both"/>
        <w:rPr>
          <w:rFonts w:ascii="Calibri" w:hAnsi="Calibri" w:cs="Calibri"/>
        </w:rPr>
      </w:pPr>
      <w:r>
        <w:rPr>
          <w:rFonts w:ascii="Calibri" w:hAnsi="Calibri"/>
          <w:color w:val="000000"/>
          <w:sz w:val="22"/>
        </w:rPr>
        <w:t>Використання LPA для виявлення резистентності до рифампіцину та ізоніазидів не виключає потреби у здатності до звичайного посіву та ТМЧ. ТМЧ на основі посіву та фенотипічного посіву відіграє вирішальну роль у моніторингу результатів лікування пацієнтів та виявленої додаткової резистентності до препаратів другого ряду.</w:t>
      </w:r>
    </w:p>
    <w:p w:rsidR="00ED665B" w:rsidRPr="00907702" w:rsidRDefault="00ED665B" w:rsidP="00DC2656">
      <w:pPr>
        <w:spacing w:before="168"/>
        <w:ind w:left="29" w:right="10"/>
        <w:jc w:val="both"/>
        <w:rPr>
          <w:rFonts w:ascii="Calibri" w:hAnsi="Calibri" w:cs="Calibri"/>
        </w:rPr>
        <w:sectPr w:rsidR="00ED665B" w:rsidRPr="00907702">
          <w:pgSz w:w="11904" w:h="16838"/>
          <w:pgMar w:top="1378" w:right="1406" w:bottom="1493" w:left="1387" w:header="720" w:footer="720" w:gutter="0"/>
          <w:cols w:space="60"/>
          <w:noEndnote/>
        </w:sectPr>
      </w:pP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lastRenderedPageBreak/>
        <w:t>LPA необхідно вводити поетапно, починаючи з національних або центральних референс лабораторій або тих, хто має перевірені можливості проводити молекулярні тестування. Розширення може розглядатися в рамках планів країни щодо покращення матеріально-технічної бази лабораторій, наявності відповідного персоналу в периферійних центрах та якості системи транспортування зразків.</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Слід забезпечити належну та відповідну лабораторну інфраструктуру та обладнання, щоб забезпечити дотримання необхідних запобіжних заходів щодо біобезпеки та запобігання зараженню – обробку зразків для посіву та процедури поводження з посівами слід проводити в кабінетах біологічної безпеки в лабораторіях, що захищені від зараження ТБ.</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Для проведення LPA на базі лабораторій потрібно оснастити щонайменше три окремі приміщення: для екстракції ДНК, попередньої ампліфікації та процедур ампліфікації та післяампліфікації. Щоб уникнути зараження, доступ до приміщень, де проводиться молекулярний аналіз, необхідно обмежити та реалізувати однонаправлений робочий процес та встановлення жорстких протоколів щодо очищення.</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Персонал лабораторії, який проводитиме процедур LPA, має пройти відповідне навчання. Представник керівного складу лабораторії, який має належну підготовку та досвід проведення молекулярного аналізу, має контролювати роботу персоналу. Програма зовнішньої оцінки якості роботи лабораторій, що проводять LPA, повинна розроблятися як пріоритетна.</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Необхідно встановити механізми швидкого повідомлення результатів LPA клініцистам, щоб без зволікання розпочати лікування, скориставшись ранньою діагностикою. Та ж інфраструктура, яка використовується для виконання LPA, може використовуватися і для виконання LPA з препаратами другого ряду.</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LPA призначені для виявлення ТБ та резистентності до рифампіцину та ізоніазиду при безпосередньому тестуванні оброблених зразків мокротиння та при непрямому тестуванні культуральних ізолятів MTБК. Використання LPA з іншими респіраторними зразками (наприклад, з бронхоальвеолярного промивання або шлункової аспірації) або позалегеневими зразками (наприклад, зразками тканин, СМР чи іншими рідинами організму) оцінено недостатньою мірою.</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Наявність препаратів другого ряду є критично важливою у випадку виявлення резистентності до рифампіцину, ізоніазиду або обох.</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Пацієнтам з підтвердженим МЛС- або рифампіцин-резистентним туберкульозом (МЛС/Риф-ТБ) рекомендується призначати LPA препаратами другого ряду для виявлення додаткової резистентності до протитуберкульозних препаратів другої лінії.</w:t>
      </w:r>
    </w:p>
    <w:p w:rsidR="00ED665B" w:rsidRPr="00E012D4" w:rsidRDefault="006C7D2F" w:rsidP="00DC2656">
      <w:pPr>
        <w:spacing w:before="230"/>
        <w:rPr>
          <w:rFonts w:ascii="Calibri" w:hAnsi="Calibri" w:cs="Calibri"/>
          <w:b/>
          <w:bCs/>
        </w:rPr>
      </w:pPr>
      <w:r>
        <w:rPr>
          <w:rFonts w:ascii="Calibri" w:hAnsi="Calibri"/>
          <w:b/>
          <w:color w:val="009649"/>
          <w:sz w:val="28"/>
        </w:rPr>
        <w:t>Пріоритети наукових досліджень</w:t>
      </w:r>
    </w:p>
    <w:p w:rsidR="00ED665B" w:rsidRPr="00907702" w:rsidRDefault="006C7D2F" w:rsidP="00DC2656">
      <w:pPr>
        <w:numPr>
          <w:ilvl w:val="0"/>
          <w:numId w:val="2"/>
        </w:numPr>
        <w:tabs>
          <w:tab w:val="left" w:pos="240"/>
        </w:tabs>
        <w:spacing w:before="168"/>
        <w:ind w:left="240" w:right="5" w:hanging="240"/>
        <w:jc w:val="both"/>
        <w:rPr>
          <w:rFonts w:ascii="Calibri" w:hAnsi="Calibri" w:cs="Calibri"/>
          <w:color w:val="009649"/>
          <w:sz w:val="22"/>
          <w:szCs w:val="22"/>
        </w:rPr>
      </w:pPr>
      <w:r>
        <w:rPr>
          <w:rFonts w:ascii="Calibri" w:hAnsi="Calibri"/>
          <w:color w:val="000000"/>
          <w:sz w:val="22"/>
        </w:rPr>
        <w:t>Розробка вдосконаленого розуміння взаємозв’язку між виявленням мутацій, що надають резистентність, за допомогою ТМЧ на основі посіву та результатами пацієнта.</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Огляд доказів для підтвердження або перегляду різних критичних концентрацій, використовуваних у методах, заснованих на ТМЧ на основі посіву.</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Визначення межі виявлення для LPA при виявленні гетерорезистентності.</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Визначення потреб у навчанні, оцінка компетентності та забезпечення якості.</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Збір додаткових даних щодо впливу початку відповідного лікування МЛС-ТБ на смертність.</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Дотримання STARD для майбутніх досліджень.</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Виконання конкретних для країни аналізів співвідношення витрати / ефективність та економічної доцільності для цільового використання LPA у різних програмних умовах.</w:t>
      </w:r>
    </w:p>
    <w:p w:rsidR="00ED665B" w:rsidRPr="00907702" w:rsidRDefault="00ED665B" w:rsidP="00DC2656">
      <w:pPr>
        <w:numPr>
          <w:ilvl w:val="0"/>
          <w:numId w:val="2"/>
        </w:numPr>
        <w:tabs>
          <w:tab w:val="left" w:pos="240"/>
        </w:tabs>
        <w:ind w:left="240" w:hanging="240"/>
        <w:jc w:val="both"/>
        <w:rPr>
          <w:rFonts w:ascii="Calibri" w:hAnsi="Calibri" w:cs="Calibri"/>
          <w:color w:val="009649"/>
          <w:sz w:val="22"/>
          <w:szCs w:val="22"/>
        </w:rPr>
        <w:sectPr w:rsidR="00ED665B" w:rsidRPr="00907702">
          <w:pgSz w:w="11904" w:h="16838"/>
          <w:pgMar w:top="1339" w:right="1416" w:bottom="2285" w:left="1416" w:header="720" w:footer="720" w:gutter="0"/>
          <w:cols w:space="60"/>
          <w:noEndnote/>
        </w:sectPr>
      </w:pPr>
    </w:p>
    <w:p w:rsidR="00ED665B" w:rsidRPr="00E012D4" w:rsidRDefault="006C7D2F" w:rsidP="00DC2656">
      <w:pPr>
        <w:ind w:left="34"/>
        <w:rPr>
          <w:rFonts w:ascii="Calibri" w:hAnsi="Calibri" w:cs="Calibri"/>
          <w:b/>
          <w:bCs/>
        </w:rPr>
      </w:pPr>
      <w:bookmarkStart w:id="26" w:name="bookmark31"/>
      <w:r>
        <w:rPr>
          <w:rFonts w:ascii="Calibri" w:hAnsi="Calibri"/>
          <w:b/>
          <w:color w:val="009649"/>
          <w:sz w:val="28"/>
        </w:rPr>
        <w:lastRenderedPageBreak/>
        <w:t>L</w:t>
      </w:r>
      <w:bookmarkEnd w:id="26"/>
      <w:r>
        <w:rPr>
          <w:rFonts w:ascii="Calibri" w:hAnsi="Calibri"/>
          <w:b/>
          <w:color w:val="009649"/>
          <w:sz w:val="28"/>
        </w:rPr>
        <w:t>PA другого ряду</w:t>
      </w:r>
    </w:p>
    <w:p w:rsidR="00ED665B" w:rsidRPr="00907702" w:rsidRDefault="006C7D2F" w:rsidP="00DC2656">
      <w:pPr>
        <w:spacing w:before="168"/>
        <w:ind w:left="34" w:right="24"/>
        <w:jc w:val="both"/>
        <w:rPr>
          <w:rFonts w:ascii="Calibri" w:hAnsi="Calibri" w:cs="Calibri"/>
        </w:rPr>
      </w:pPr>
      <w:r>
        <w:rPr>
          <w:rFonts w:ascii="Calibri" w:hAnsi="Calibri"/>
          <w:color w:val="000000"/>
          <w:sz w:val="22"/>
        </w:rPr>
        <w:t>Генотипічні (молекулярні) методи мають значні переваги для розширення програмного управління та спостереження за резистентним до лікарських засобів ТБ, пропонуючи швидку діагностику, стандартизоване тестування, потенціал високої пропускної здатності та менші вимоги до лабораторної біобезпеки. Молекулярні тести на виявлення резистентності до лікарських засобів, наприклад, аналіз GenoType MTBDR</w:t>
      </w:r>
      <w:r w:rsidR="00BE6F5B" w:rsidRPr="00BE6F5B">
        <w:rPr>
          <w:rFonts w:ascii="Calibri" w:hAnsi="Calibri"/>
          <w:i/>
          <w:color w:val="000000"/>
          <w:sz w:val="22"/>
        </w:rPr>
        <w:t>sl</w:t>
      </w:r>
      <w:r>
        <w:rPr>
          <w:rFonts w:ascii="Calibri" w:hAnsi="Calibri"/>
          <w:color w:val="000000"/>
          <w:sz w:val="22"/>
        </w:rPr>
        <w:t xml:space="preserve"> (Hain Lifescience, Nehren, Німеччина), надалі іменується MTBDR</w:t>
      </w:r>
      <w:r w:rsidR="00BE6F5B" w:rsidRPr="00BE6F5B">
        <w:rPr>
          <w:rFonts w:ascii="Calibri" w:hAnsi="Calibri"/>
          <w:i/>
          <w:color w:val="000000"/>
          <w:sz w:val="22"/>
        </w:rPr>
        <w:t>sl</w:t>
      </w:r>
      <w:r>
        <w:rPr>
          <w:rFonts w:ascii="Calibri" w:hAnsi="Calibri"/>
          <w:color w:val="000000"/>
          <w:sz w:val="22"/>
        </w:rPr>
        <w:t xml:space="preserve"> </w:t>
      </w:r>
      <w:r w:rsidRPr="00BE6F5B">
        <w:rPr>
          <w:rFonts w:ascii="Calibri" w:hAnsi="Calibri"/>
          <w:i/>
          <w:color w:val="000000"/>
          <w:sz w:val="22"/>
        </w:rPr>
        <w:t>(17)</w:t>
      </w:r>
      <w:r>
        <w:rPr>
          <w:rFonts w:ascii="Calibri" w:hAnsi="Calibri"/>
          <w:color w:val="000000"/>
          <w:sz w:val="22"/>
        </w:rPr>
        <w:t>, продемонстрували перспективу для діагностики резистентного до препаратів ТБ. Ці тести швидкі (результат можна отримати за один робочий день) і виявляють наявність мутацій, пов’язаних із медикаментозною резистентністю. MTBDR</w:t>
      </w:r>
      <w:r w:rsidR="00BE6F5B" w:rsidRPr="00BE6F5B">
        <w:rPr>
          <w:rFonts w:ascii="Calibri" w:hAnsi="Calibri"/>
          <w:i/>
          <w:color w:val="000000"/>
          <w:sz w:val="22"/>
        </w:rPr>
        <w:t>sl</w:t>
      </w:r>
      <w:r>
        <w:rPr>
          <w:rFonts w:ascii="Calibri" w:hAnsi="Calibri"/>
          <w:color w:val="000000"/>
          <w:sz w:val="22"/>
        </w:rPr>
        <w:t xml:space="preserve"> належить до категорії молекулярно-генетичних тестів, які називаються LPA другого ряду (SL-LPA).</w:t>
      </w:r>
    </w:p>
    <w:p w:rsidR="00ED665B" w:rsidRPr="00907702" w:rsidRDefault="006C7D2F" w:rsidP="00DC2656">
      <w:pPr>
        <w:spacing w:before="168"/>
        <w:ind w:left="34" w:right="24"/>
        <w:jc w:val="both"/>
        <w:rPr>
          <w:rFonts w:ascii="Calibri" w:hAnsi="Calibri" w:cs="Calibri"/>
        </w:rPr>
      </w:pPr>
      <w:r>
        <w:rPr>
          <w:rFonts w:ascii="Calibri" w:hAnsi="Calibri"/>
          <w:color w:val="000000"/>
          <w:sz w:val="22"/>
        </w:rPr>
        <w:t>MTBDR</w:t>
      </w:r>
      <w:r w:rsidR="00BE6F5B" w:rsidRPr="00BE6F5B">
        <w:rPr>
          <w:rFonts w:ascii="Calibri" w:hAnsi="Calibri"/>
          <w:i/>
          <w:color w:val="000000"/>
          <w:sz w:val="22"/>
        </w:rPr>
        <w:t>sl</w:t>
      </w:r>
      <w:r>
        <w:rPr>
          <w:rFonts w:ascii="Calibri" w:hAnsi="Calibri"/>
          <w:color w:val="000000"/>
          <w:sz w:val="22"/>
        </w:rPr>
        <w:t xml:space="preserve"> (версія 1.0) був першим комерційним SL-LPA для виявлення резистентності до протитуберкульозних препаратів другого ряду. У 2015 році виробник розробив і виготовив доступну для продажу версію 2.0 аналізу MTBDR</w:t>
      </w:r>
      <w:r w:rsidR="00BE6F5B" w:rsidRPr="00BE6F5B">
        <w:rPr>
          <w:rFonts w:ascii="Calibri" w:hAnsi="Calibri"/>
          <w:i/>
          <w:color w:val="000000"/>
          <w:sz w:val="22"/>
        </w:rPr>
        <w:t>sl</w:t>
      </w:r>
      <w:r>
        <w:rPr>
          <w:rFonts w:ascii="Calibri" w:hAnsi="Calibri"/>
          <w:color w:val="000000"/>
          <w:sz w:val="22"/>
        </w:rPr>
        <w:t>. Версія 2.0 виявляє мутації, пов’язані зі резистентністю до фторхінолонів та резистентністю до ін’єкційних препаратів другої лінії (ІПДЛ), виявлені версією 1.0, та додаткові мутації. Після встановлення діагнозу MЛС/Риф-TБ, SL-LPA можна використовувати для виявлення додаткової резистентності до препаратів другого ряду.</w:t>
      </w:r>
    </w:p>
    <w:p w:rsidR="00ED665B" w:rsidRPr="00907702" w:rsidRDefault="006C7D2F" w:rsidP="00DC2656">
      <w:pPr>
        <w:spacing w:before="168"/>
        <w:ind w:left="34" w:right="24"/>
        <w:jc w:val="both"/>
        <w:rPr>
          <w:rFonts w:ascii="Calibri" w:hAnsi="Calibri" w:cs="Calibri"/>
        </w:rPr>
      </w:pPr>
      <w:r>
        <w:rPr>
          <w:rFonts w:ascii="Calibri" w:hAnsi="Calibri"/>
          <w:color w:val="000000"/>
          <w:sz w:val="22"/>
        </w:rPr>
        <w:t>Тест MTBDR</w:t>
      </w:r>
      <w:r w:rsidR="00BE6F5B" w:rsidRPr="00BE6F5B">
        <w:rPr>
          <w:rFonts w:ascii="Calibri" w:hAnsi="Calibri"/>
          <w:i/>
          <w:color w:val="000000"/>
          <w:sz w:val="22"/>
        </w:rPr>
        <w:t>sl</w:t>
      </w:r>
      <w:r>
        <w:rPr>
          <w:rFonts w:ascii="Calibri" w:hAnsi="Calibri"/>
          <w:color w:val="000000"/>
          <w:sz w:val="22"/>
        </w:rPr>
        <w:t xml:space="preserve"> включає в себе зонди для виявлення мутацій в генах, пов’язаних зі резистентністю до фторхінолонів або ІПДЛ (</w:t>
      </w:r>
      <w:r w:rsidRPr="00FA1569">
        <w:rPr>
          <w:rFonts w:ascii="Calibri" w:hAnsi="Calibri"/>
          <w:i/>
          <w:color w:val="000000"/>
          <w:sz w:val="22"/>
        </w:rPr>
        <w:t>gyrA</w:t>
      </w:r>
      <w:r>
        <w:rPr>
          <w:rFonts w:ascii="Calibri" w:hAnsi="Calibri"/>
          <w:color w:val="000000"/>
          <w:sz w:val="22"/>
        </w:rPr>
        <w:t xml:space="preserve"> та </w:t>
      </w:r>
      <w:r w:rsidRPr="00FA1569">
        <w:rPr>
          <w:rFonts w:ascii="Calibri" w:hAnsi="Calibri"/>
          <w:i/>
          <w:color w:val="000000"/>
          <w:sz w:val="22"/>
        </w:rPr>
        <w:t>rrs</w:t>
      </w:r>
      <w:r>
        <w:rPr>
          <w:rFonts w:ascii="Calibri" w:hAnsi="Calibri"/>
          <w:color w:val="000000"/>
          <w:sz w:val="22"/>
        </w:rPr>
        <w:t xml:space="preserve"> для версії 1.0 і цих генів плюс </w:t>
      </w:r>
      <w:r w:rsidRPr="00FA1569">
        <w:rPr>
          <w:rFonts w:ascii="Calibri" w:hAnsi="Calibri"/>
          <w:i/>
          <w:color w:val="000000"/>
          <w:sz w:val="22"/>
        </w:rPr>
        <w:t>gyrB</w:t>
      </w:r>
      <w:r>
        <w:rPr>
          <w:rFonts w:ascii="Calibri" w:hAnsi="Calibri"/>
          <w:color w:val="000000"/>
          <w:sz w:val="22"/>
        </w:rPr>
        <w:t xml:space="preserve"> та промотору </w:t>
      </w:r>
      <w:r w:rsidRPr="00FA1569">
        <w:rPr>
          <w:rFonts w:ascii="Calibri" w:hAnsi="Calibri"/>
          <w:i/>
          <w:color w:val="000000"/>
          <w:sz w:val="22"/>
        </w:rPr>
        <w:t>eis</w:t>
      </w:r>
      <w:r>
        <w:rPr>
          <w:rFonts w:ascii="Calibri" w:hAnsi="Calibri"/>
          <w:color w:val="000000"/>
          <w:sz w:val="22"/>
        </w:rPr>
        <w:t xml:space="preserve"> для версії 2.0). Наявність мутацій на цих ділянках не обов’язково означає резистентність до всіх препаратів у межах певного класу. Хоча специфічні мутації на цих ділянках можуть бути пов’язані з різними рівнями резистентності (тобто різними мінімальними інгібіторними концентраціями) до кожного лікарського засобу в межах цих класів, ступінь перехресної резистентності не повністю зрозумілий.</w:t>
      </w:r>
    </w:p>
    <w:p w:rsidR="00ED665B" w:rsidRPr="00907702" w:rsidRDefault="00ED665B" w:rsidP="00DC2656">
      <w:pPr>
        <w:spacing w:after="192"/>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130"/>
      </w:tblGrid>
      <w:tr w:rsidR="00ED665B" w:rsidRPr="00E012D4" w:rsidTr="00E012D4">
        <w:trPr>
          <w:trHeight w:hRule="exact" w:val="533"/>
        </w:trPr>
        <w:tc>
          <w:tcPr>
            <w:tcW w:w="9130" w:type="dxa"/>
            <w:tcBorders>
              <w:top w:val="nil"/>
              <w:left w:val="nil"/>
              <w:bottom w:val="single" w:sz="8" w:space="0" w:color="009649"/>
              <w:right w:val="nil"/>
            </w:tcBorders>
            <w:shd w:val="clear" w:color="auto" w:fill="FFFFFF"/>
          </w:tcPr>
          <w:p w:rsidR="00ED665B" w:rsidRPr="00E012D4" w:rsidRDefault="006C7D2F" w:rsidP="00DC2656">
            <w:pPr>
              <w:rPr>
                <w:rFonts w:ascii="Calibri" w:hAnsi="Calibri" w:cs="Calibri"/>
                <w:b/>
                <w:bCs/>
              </w:rPr>
            </w:pPr>
            <w:r>
              <w:rPr>
                <w:rFonts w:ascii="Calibri" w:hAnsi="Calibri"/>
                <w:b/>
                <w:color w:val="009649"/>
                <w:sz w:val="28"/>
              </w:rPr>
              <w:t>Рекомендації</w:t>
            </w:r>
          </w:p>
        </w:tc>
      </w:tr>
      <w:tr w:rsidR="00ED665B" w:rsidRPr="00907702" w:rsidTr="00E012D4">
        <w:trPr>
          <w:trHeight w:hRule="exact" w:val="1901"/>
        </w:trPr>
        <w:tc>
          <w:tcPr>
            <w:tcW w:w="9130" w:type="dxa"/>
            <w:tcBorders>
              <w:top w:val="single" w:sz="8" w:space="0" w:color="009649"/>
              <w:left w:val="single" w:sz="8" w:space="0" w:color="009649"/>
              <w:bottom w:val="single" w:sz="8" w:space="0" w:color="009649"/>
              <w:right w:val="single" w:sz="8" w:space="0" w:color="009649"/>
            </w:tcBorders>
            <w:shd w:val="clear" w:color="auto" w:fill="FFFFFF"/>
          </w:tcPr>
          <w:p w:rsidR="00ED665B" w:rsidRPr="00907702" w:rsidRDefault="006C7D2F" w:rsidP="00FB6EBF">
            <w:pPr>
              <w:tabs>
                <w:tab w:val="left" w:pos="787"/>
              </w:tabs>
              <w:spacing w:before="120"/>
              <w:ind w:left="672" w:right="202" w:hanging="461"/>
              <w:jc w:val="both"/>
              <w:rPr>
                <w:rFonts w:ascii="Calibri" w:hAnsi="Calibri" w:cs="Calibri"/>
              </w:rPr>
            </w:pPr>
            <w:r>
              <w:rPr>
                <w:rFonts w:ascii="Calibri" w:hAnsi="Calibri"/>
                <w:color w:val="000000"/>
                <w:sz w:val="22"/>
              </w:rPr>
              <w:t>1.</w:t>
            </w:r>
            <w:r>
              <w:rPr>
                <w:rFonts w:ascii="Calibri" w:hAnsi="Calibri"/>
                <w:color w:val="000000"/>
                <w:sz w:val="22"/>
              </w:rPr>
              <w:tab/>
              <w:t>Для пацієнтів з підтвердженим МЛС/Риф-ТБ SL-LPA може використовуватися в якості первинного тесту замість фенотипічного ТМЧ на основі посіву для виявлення резистентності до фторхінолонів.2.</w:t>
            </w:r>
          </w:p>
          <w:p w:rsidR="00ED665B" w:rsidRPr="00907702" w:rsidRDefault="006C7D2F" w:rsidP="00FB6EBF">
            <w:pPr>
              <w:tabs>
                <w:tab w:val="left" w:pos="787"/>
              </w:tabs>
              <w:spacing w:before="120"/>
              <w:ind w:left="672" w:right="202" w:hanging="461"/>
              <w:jc w:val="both"/>
              <w:rPr>
                <w:rFonts w:ascii="Calibri" w:hAnsi="Calibri" w:cs="Calibri"/>
              </w:rPr>
            </w:pPr>
            <w:r>
              <w:rPr>
                <w:rFonts w:ascii="Calibri" w:hAnsi="Calibri"/>
                <w:color w:val="000000"/>
                <w:sz w:val="22"/>
              </w:rPr>
              <w:t>2.</w:t>
            </w:r>
            <w:r>
              <w:rPr>
                <w:rFonts w:ascii="Calibri" w:hAnsi="Calibri"/>
                <w:color w:val="000000"/>
                <w:sz w:val="22"/>
              </w:rPr>
              <w:tab/>
              <w:t>Для пацієнтів з підтвердженим МЛС/Риф-ТБ SL-LPA може використовуватися в якості первинного тесту замість фенотипічного ТМЧ на основі посіву для виявлення резистентності до ІПДЛ.</w:t>
            </w:r>
          </w:p>
        </w:tc>
      </w:tr>
    </w:tbl>
    <w:p w:rsidR="00ED665B" w:rsidRPr="00E012D4" w:rsidRDefault="006C7D2F" w:rsidP="00DC2656">
      <w:pPr>
        <w:spacing w:before="504"/>
        <w:ind w:left="34"/>
        <w:rPr>
          <w:rFonts w:ascii="Calibri" w:hAnsi="Calibri" w:cs="Calibri"/>
          <w:b/>
          <w:bCs/>
        </w:rPr>
      </w:pPr>
      <w:r>
        <w:rPr>
          <w:rFonts w:ascii="Calibri" w:hAnsi="Calibri"/>
          <w:b/>
          <w:color w:val="000000"/>
          <w:sz w:val="24"/>
        </w:rPr>
        <w:t>Примітки</w:t>
      </w:r>
    </w:p>
    <w:p w:rsidR="00ED665B" w:rsidRPr="00907702" w:rsidRDefault="006C7D2F" w:rsidP="00DC2656">
      <w:pPr>
        <w:numPr>
          <w:ilvl w:val="0"/>
          <w:numId w:val="2"/>
        </w:numPr>
        <w:tabs>
          <w:tab w:val="left" w:pos="274"/>
        </w:tabs>
        <w:spacing w:before="178"/>
        <w:ind w:left="274" w:right="24" w:hanging="240"/>
        <w:jc w:val="both"/>
        <w:rPr>
          <w:rFonts w:ascii="Calibri" w:hAnsi="Calibri" w:cs="Calibri"/>
          <w:color w:val="009649"/>
          <w:sz w:val="22"/>
          <w:szCs w:val="22"/>
        </w:rPr>
      </w:pPr>
      <w:r>
        <w:rPr>
          <w:rFonts w:ascii="Calibri" w:hAnsi="Calibri"/>
          <w:color w:val="000000"/>
          <w:sz w:val="22"/>
        </w:rPr>
        <w:t xml:space="preserve">Ці рекомендації стосуються використання SL-LPA для тестування позитивних зразків мокротиння (пряме тестування) та культуральних ізолятів </w:t>
      </w:r>
      <w:r w:rsidR="00BE6F5B" w:rsidRPr="00BE6F5B">
        <w:rPr>
          <w:rFonts w:ascii="Calibri" w:hAnsi="Calibri"/>
          <w:i/>
          <w:color w:val="000000"/>
          <w:sz w:val="22"/>
        </w:rPr>
        <w:t>M. tuberculosis</w:t>
      </w:r>
      <w:r>
        <w:rPr>
          <w:rFonts w:ascii="Calibri" w:hAnsi="Calibri"/>
          <w:color w:val="000000"/>
          <w:sz w:val="22"/>
        </w:rPr>
        <w:t xml:space="preserve"> (непряме тестування) як з легеневих, так і з позалегеневих ділянок. Безпосереднє тестування на зразках мокротиння дозволяє раніше розпочати відповідне лікування.</w:t>
      </w:r>
    </w:p>
    <w:p w:rsidR="00ED665B" w:rsidRPr="00907702" w:rsidRDefault="006C7D2F" w:rsidP="00DC2656">
      <w:pPr>
        <w:numPr>
          <w:ilvl w:val="0"/>
          <w:numId w:val="2"/>
        </w:numPr>
        <w:tabs>
          <w:tab w:val="left" w:pos="274"/>
        </w:tabs>
        <w:ind w:left="274" w:right="24" w:hanging="240"/>
        <w:jc w:val="both"/>
        <w:rPr>
          <w:rFonts w:ascii="Calibri" w:hAnsi="Calibri" w:cs="Calibri"/>
          <w:color w:val="009649"/>
          <w:sz w:val="22"/>
          <w:szCs w:val="22"/>
        </w:rPr>
      </w:pPr>
      <w:r>
        <w:rPr>
          <w:rFonts w:ascii="Calibri" w:hAnsi="Calibri"/>
          <w:color w:val="000000"/>
          <w:sz w:val="22"/>
        </w:rPr>
        <w:t>Ці рекомендації стосуються прямого тестування зразків мокротиння хворих на MЛС/Риф-TБ, незалежно від стану мазка, при цьому визнаючи, що невизначений рівень вищий при тестуванні зразків мазків мокротиння з негативним результатом, ніж у зразках позитивного мокротиння.</w:t>
      </w:r>
    </w:p>
    <w:p w:rsidR="00ED665B" w:rsidRPr="00907702" w:rsidRDefault="00ED665B" w:rsidP="00DC2656">
      <w:pPr>
        <w:numPr>
          <w:ilvl w:val="0"/>
          <w:numId w:val="2"/>
        </w:numPr>
        <w:tabs>
          <w:tab w:val="left" w:pos="274"/>
        </w:tabs>
        <w:ind w:left="274" w:right="24" w:hanging="240"/>
        <w:jc w:val="both"/>
        <w:rPr>
          <w:rFonts w:ascii="Calibri" w:hAnsi="Calibri" w:cs="Calibri"/>
          <w:color w:val="009649"/>
          <w:sz w:val="22"/>
          <w:szCs w:val="22"/>
        </w:rPr>
        <w:sectPr w:rsidR="00ED665B" w:rsidRPr="00907702">
          <w:pgSz w:w="11904" w:h="16838"/>
          <w:pgMar w:top="1378" w:right="1392" w:bottom="2069" w:left="1382" w:header="720" w:footer="720" w:gutter="0"/>
          <w:cols w:space="60"/>
          <w:noEndnote/>
        </w:sectPr>
      </w:pP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lastRenderedPageBreak/>
        <w:t>Ці рекомендації не виключають потреби у звичайному фенотипічному ТМЧ на основі посіву, який буде необхідний для визначення резистентності до інших протитуберкульозних засобів та контролю за появою додаткової резистентності до лікарських засобів.</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Традиційний фенотипічний ТМЧ може бути корисним для оцінки пацієнтів з негативним результатом SL-LPA, особливо у популяціях з високою ймовірністю резистентності до фторхінолонів або ІПДЛ (або обох) до проведення тесту.</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Ці рекомендації стосуються використання SL-LPA у дітей з підтвердженим діагнозом МЛС/Риф-ТБ на основі узагальнення даних дорослих.</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Мутації резистентності, виявлені SL-LPA, значною мірою корелюються з фенотипною резистентністю до офлоксацину та левофлоксацину.</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Мутації резистентності, виявлені SL-LPA, значною мірою корелюються з фенотипною резистентністю до ІПДЛ.</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Зважаючи на високу специфічність виявлення резистентності до фторхінолонів та ІПДЛ, позитивні результати SL-LPA можуть бути використані для прийняття рішення про виконання відповідних заходів з метою запобігання інфекції.</w:t>
      </w:r>
    </w:p>
    <w:p w:rsidR="00ED665B" w:rsidRPr="00E012D4" w:rsidRDefault="006C7D2F" w:rsidP="00DC2656">
      <w:pPr>
        <w:spacing w:before="235"/>
        <w:rPr>
          <w:rFonts w:ascii="Calibri" w:hAnsi="Calibri" w:cs="Calibri"/>
          <w:b/>
          <w:bCs/>
        </w:rPr>
      </w:pPr>
      <w:r>
        <w:rPr>
          <w:rFonts w:ascii="Calibri" w:hAnsi="Calibri"/>
          <w:b/>
          <w:color w:val="009649"/>
          <w:sz w:val="28"/>
        </w:rPr>
        <w:t>Опис тесту</w:t>
      </w:r>
    </w:p>
    <w:p w:rsidR="00ED665B" w:rsidRPr="00907702" w:rsidRDefault="006C7D2F" w:rsidP="00DC2656">
      <w:pPr>
        <w:spacing w:before="168"/>
        <w:jc w:val="both"/>
        <w:rPr>
          <w:rFonts w:ascii="Calibri" w:hAnsi="Calibri" w:cs="Calibri"/>
        </w:rPr>
      </w:pPr>
      <w:r>
        <w:rPr>
          <w:rFonts w:ascii="Calibri" w:hAnsi="Calibri"/>
          <w:color w:val="000000"/>
          <w:sz w:val="22"/>
        </w:rPr>
        <w:t xml:space="preserve">SL-LPA базується на тому ж принципі, що і LPA першого ряду. Процедура аналізу може проводитися безпосередньо, </w:t>
      </w:r>
      <w:r w:rsidRPr="00FB6EBF">
        <w:rPr>
          <w:rFonts w:ascii="Calibri" w:hAnsi="Calibri"/>
          <w:b/>
          <w:color w:val="000000"/>
          <w:sz w:val="22"/>
        </w:rPr>
        <w:t>напряму</w:t>
      </w:r>
      <w:r>
        <w:rPr>
          <w:rFonts w:ascii="Calibri" w:hAnsi="Calibri"/>
          <w:color w:val="000000"/>
          <w:sz w:val="22"/>
        </w:rPr>
        <w:t xml:space="preserve">, з використанням обробленого зразка мокротиння або опосередковано, </w:t>
      </w:r>
      <w:r w:rsidRPr="00FB6EBF">
        <w:rPr>
          <w:rFonts w:ascii="Calibri" w:hAnsi="Calibri"/>
          <w:b/>
          <w:color w:val="000000"/>
          <w:sz w:val="22"/>
        </w:rPr>
        <w:t>непрямо</w:t>
      </w:r>
      <w:r>
        <w:rPr>
          <w:rFonts w:ascii="Calibri" w:hAnsi="Calibri"/>
          <w:color w:val="000000"/>
          <w:sz w:val="22"/>
        </w:rPr>
        <w:t xml:space="preserve">, з використанням ДНК, виділеної та ампліфікованої з посіву </w:t>
      </w:r>
      <w:r w:rsidRPr="00BE6F5B">
        <w:rPr>
          <w:rFonts w:ascii="Calibri" w:hAnsi="Calibri"/>
          <w:i/>
          <w:color w:val="000000"/>
          <w:sz w:val="22"/>
        </w:rPr>
        <w:t>M. tuberculosis</w:t>
      </w:r>
      <w:r>
        <w:rPr>
          <w:rFonts w:ascii="Calibri" w:hAnsi="Calibri"/>
          <w:color w:val="000000"/>
          <w:sz w:val="22"/>
        </w:rPr>
        <w:t>. Пряме тестування включає наступні кроки:</w:t>
      </w:r>
    </w:p>
    <w:p w:rsidR="00ED665B" w:rsidRPr="00907702" w:rsidRDefault="006C7D2F" w:rsidP="00E012D4">
      <w:pPr>
        <w:numPr>
          <w:ilvl w:val="0"/>
          <w:numId w:val="23"/>
        </w:numPr>
        <w:tabs>
          <w:tab w:val="left" w:pos="283"/>
        </w:tabs>
        <w:spacing w:before="120"/>
        <w:ind w:left="283" w:hanging="283"/>
        <w:jc w:val="both"/>
        <w:rPr>
          <w:rFonts w:ascii="Calibri" w:hAnsi="Calibri" w:cs="Calibri"/>
          <w:color w:val="000000"/>
          <w:sz w:val="22"/>
          <w:szCs w:val="22"/>
        </w:rPr>
      </w:pPr>
      <w:r>
        <w:rPr>
          <w:rFonts w:ascii="Calibri" w:hAnsi="Calibri"/>
          <w:color w:val="000000"/>
          <w:sz w:val="22"/>
        </w:rPr>
        <w:t>Деконтамінація (наприклад, гідроксидом натрію) та концентрація зразка мокротиння центрифугуванням.</w:t>
      </w:r>
    </w:p>
    <w:p w:rsidR="00ED665B" w:rsidRPr="00907702" w:rsidRDefault="006C7D2F" w:rsidP="00E012D4">
      <w:pPr>
        <w:numPr>
          <w:ilvl w:val="0"/>
          <w:numId w:val="23"/>
        </w:numPr>
        <w:tabs>
          <w:tab w:val="left" w:pos="283"/>
        </w:tabs>
        <w:spacing w:before="120"/>
        <w:rPr>
          <w:rFonts w:ascii="Calibri" w:hAnsi="Calibri" w:cs="Calibri"/>
          <w:color w:val="000000"/>
          <w:sz w:val="22"/>
          <w:szCs w:val="22"/>
        </w:rPr>
      </w:pPr>
      <w:r>
        <w:rPr>
          <w:rFonts w:ascii="Calibri" w:hAnsi="Calibri"/>
          <w:color w:val="000000"/>
          <w:sz w:val="22"/>
        </w:rPr>
        <w:t>Ізоляція та ампліфікація ДНК.</w:t>
      </w:r>
    </w:p>
    <w:p w:rsidR="00ED665B" w:rsidRPr="00907702" w:rsidRDefault="006C7D2F" w:rsidP="00E012D4">
      <w:pPr>
        <w:numPr>
          <w:ilvl w:val="0"/>
          <w:numId w:val="23"/>
        </w:numPr>
        <w:tabs>
          <w:tab w:val="left" w:pos="283"/>
        </w:tabs>
        <w:spacing w:before="120"/>
        <w:rPr>
          <w:rFonts w:ascii="Calibri" w:hAnsi="Calibri" w:cs="Calibri"/>
          <w:color w:val="000000"/>
          <w:sz w:val="22"/>
          <w:szCs w:val="22"/>
        </w:rPr>
      </w:pPr>
      <w:r>
        <w:rPr>
          <w:rFonts w:ascii="Calibri" w:hAnsi="Calibri"/>
          <w:color w:val="000000"/>
          <w:sz w:val="22"/>
        </w:rPr>
        <w:t>Виявлення продуктів ампліфікації шляхом зворотної гібридизації.</w:t>
      </w:r>
    </w:p>
    <w:p w:rsidR="00ED665B" w:rsidRPr="00907702" w:rsidRDefault="006C7D2F" w:rsidP="00FA1569">
      <w:pPr>
        <w:numPr>
          <w:ilvl w:val="0"/>
          <w:numId w:val="23"/>
        </w:numPr>
        <w:tabs>
          <w:tab w:val="left" w:pos="283"/>
        </w:tabs>
        <w:spacing w:before="120"/>
        <w:ind w:left="284" w:hanging="284"/>
        <w:jc w:val="both"/>
        <w:rPr>
          <w:rFonts w:ascii="Calibri" w:hAnsi="Calibri" w:cs="Calibri"/>
          <w:color w:val="000000"/>
          <w:sz w:val="22"/>
          <w:szCs w:val="22"/>
        </w:rPr>
      </w:pPr>
      <w:r>
        <w:rPr>
          <w:rFonts w:ascii="Calibri" w:hAnsi="Calibri"/>
          <w:color w:val="000000"/>
          <w:sz w:val="22"/>
        </w:rPr>
        <w:t>Візуалізація з використанням кольорової реакції лужної фосфатази, сполученої стрептавідином.</w:t>
      </w:r>
    </w:p>
    <w:p w:rsidR="00ED665B" w:rsidRPr="00907702" w:rsidRDefault="006C7D2F" w:rsidP="00DC2656">
      <w:pPr>
        <w:spacing w:before="134"/>
        <w:jc w:val="both"/>
        <w:rPr>
          <w:rFonts w:ascii="Calibri" w:hAnsi="Calibri" w:cs="Calibri"/>
        </w:rPr>
      </w:pPr>
      <w:r>
        <w:rPr>
          <w:rFonts w:ascii="Calibri" w:hAnsi="Calibri"/>
          <w:color w:val="000000"/>
          <w:sz w:val="22"/>
        </w:rPr>
        <w:t>Непряме тестування включає лише Етапи 2–4. Спостережувані смуги, кожна з яких відповідає зонду дикого типу або генотипу резистентності, можуть використовуватися для визначення профілю медикаментозної чутливості аналізованого зразка. Аналіз можна провести і отримати результати протягом одного робочого дня.</w:t>
      </w:r>
    </w:p>
    <w:p w:rsidR="00ED665B" w:rsidRPr="00907702" w:rsidRDefault="006C7D2F" w:rsidP="00DC2656">
      <w:pPr>
        <w:spacing w:before="173"/>
        <w:jc w:val="both"/>
        <w:rPr>
          <w:rFonts w:ascii="Calibri" w:hAnsi="Calibri" w:cs="Calibri"/>
        </w:rPr>
      </w:pPr>
      <w:r>
        <w:rPr>
          <w:rFonts w:ascii="Calibri" w:hAnsi="Calibri"/>
          <w:color w:val="000000"/>
          <w:sz w:val="22"/>
        </w:rPr>
        <w:t>Індексний тест, який використовувався, – MTBDR</w:t>
      </w:r>
      <w:r w:rsidR="00BE6F5B" w:rsidRPr="00BE6F5B">
        <w:rPr>
          <w:rFonts w:ascii="Calibri" w:hAnsi="Calibri"/>
          <w:i/>
          <w:color w:val="000000"/>
          <w:sz w:val="22"/>
        </w:rPr>
        <w:t>sl</w:t>
      </w:r>
      <w:r>
        <w:rPr>
          <w:rFonts w:ascii="Calibri" w:hAnsi="Calibri"/>
          <w:color w:val="000000"/>
          <w:sz w:val="22"/>
        </w:rPr>
        <w:t xml:space="preserve">, а характеристики, що відрізняються для версій 1.0 та 2.0, представлені у </w:t>
      </w:r>
      <w:r>
        <w:rPr>
          <w:rFonts w:ascii="Calibri" w:hAnsi="Calibri"/>
          <w:color w:val="1B61AF"/>
          <w:sz w:val="22"/>
        </w:rPr>
        <w:t>Таблиці 2.3.3</w:t>
      </w:r>
      <w:r>
        <w:rPr>
          <w:rFonts w:ascii="Calibri" w:hAnsi="Calibri"/>
          <w:color w:val="000000"/>
          <w:sz w:val="22"/>
        </w:rPr>
        <w:t xml:space="preserve">. SL-LPA виявляють специфічні мутації, пов’язані з резистентністю до класу фторхінолонів (включаючи офлоксацин, левофлоксацин, моксифлоксацин і гатифлоксацин) та ІПДЛ (включаючи канаміцин, амікацин та капреоміцин) в MTБК. Версія 1.0 виявляє мутації у ділянці, що визначає резистентність до хінолону </w:t>
      </w:r>
      <w:r w:rsidRPr="00FA1569">
        <w:rPr>
          <w:rFonts w:ascii="Calibri" w:hAnsi="Calibri"/>
          <w:i/>
          <w:color w:val="000000"/>
          <w:sz w:val="22"/>
        </w:rPr>
        <w:t>gyrA</w:t>
      </w:r>
      <w:r>
        <w:rPr>
          <w:rFonts w:ascii="Calibri" w:hAnsi="Calibri"/>
          <w:color w:val="000000"/>
          <w:sz w:val="22"/>
        </w:rPr>
        <w:t xml:space="preserve"> (кодони 85–97) та </w:t>
      </w:r>
      <w:r w:rsidRPr="00FA1569">
        <w:rPr>
          <w:rFonts w:ascii="Calibri" w:hAnsi="Calibri"/>
          <w:i/>
          <w:color w:val="000000"/>
          <w:sz w:val="22"/>
        </w:rPr>
        <w:t>rrs</w:t>
      </w:r>
      <w:r>
        <w:rPr>
          <w:rFonts w:ascii="Calibri" w:hAnsi="Calibri"/>
          <w:color w:val="000000"/>
          <w:sz w:val="22"/>
        </w:rPr>
        <w:t xml:space="preserve"> (кодони 1401, 1402 та 1484). Версія 2.0 додатково виявляє мутації у ділянці, що визначає резистентність до хінолону </w:t>
      </w:r>
      <w:r w:rsidRPr="00FA1569">
        <w:rPr>
          <w:rFonts w:ascii="Calibri" w:hAnsi="Calibri"/>
          <w:i/>
          <w:color w:val="000000"/>
          <w:sz w:val="22"/>
        </w:rPr>
        <w:t>gyrB</w:t>
      </w:r>
      <w:r>
        <w:rPr>
          <w:rFonts w:ascii="Calibri" w:hAnsi="Calibri"/>
          <w:color w:val="000000"/>
          <w:sz w:val="22"/>
        </w:rPr>
        <w:t xml:space="preserve"> (кодони 536–541) та ділянці промотору </w:t>
      </w:r>
      <w:r w:rsidRPr="00FA1569">
        <w:rPr>
          <w:rFonts w:ascii="Calibri" w:hAnsi="Calibri"/>
          <w:i/>
          <w:color w:val="000000"/>
          <w:sz w:val="22"/>
        </w:rPr>
        <w:t>eis</w:t>
      </w:r>
      <w:r>
        <w:rPr>
          <w:rFonts w:ascii="Calibri" w:hAnsi="Calibri"/>
          <w:color w:val="000000"/>
          <w:sz w:val="22"/>
        </w:rPr>
        <w:t xml:space="preserve"> (кодони –10–14) </w:t>
      </w:r>
      <w:r w:rsidRPr="00BE6F5B">
        <w:rPr>
          <w:rFonts w:ascii="Calibri" w:hAnsi="Calibri"/>
          <w:i/>
          <w:color w:val="000000"/>
          <w:sz w:val="22"/>
        </w:rPr>
        <w:t>(40)</w:t>
      </w:r>
      <w:r>
        <w:rPr>
          <w:rFonts w:ascii="Calibri" w:hAnsi="Calibri"/>
          <w:color w:val="000000"/>
          <w:sz w:val="22"/>
        </w:rPr>
        <w:t xml:space="preserve">. Мутації у цих ділянках можуть викликати додаткову резистентність до фторхінолонів або ІПДЛ відповідно; таким чином, очікується, що версія 2.0 покращить чутливість до резистентності до цих класів лікарських засобів. Мутації у деяких ділянках (наприклад, ділянці промотору </w:t>
      </w:r>
      <w:r w:rsidRPr="00FA1569">
        <w:rPr>
          <w:rFonts w:ascii="Calibri" w:hAnsi="Calibri"/>
          <w:i/>
          <w:color w:val="000000"/>
          <w:sz w:val="22"/>
        </w:rPr>
        <w:t>eis</w:t>
      </w:r>
      <w:r>
        <w:rPr>
          <w:rFonts w:ascii="Calibri" w:hAnsi="Calibri"/>
          <w:color w:val="000000"/>
          <w:sz w:val="22"/>
        </w:rPr>
        <w:t xml:space="preserve">) можуть бути причиною того, що вони викликають резистентність до одного лікарського засобу у класі більше, ніж до інших лікарських засобів цього класу. Наприклад, мутація </w:t>
      </w:r>
      <w:r w:rsidRPr="00FA1569">
        <w:rPr>
          <w:rFonts w:ascii="Calibri" w:hAnsi="Calibri"/>
          <w:i/>
          <w:color w:val="000000"/>
          <w:sz w:val="22"/>
        </w:rPr>
        <w:t>eis</w:t>
      </w:r>
      <w:r>
        <w:rPr>
          <w:rFonts w:ascii="Calibri" w:hAnsi="Calibri"/>
          <w:color w:val="000000"/>
          <w:sz w:val="22"/>
        </w:rPr>
        <w:t xml:space="preserve"> C14T пов’язана з резистентністю до канаміцину у штамів зі Східної</w:t>
      </w:r>
    </w:p>
    <w:p w:rsidR="00ED665B" w:rsidRPr="00907702" w:rsidRDefault="00ED665B" w:rsidP="00DC2656">
      <w:pPr>
        <w:spacing w:before="173"/>
        <w:jc w:val="both"/>
        <w:rPr>
          <w:rFonts w:ascii="Calibri" w:hAnsi="Calibri" w:cs="Calibri"/>
        </w:rPr>
        <w:sectPr w:rsidR="00ED665B" w:rsidRPr="00907702">
          <w:pgSz w:w="11904" w:h="16838"/>
          <w:pgMar w:top="1339" w:right="1416" w:bottom="1584" w:left="1416" w:header="720" w:footer="720" w:gutter="0"/>
          <w:cols w:space="60"/>
          <w:noEndnote/>
        </w:sectPr>
      </w:pPr>
    </w:p>
    <w:p w:rsidR="00ED665B" w:rsidRPr="00907702" w:rsidRDefault="006C7D2F" w:rsidP="00DC2656">
      <w:pPr>
        <w:ind w:left="5"/>
        <w:jc w:val="both"/>
        <w:rPr>
          <w:rFonts w:ascii="Calibri" w:hAnsi="Calibri" w:cs="Calibri"/>
        </w:rPr>
      </w:pPr>
      <w:r>
        <w:rPr>
          <w:rFonts w:ascii="Calibri" w:hAnsi="Calibri"/>
          <w:color w:val="000000"/>
          <w:sz w:val="22"/>
        </w:rPr>
        <w:lastRenderedPageBreak/>
        <w:t xml:space="preserve">Європи </w:t>
      </w:r>
      <w:r w:rsidRPr="00BE6F5B">
        <w:rPr>
          <w:rFonts w:ascii="Calibri" w:hAnsi="Calibri"/>
          <w:i/>
          <w:color w:val="000000"/>
          <w:sz w:val="22"/>
        </w:rPr>
        <w:t>(41)</w:t>
      </w:r>
      <w:r>
        <w:rPr>
          <w:rFonts w:ascii="Calibri" w:hAnsi="Calibri"/>
          <w:color w:val="000000"/>
          <w:sz w:val="22"/>
        </w:rPr>
        <w:t xml:space="preserve">. Версія 1.0 також виявляє мутації в </w:t>
      </w:r>
      <w:r w:rsidRPr="00FA1569">
        <w:rPr>
          <w:rFonts w:ascii="Calibri" w:hAnsi="Calibri"/>
          <w:i/>
          <w:color w:val="000000"/>
          <w:sz w:val="22"/>
        </w:rPr>
        <w:t>embB</w:t>
      </w:r>
      <w:r>
        <w:rPr>
          <w:rFonts w:ascii="Calibri" w:hAnsi="Calibri"/>
          <w:color w:val="000000"/>
          <w:sz w:val="22"/>
        </w:rPr>
        <w:t>, які можуть кодувати резистентність до етамбутолу. Оскільки етамбутол є препаратом першого ряду і його було вилучено з версії 2.0, цей огляд не визначив точності резистентності до етамбутолу.</w:t>
      </w:r>
    </w:p>
    <w:p w:rsidR="00ED665B" w:rsidRPr="00E012D4" w:rsidRDefault="006C7D2F" w:rsidP="00DC2656">
      <w:pPr>
        <w:spacing w:before="274"/>
        <w:ind w:left="5"/>
        <w:rPr>
          <w:rFonts w:ascii="Calibri" w:hAnsi="Calibri" w:cs="Calibri"/>
          <w:b/>
          <w:bCs/>
        </w:rPr>
      </w:pPr>
      <w:bookmarkStart w:id="27" w:name="bookmark32"/>
      <w:r>
        <w:rPr>
          <w:rFonts w:ascii="Calibri" w:hAnsi="Calibri"/>
          <w:b/>
          <w:color w:val="636466"/>
          <w:sz w:val="22"/>
        </w:rPr>
        <w:t>Т</w:t>
      </w:r>
      <w:bookmarkEnd w:id="27"/>
      <w:r>
        <w:rPr>
          <w:rFonts w:ascii="Calibri" w:hAnsi="Calibri"/>
          <w:b/>
          <w:color w:val="636466"/>
          <w:sz w:val="22"/>
        </w:rPr>
        <w:t>аблиця 2.3.3. Характеристики GenoType MTBDR</w:t>
      </w:r>
      <w:r w:rsidR="00BE6F5B" w:rsidRPr="00BE6F5B">
        <w:rPr>
          <w:rFonts w:ascii="Calibri" w:hAnsi="Calibri"/>
          <w:b/>
          <w:i/>
          <w:color w:val="636466"/>
          <w:sz w:val="22"/>
        </w:rPr>
        <w:t>sl</w:t>
      </w:r>
      <w:r>
        <w:rPr>
          <w:rFonts w:ascii="Calibri" w:hAnsi="Calibri"/>
          <w:b/>
          <w:color w:val="636466"/>
          <w:sz w:val="22"/>
        </w:rPr>
        <w:t xml:space="preserve"> версій 1.0 та 2.0, відповідно до даних виробника</w:t>
      </w:r>
    </w:p>
    <w:p w:rsidR="00ED665B" w:rsidRPr="00907702" w:rsidRDefault="00ED665B" w:rsidP="00DC2656">
      <w:pPr>
        <w:spacing w:after="187"/>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45"/>
        <w:gridCol w:w="3240"/>
        <w:gridCol w:w="3792"/>
      </w:tblGrid>
      <w:tr w:rsidR="00ED665B" w:rsidRPr="00E012D4" w:rsidTr="00E012D4">
        <w:trPr>
          <w:trHeight w:hRule="exact" w:val="1210"/>
        </w:trPr>
        <w:tc>
          <w:tcPr>
            <w:tcW w:w="204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E012D4" w:rsidRDefault="006C7D2F" w:rsidP="00E012D4">
            <w:pPr>
              <w:ind w:left="34"/>
              <w:rPr>
                <w:rFonts w:ascii="Calibri" w:hAnsi="Calibri" w:cs="Calibri"/>
                <w:b/>
                <w:bCs/>
              </w:rPr>
            </w:pPr>
            <w:r>
              <w:rPr>
                <w:rFonts w:ascii="Calibri" w:hAnsi="Calibri"/>
                <w:b/>
                <w:color w:val="000000"/>
              </w:rPr>
              <w:t>Виявлення</w:t>
            </w:r>
          </w:p>
        </w:tc>
        <w:tc>
          <w:tcPr>
            <w:tcW w:w="324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E012D4" w:rsidRDefault="006C7D2F" w:rsidP="00E012D4">
            <w:pPr>
              <w:ind w:left="19"/>
              <w:rPr>
                <w:rFonts w:ascii="Calibri" w:hAnsi="Calibri" w:cs="Calibri"/>
                <w:b/>
                <w:bCs/>
              </w:rPr>
            </w:pPr>
            <w:r>
              <w:rPr>
                <w:rFonts w:ascii="Calibri" w:hAnsi="Calibri"/>
                <w:b/>
                <w:color w:val="000000"/>
              </w:rPr>
              <w:t>Версія 1.0</w:t>
            </w:r>
          </w:p>
          <w:p w:rsidR="00ED665B" w:rsidRPr="00E012D4" w:rsidRDefault="006C7D2F" w:rsidP="00E012D4">
            <w:pPr>
              <w:ind w:left="19" w:right="264"/>
              <w:rPr>
                <w:rFonts w:ascii="Calibri" w:hAnsi="Calibri" w:cs="Calibri"/>
                <w:b/>
                <w:bCs/>
              </w:rPr>
            </w:pPr>
            <w:r>
              <w:rPr>
                <w:rFonts w:ascii="Calibri" w:hAnsi="Calibri"/>
                <w:b/>
                <w:color w:val="000000"/>
              </w:rPr>
              <w:t>MTБК та резистентність до фторхінолонів, ІПДЛ та етамбутолу</w:t>
            </w:r>
          </w:p>
        </w:tc>
        <w:tc>
          <w:tcPr>
            <w:tcW w:w="379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E012D4" w:rsidRDefault="006C7D2F" w:rsidP="00E012D4">
            <w:pPr>
              <w:ind w:left="19"/>
              <w:rPr>
                <w:rFonts w:ascii="Calibri" w:hAnsi="Calibri" w:cs="Calibri"/>
                <w:b/>
                <w:bCs/>
              </w:rPr>
            </w:pPr>
            <w:r>
              <w:rPr>
                <w:rFonts w:ascii="Calibri" w:hAnsi="Calibri"/>
                <w:b/>
                <w:color w:val="000000"/>
              </w:rPr>
              <w:t>Версія 2.0</w:t>
            </w:r>
          </w:p>
          <w:p w:rsidR="00ED665B" w:rsidRPr="00E012D4" w:rsidRDefault="006C7D2F" w:rsidP="00E012D4">
            <w:pPr>
              <w:ind w:left="19" w:right="869"/>
              <w:rPr>
                <w:rFonts w:ascii="Calibri" w:hAnsi="Calibri" w:cs="Calibri"/>
                <w:b/>
                <w:bCs/>
              </w:rPr>
            </w:pPr>
            <w:r>
              <w:rPr>
                <w:rFonts w:ascii="Calibri" w:hAnsi="Calibri"/>
                <w:b/>
                <w:color w:val="000000"/>
              </w:rPr>
              <w:t>MTБК та резистентність до фторхінолонів та ІПДЛ</w:t>
            </w:r>
          </w:p>
        </w:tc>
      </w:tr>
      <w:tr w:rsidR="00ED665B" w:rsidRPr="00907702" w:rsidTr="00E012D4">
        <w:trPr>
          <w:trHeight w:hRule="exact" w:val="667"/>
        </w:trPr>
        <w:tc>
          <w:tcPr>
            <w:tcW w:w="2045" w:type="dxa"/>
            <w:tcBorders>
              <w:top w:val="single" w:sz="8" w:space="0" w:color="009649"/>
              <w:left w:val="nil"/>
              <w:bottom w:val="single" w:sz="8" w:space="0" w:color="009649"/>
              <w:right w:val="nil"/>
            </w:tcBorders>
            <w:shd w:val="clear" w:color="auto" w:fill="FFFFFF"/>
          </w:tcPr>
          <w:p w:rsidR="00ED665B" w:rsidRPr="00FA1569" w:rsidRDefault="006C7D2F" w:rsidP="00DC2656">
            <w:pPr>
              <w:ind w:left="34"/>
              <w:rPr>
                <w:rFonts w:ascii="Calibri" w:hAnsi="Calibri" w:cs="Calibri"/>
                <w:b/>
              </w:rPr>
            </w:pPr>
            <w:r w:rsidRPr="00FA1569">
              <w:rPr>
                <w:rFonts w:ascii="Calibri" w:hAnsi="Calibri"/>
                <w:b/>
                <w:color w:val="000000"/>
              </w:rPr>
              <w:t>Зразки</w:t>
            </w:r>
          </w:p>
        </w:tc>
        <w:tc>
          <w:tcPr>
            <w:tcW w:w="3240" w:type="dxa"/>
            <w:tcBorders>
              <w:top w:val="single" w:sz="8" w:space="0" w:color="009649"/>
              <w:left w:val="nil"/>
              <w:bottom w:val="single" w:sz="8" w:space="0" w:color="009649"/>
              <w:right w:val="nil"/>
            </w:tcBorders>
            <w:shd w:val="clear" w:color="auto" w:fill="FFFFFF"/>
          </w:tcPr>
          <w:p w:rsidR="00ED665B" w:rsidRPr="00907702" w:rsidRDefault="006C7D2F" w:rsidP="00DC2656">
            <w:pPr>
              <w:ind w:left="19" w:right="216"/>
              <w:rPr>
                <w:rFonts w:ascii="Calibri" w:hAnsi="Calibri" w:cs="Calibri"/>
              </w:rPr>
            </w:pPr>
            <w:r>
              <w:rPr>
                <w:rFonts w:ascii="Calibri" w:hAnsi="Calibri"/>
                <w:color w:val="000000"/>
              </w:rPr>
              <w:t>Позитивні мазки і культуральні ізоляти</w:t>
            </w:r>
          </w:p>
        </w:tc>
        <w:tc>
          <w:tcPr>
            <w:tcW w:w="3792" w:type="dxa"/>
            <w:tcBorders>
              <w:top w:val="single" w:sz="8" w:space="0" w:color="009649"/>
              <w:left w:val="nil"/>
              <w:bottom w:val="single" w:sz="8" w:space="0" w:color="009649"/>
              <w:right w:val="nil"/>
            </w:tcBorders>
            <w:shd w:val="clear" w:color="auto" w:fill="FFFFFF"/>
          </w:tcPr>
          <w:p w:rsidR="00ED665B" w:rsidRPr="00907702" w:rsidRDefault="006C7D2F" w:rsidP="00DC2656">
            <w:pPr>
              <w:ind w:left="19" w:right="302"/>
              <w:rPr>
                <w:rFonts w:ascii="Calibri" w:hAnsi="Calibri" w:cs="Calibri"/>
              </w:rPr>
            </w:pPr>
            <w:r>
              <w:rPr>
                <w:rFonts w:ascii="Calibri" w:hAnsi="Calibri"/>
                <w:color w:val="000000"/>
              </w:rPr>
              <w:t>Позитивні і негативні мазки і культуральні ізоляти</w:t>
            </w:r>
          </w:p>
        </w:tc>
      </w:tr>
      <w:tr w:rsidR="00ED665B" w:rsidRPr="00907702" w:rsidTr="00E012D4">
        <w:trPr>
          <w:trHeight w:hRule="exact" w:val="874"/>
        </w:trPr>
        <w:tc>
          <w:tcPr>
            <w:tcW w:w="2045" w:type="dxa"/>
            <w:tcBorders>
              <w:top w:val="single" w:sz="8" w:space="0" w:color="009649"/>
              <w:left w:val="nil"/>
              <w:bottom w:val="single" w:sz="8" w:space="0" w:color="009649"/>
              <w:right w:val="nil"/>
            </w:tcBorders>
            <w:shd w:val="clear" w:color="auto" w:fill="FFFFFF"/>
          </w:tcPr>
          <w:p w:rsidR="00ED665B" w:rsidRPr="00FA1569" w:rsidRDefault="006C7D2F" w:rsidP="00DC2656">
            <w:pPr>
              <w:ind w:left="34" w:right="158"/>
              <w:rPr>
                <w:rFonts w:ascii="Calibri" w:hAnsi="Calibri" w:cs="Calibri"/>
                <w:b/>
              </w:rPr>
            </w:pPr>
            <w:r w:rsidRPr="00FA1569">
              <w:rPr>
                <w:rFonts w:ascii="Calibri" w:hAnsi="Calibri"/>
                <w:b/>
                <w:color w:val="000000"/>
              </w:rPr>
              <w:t>Резистентність до фторхінолону</w:t>
            </w:r>
          </w:p>
        </w:tc>
        <w:tc>
          <w:tcPr>
            <w:tcW w:w="3240" w:type="dxa"/>
            <w:tcBorders>
              <w:top w:val="single" w:sz="8" w:space="0" w:color="009649"/>
              <w:left w:val="nil"/>
              <w:bottom w:val="single" w:sz="8" w:space="0" w:color="009649"/>
              <w:right w:val="nil"/>
            </w:tcBorders>
            <w:shd w:val="clear" w:color="auto" w:fill="FFFFFF"/>
          </w:tcPr>
          <w:p w:rsidR="00ED665B" w:rsidRPr="00907702" w:rsidRDefault="006C7D2F" w:rsidP="00DC2656">
            <w:pPr>
              <w:ind w:left="19" w:right="125"/>
              <w:rPr>
                <w:rFonts w:ascii="Calibri" w:hAnsi="Calibri" w:cs="Calibri"/>
              </w:rPr>
            </w:pPr>
            <w:r>
              <w:rPr>
                <w:rFonts w:ascii="Calibri" w:hAnsi="Calibri"/>
                <w:color w:val="000000"/>
              </w:rPr>
              <w:t xml:space="preserve">Мутації у ділянці, що визначає резистентність гена </w:t>
            </w:r>
            <w:r w:rsidRPr="00FA1569">
              <w:rPr>
                <w:rFonts w:ascii="Calibri" w:hAnsi="Calibri"/>
                <w:i/>
                <w:color w:val="000000"/>
              </w:rPr>
              <w:t>gyrA</w:t>
            </w:r>
          </w:p>
        </w:tc>
        <w:tc>
          <w:tcPr>
            <w:tcW w:w="3792" w:type="dxa"/>
            <w:tcBorders>
              <w:top w:val="single" w:sz="8" w:space="0" w:color="009649"/>
              <w:left w:val="nil"/>
              <w:bottom w:val="single" w:sz="8" w:space="0" w:color="009649"/>
              <w:right w:val="nil"/>
            </w:tcBorders>
            <w:shd w:val="clear" w:color="auto" w:fill="FFFFFF"/>
          </w:tcPr>
          <w:p w:rsidR="00ED665B" w:rsidRPr="00907702" w:rsidRDefault="006C7D2F" w:rsidP="00DC2656">
            <w:pPr>
              <w:ind w:left="19" w:right="192"/>
              <w:rPr>
                <w:rFonts w:ascii="Calibri" w:hAnsi="Calibri" w:cs="Calibri"/>
              </w:rPr>
            </w:pPr>
            <w:r>
              <w:rPr>
                <w:rFonts w:ascii="Calibri" w:hAnsi="Calibri"/>
                <w:color w:val="000000"/>
              </w:rPr>
              <w:t xml:space="preserve">Мутації у ділянках, що визначають резистентність генів </w:t>
            </w:r>
            <w:r w:rsidRPr="00FA1569">
              <w:rPr>
                <w:rFonts w:ascii="Calibri" w:hAnsi="Calibri"/>
                <w:i/>
                <w:color w:val="000000"/>
              </w:rPr>
              <w:t>gyrA</w:t>
            </w:r>
            <w:r>
              <w:rPr>
                <w:rFonts w:ascii="Calibri" w:hAnsi="Calibri"/>
                <w:color w:val="000000"/>
              </w:rPr>
              <w:t xml:space="preserve"> та </w:t>
            </w:r>
            <w:r w:rsidRPr="00FA1569">
              <w:rPr>
                <w:rFonts w:ascii="Calibri" w:hAnsi="Calibri"/>
                <w:i/>
                <w:color w:val="000000"/>
              </w:rPr>
              <w:t>gyrB</w:t>
            </w:r>
          </w:p>
        </w:tc>
      </w:tr>
      <w:tr w:rsidR="00ED665B" w:rsidRPr="00907702" w:rsidTr="00E012D4">
        <w:trPr>
          <w:trHeight w:hRule="exact" w:val="902"/>
        </w:trPr>
        <w:tc>
          <w:tcPr>
            <w:tcW w:w="2045" w:type="dxa"/>
            <w:tcBorders>
              <w:top w:val="single" w:sz="8" w:space="0" w:color="009649"/>
              <w:left w:val="nil"/>
              <w:bottom w:val="single" w:sz="8" w:space="0" w:color="009649"/>
              <w:right w:val="nil"/>
            </w:tcBorders>
            <w:shd w:val="clear" w:color="auto" w:fill="FFFFFF"/>
          </w:tcPr>
          <w:p w:rsidR="00ED665B" w:rsidRPr="00FA1569" w:rsidRDefault="006C7D2F" w:rsidP="00DC2656">
            <w:pPr>
              <w:ind w:left="34"/>
              <w:rPr>
                <w:rFonts w:ascii="Calibri" w:hAnsi="Calibri" w:cs="Calibri"/>
                <w:b/>
              </w:rPr>
            </w:pPr>
            <w:r w:rsidRPr="00FA1569">
              <w:rPr>
                <w:rFonts w:ascii="Calibri" w:hAnsi="Calibri"/>
                <w:b/>
                <w:color w:val="000000"/>
              </w:rPr>
              <w:t>Резистентність до ІПДЛ</w:t>
            </w:r>
          </w:p>
        </w:tc>
        <w:tc>
          <w:tcPr>
            <w:tcW w:w="3240" w:type="dxa"/>
            <w:tcBorders>
              <w:top w:val="single" w:sz="8" w:space="0" w:color="009649"/>
              <w:left w:val="nil"/>
              <w:bottom w:val="single" w:sz="8" w:space="0" w:color="009649"/>
              <w:right w:val="nil"/>
            </w:tcBorders>
            <w:shd w:val="clear" w:color="auto" w:fill="FFFFFF"/>
          </w:tcPr>
          <w:p w:rsidR="00ED665B" w:rsidRPr="00907702" w:rsidRDefault="006C7D2F" w:rsidP="00DC2656">
            <w:pPr>
              <w:ind w:left="19" w:right="331"/>
              <w:rPr>
                <w:rFonts w:ascii="Calibri" w:hAnsi="Calibri" w:cs="Calibri"/>
              </w:rPr>
            </w:pPr>
            <w:r>
              <w:rPr>
                <w:rFonts w:ascii="Calibri" w:hAnsi="Calibri"/>
                <w:color w:val="000000"/>
              </w:rPr>
              <w:t xml:space="preserve">Мутації у ділянці, що визначає резистентність гена </w:t>
            </w:r>
            <w:r w:rsidRPr="00FA1569">
              <w:rPr>
                <w:rFonts w:ascii="Calibri" w:hAnsi="Calibri"/>
                <w:i/>
                <w:color w:val="000000"/>
              </w:rPr>
              <w:t>rrs</w:t>
            </w:r>
          </w:p>
        </w:tc>
        <w:tc>
          <w:tcPr>
            <w:tcW w:w="3792" w:type="dxa"/>
            <w:tcBorders>
              <w:top w:val="single" w:sz="8" w:space="0" w:color="009649"/>
              <w:left w:val="nil"/>
              <w:bottom w:val="single" w:sz="8" w:space="0" w:color="009649"/>
              <w:right w:val="nil"/>
            </w:tcBorders>
            <w:shd w:val="clear" w:color="auto" w:fill="FFFFFF"/>
          </w:tcPr>
          <w:p w:rsidR="00ED665B" w:rsidRPr="00907702" w:rsidRDefault="006C7D2F" w:rsidP="00DC2656">
            <w:pPr>
              <w:ind w:left="19" w:right="206"/>
              <w:rPr>
                <w:rFonts w:ascii="Calibri" w:hAnsi="Calibri" w:cs="Calibri"/>
              </w:rPr>
            </w:pPr>
            <w:r>
              <w:rPr>
                <w:rFonts w:ascii="Calibri" w:hAnsi="Calibri"/>
                <w:color w:val="000000"/>
              </w:rPr>
              <w:t xml:space="preserve">Мутації у ділянці гену </w:t>
            </w:r>
            <w:r w:rsidRPr="00FA1569">
              <w:rPr>
                <w:rFonts w:ascii="Calibri" w:hAnsi="Calibri"/>
                <w:i/>
                <w:color w:val="000000"/>
              </w:rPr>
              <w:t>rrs</w:t>
            </w:r>
            <w:r>
              <w:rPr>
                <w:rFonts w:ascii="Calibri" w:hAnsi="Calibri"/>
                <w:color w:val="000000"/>
              </w:rPr>
              <w:t xml:space="preserve">, що визначає резистентність, і ділянка промотору </w:t>
            </w:r>
            <w:r w:rsidRPr="00FA1569">
              <w:rPr>
                <w:rFonts w:ascii="Calibri" w:hAnsi="Calibri"/>
                <w:i/>
                <w:color w:val="000000"/>
              </w:rPr>
              <w:t>eis</w:t>
            </w:r>
          </w:p>
        </w:tc>
      </w:tr>
      <w:tr w:rsidR="00ED665B" w:rsidRPr="00907702" w:rsidTr="00E012D4">
        <w:trPr>
          <w:trHeight w:hRule="exact" w:val="662"/>
        </w:trPr>
        <w:tc>
          <w:tcPr>
            <w:tcW w:w="2045" w:type="dxa"/>
            <w:tcBorders>
              <w:top w:val="single" w:sz="8" w:space="0" w:color="009649"/>
              <w:left w:val="nil"/>
              <w:bottom w:val="single" w:sz="8" w:space="0" w:color="009649"/>
              <w:right w:val="nil"/>
            </w:tcBorders>
            <w:shd w:val="clear" w:color="auto" w:fill="FFFFFF"/>
          </w:tcPr>
          <w:p w:rsidR="00ED665B" w:rsidRPr="00FA1569" w:rsidRDefault="006C7D2F" w:rsidP="00DC2656">
            <w:pPr>
              <w:ind w:left="34" w:right="634"/>
              <w:rPr>
                <w:rFonts w:ascii="Calibri" w:hAnsi="Calibri" w:cs="Calibri"/>
                <w:b/>
              </w:rPr>
            </w:pPr>
            <w:r w:rsidRPr="00FA1569">
              <w:rPr>
                <w:rFonts w:ascii="Calibri" w:hAnsi="Calibri"/>
                <w:b/>
                <w:color w:val="000000"/>
              </w:rPr>
              <w:t>Резистентність до етамбутолу</w:t>
            </w:r>
          </w:p>
        </w:tc>
        <w:tc>
          <w:tcPr>
            <w:tcW w:w="3240" w:type="dxa"/>
            <w:tcBorders>
              <w:top w:val="single" w:sz="8" w:space="0" w:color="009649"/>
              <w:left w:val="nil"/>
              <w:bottom w:val="single" w:sz="8" w:space="0" w:color="009649"/>
              <w:right w:val="nil"/>
            </w:tcBorders>
            <w:shd w:val="clear" w:color="auto" w:fill="FFFFFF"/>
          </w:tcPr>
          <w:p w:rsidR="00ED665B" w:rsidRPr="00907702" w:rsidRDefault="006C7D2F" w:rsidP="00DC2656">
            <w:pPr>
              <w:ind w:left="19"/>
              <w:rPr>
                <w:rFonts w:ascii="Calibri" w:hAnsi="Calibri" w:cs="Calibri"/>
              </w:rPr>
            </w:pPr>
            <w:r>
              <w:rPr>
                <w:rFonts w:ascii="Calibri" w:hAnsi="Calibri"/>
                <w:color w:val="000000"/>
              </w:rPr>
              <w:t xml:space="preserve">Мутації гена </w:t>
            </w:r>
            <w:r w:rsidRPr="00FA1569">
              <w:rPr>
                <w:rFonts w:ascii="Calibri" w:hAnsi="Calibri"/>
                <w:i/>
                <w:color w:val="000000"/>
              </w:rPr>
              <w:t>embB</w:t>
            </w:r>
          </w:p>
        </w:tc>
        <w:tc>
          <w:tcPr>
            <w:tcW w:w="3792" w:type="dxa"/>
            <w:tcBorders>
              <w:top w:val="single" w:sz="8" w:space="0" w:color="009649"/>
              <w:left w:val="nil"/>
              <w:bottom w:val="single" w:sz="8" w:space="0" w:color="009649"/>
              <w:right w:val="nil"/>
            </w:tcBorders>
            <w:shd w:val="clear" w:color="auto" w:fill="FFFFFF"/>
          </w:tcPr>
          <w:p w:rsidR="00ED665B" w:rsidRPr="00907702" w:rsidRDefault="006C7D2F" w:rsidP="00DC2656">
            <w:pPr>
              <w:ind w:left="19"/>
              <w:rPr>
                <w:rFonts w:ascii="Calibri" w:hAnsi="Calibri" w:cs="Calibri"/>
              </w:rPr>
            </w:pPr>
            <w:r>
              <w:rPr>
                <w:rFonts w:ascii="Calibri" w:hAnsi="Calibri"/>
                <w:color w:val="000000"/>
              </w:rPr>
              <w:t>Не входить</w:t>
            </w:r>
          </w:p>
        </w:tc>
      </w:tr>
      <w:tr w:rsidR="00ED665B" w:rsidRPr="00907702" w:rsidTr="00FA1569">
        <w:trPr>
          <w:trHeight w:hRule="exact" w:val="442"/>
        </w:trPr>
        <w:tc>
          <w:tcPr>
            <w:tcW w:w="9077" w:type="dxa"/>
            <w:gridSpan w:val="3"/>
            <w:tcBorders>
              <w:top w:val="single" w:sz="8" w:space="0" w:color="009649"/>
              <w:left w:val="nil"/>
              <w:bottom w:val="nil"/>
              <w:right w:val="nil"/>
            </w:tcBorders>
            <w:shd w:val="clear" w:color="auto" w:fill="FFFFFF"/>
            <w:vAlign w:val="center"/>
          </w:tcPr>
          <w:p w:rsidR="00ED665B" w:rsidRPr="00907702" w:rsidRDefault="006C7D2F" w:rsidP="00FA1569">
            <w:pPr>
              <w:rPr>
                <w:rFonts w:ascii="Calibri" w:hAnsi="Calibri" w:cs="Calibri"/>
              </w:rPr>
            </w:pPr>
            <w:r>
              <w:rPr>
                <w:rFonts w:ascii="Calibri" w:hAnsi="Calibri"/>
                <w:color w:val="000000"/>
                <w:sz w:val="16"/>
              </w:rPr>
              <w:t xml:space="preserve">MTБК: Комплекс </w:t>
            </w:r>
            <w:r w:rsidRPr="00FA1569">
              <w:rPr>
                <w:rFonts w:ascii="Calibri" w:hAnsi="Calibri"/>
                <w:i/>
                <w:color w:val="000000"/>
                <w:sz w:val="16"/>
              </w:rPr>
              <w:t>Mycobacterium tuberculosis</w:t>
            </w:r>
            <w:r>
              <w:rPr>
                <w:rFonts w:ascii="Calibri" w:hAnsi="Calibri"/>
                <w:color w:val="000000"/>
                <w:sz w:val="16"/>
              </w:rPr>
              <w:t>; ІПДЛ: ін’єкційний препарат другої лінії.</w:t>
            </w:r>
          </w:p>
        </w:tc>
      </w:tr>
    </w:tbl>
    <w:p w:rsidR="00ED665B" w:rsidRPr="00907702" w:rsidRDefault="006C7D2F" w:rsidP="00DC2656">
      <w:pPr>
        <w:spacing w:before="278"/>
        <w:ind w:left="5" w:right="5"/>
        <w:jc w:val="both"/>
        <w:rPr>
          <w:rFonts w:ascii="Calibri" w:hAnsi="Calibri" w:cs="Calibri"/>
        </w:rPr>
      </w:pPr>
      <w:r>
        <w:rPr>
          <w:rFonts w:ascii="Calibri" w:hAnsi="Calibri"/>
          <w:color w:val="000000"/>
          <w:sz w:val="22"/>
        </w:rPr>
        <w:t>Необхідно більше даних, щоб краще зрозуміти співвідношення наявності певних мутацій, що надають резистентність до фторхінолону, з фенотипічною резистентністю до ТМЧ та з результатами пацієнта.</w:t>
      </w:r>
    </w:p>
    <w:p w:rsidR="00ED665B" w:rsidRPr="00907702" w:rsidRDefault="006C7D2F" w:rsidP="00DC2656">
      <w:pPr>
        <w:spacing w:before="168"/>
        <w:ind w:left="5"/>
        <w:jc w:val="both"/>
        <w:rPr>
          <w:rFonts w:ascii="Calibri" w:hAnsi="Calibri" w:cs="Calibri"/>
        </w:rPr>
      </w:pPr>
      <w:r>
        <w:rPr>
          <w:rFonts w:ascii="Calibri" w:hAnsi="Calibri"/>
          <w:sz w:val="22"/>
        </w:rPr>
        <w:t xml:space="preserve">На </w:t>
      </w:r>
      <w:r>
        <w:rPr>
          <w:rFonts w:ascii="Calibri" w:hAnsi="Calibri"/>
          <w:color w:val="1B61AF"/>
          <w:sz w:val="22"/>
        </w:rPr>
        <w:t>Рис. 2.3.6</w:t>
      </w:r>
      <w:r>
        <w:rPr>
          <w:rFonts w:ascii="Calibri" w:hAnsi="Calibri"/>
          <w:sz w:val="22"/>
        </w:rPr>
        <w:t xml:space="preserve"> показаний приклад MTBDR/ результатів для версій 1.0 та 2.0.</w:t>
      </w:r>
      <w:r>
        <w:rPr>
          <w:rFonts w:ascii="Calibri" w:hAnsi="Calibri"/>
          <w:color w:val="000000"/>
          <w:sz w:val="22"/>
        </w:rPr>
        <w:t xml:space="preserve"> Діапазон для виявлення MTBК (діапазон «TУБ»), а також два внутрішні елементи управління (кон’югати і контролі ампліфікації) та контроль для кожного локусу гена (версія 2.0: </w:t>
      </w:r>
      <w:r w:rsidRPr="00FA1569">
        <w:rPr>
          <w:rFonts w:ascii="Calibri" w:hAnsi="Calibri"/>
          <w:i/>
          <w:color w:val="000000"/>
          <w:sz w:val="22"/>
        </w:rPr>
        <w:t>gyrA</w:t>
      </w:r>
      <w:r>
        <w:rPr>
          <w:rFonts w:ascii="Calibri" w:hAnsi="Calibri"/>
          <w:color w:val="000000"/>
          <w:sz w:val="22"/>
        </w:rPr>
        <w:t xml:space="preserve">, </w:t>
      </w:r>
      <w:r w:rsidRPr="00FA1569">
        <w:rPr>
          <w:rFonts w:ascii="Calibri" w:hAnsi="Calibri"/>
          <w:i/>
          <w:color w:val="000000"/>
          <w:sz w:val="22"/>
        </w:rPr>
        <w:t>gyrB</w:t>
      </w:r>
      <w:r>
        <w:rPr>
          <w:rFonts w:ascii="Calibri" w:hAnsi="Calibri"/>
          <w:color w:val="000000"/>
          <w:sz w:val="22"/>
        </w:rPr>
        <w:t xml:space="preserve">, </w:t>
      </w:r>
      <w:r w:rsidRPr="00FA1569">
        <w:rPr>
          <w:rFonts w:ascii="Calibri" w:hAnsi="Calibri"/>
          <w:i/>
          <w:color w:val="000000"/>
          <w:sz w:val="22"/>
        </w:rPr>
        <w:t>rrs</w:t>
      </w:r>
      <w:r>
        <w:rPr>
          <w:rFonts w:ascii="Calibri" w:hAnsi="Calibri"/>
          <w:color w:val="000000"/>
          <w:sz w:val="22"/>
        </w:rPr>
        <w:t xml:space="preserve">, </w:t>
      </w:r>
      <w:r w:rsidRPr="00FA1569">
        <w:rPr>
          <w:rFonts w:ascii="Calibri" w:hAnsi="Calibri"/>
          <w:i/>
          <w:color w:val="000000"/>
          <w:sz w:val="22"/>
        </w:rPr>
        <w:t>eis</w:t>
      </w:r>
      <w:r>
        <w:rPr>
          <w:rFonts w:ascii="Calibri" w:hAnsi="Calibri"/>
          <w:color w:val="000000"/>
          <w:sz w:val="22"/>
        </w:rPr>
        <w:t>). Два внутрішні контролі плюс кожен контроль локусу гена повинні бути позитивними, інакше аналіз не може бути оцінений для цього конкретного препарату. Результат може бути невизначеним для одного локусу, але дійсним для іншого (на підставі невдалого генного контролю локусу).</w:t>
      </w:r>
    </w:p>
    <w:p w:rsidR="00ED665B" w:rsidRPr="00907702" w:rsidRDefault="00ED665B" w:rsidP="00DC2656">
      <w:pPr>
        <w:spacing w:before="168"/>
        <w:ind w:left="5"/>
        <w:jc w:val="both"/>
        <w:rPr>
          <w:rFonts w:ascii="Calibri" w:hAnsi="Calibri" w:cs="Calibri"/>
        </w:rPr>
        <w:sectPr w:rsidR="00ED665B" w:rsidRPr="00907702">
          <w:pgSz w:w="11904" w:h="16838"/>
          <w:pgMar w:top="1339" w:right="1416" w:bottom="5410" w:left="141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18"/>
        <w:gridCol w:w="1109"/>
        <w:gridCol w:w="3931"/>
        <w:gridCol w:w="1090"/>
        <w:gridCol w:w="2189"/>
      </w:tblGrid>
      <w:tr w:rsidR="00ED665B" w:rsidRPr="00E012D4" w:rsidTr="00E012D4">
        <w:trPr>
          <w:trHeight w:hRule="exact" w:val="643"/>
        </w:trPr>
        <w:tc>
          <w:tcPr>
            <w:tcW w:w="8837" w:type="dxa"/>
            <w:gridSpan w:val="5"/>
            <w:tcBorders>
              <w:top w:val="nil"/>
              <w:left w:val="nil"/>
              <w:right w:val="nil"/>
            </w:tcBorders>
            <w:shd w:val="clear" w:color="auto" w:fill="FFFFFF"/>
          </w:tcPr>
          <w:p w:rsidR="00ED665B" w:rsidRPr="00E012D4" w:rsidRDefault="006C7D2F" w:rsidP="00BE6F5B">
            <w:pPr>
              <w:rPr>
                <w:rFonts w:ascii="Calibri" w:hAnsi="Calibri" w:cs="Calibri"/>
                <w:b/>
                <w:bCs/>
              </w:rPr>
            </w:pPr>
            <w:bookmarkStart w:id="28" w:name="bookmark33"/>
            <w:r>
              <w:rPr>
                <w:rFonts w:ascii="Calibri" w:hAnsi="Calibri"/>
                <w:b/>
                <w:color w:val="000000"/>
                <w:sz w:val="22"/>
              </w:rPr>
              <w:lastRenderedPageBreak/>
              <w:t>Р</w:t>
            </w:r>
            <w:bookmarkEnd w:id="28"/>
            <w:r>
              <w:rPr>
                <w:rFonts w:ascii="Calibri" w:hAnsi="Calibri"/>
                <w:b/>
                <w:color w:val="000000"/>
                <w:sz w:val="22"/>
              </w:rPr>
              <w:t>ис. 2.3.6. Приклади інтерпретації різних показників GenoType MTBDR</w:t>
            </w:r>
            <w:r w:rsidR="00BE6F5B" w:rsidRPr="00BE6F5B">
              <w:rPr>
                <w:rFonts w:ascii="Calibri" w:hAnsi="Calibri"/>
                <w:b/>
                <w:i/>
                <w:color w:val="000000"/>
                <w:sz w:val="22"/>
                <w:lang w:val="en-US"/>
              </w:rPr>
              <w:t>sl</w:t>
            </w:r>
            <w:r>
              <w:rPr>
                <w:rFonts w:ascii="Calibri" w:hAnsi="Calibri"/>
                <w:b/>
                <w:color w:val="000000"/>
                <w:sz w:val="22"/>
              </w:rPr>
              <w:t>смужок</w:t>
            </w:r>
          </w:p>
        </w:tc>
      </w:tr>
      <w:tr w:rsidR="00ED665B" w:rsidRPr="00907702" w:rsidTr="00E012D4">
        <w:trPr>
          <w:trHeight w:hRule="exact" w:val="408"/>
        </w:trPr>
        <w:tc>
          <w:tcPr>
            <w:tcW w:w="518" w:type="dxa"/>
            <w:tcBorders>
              <w:top w:val="nil"/>
              <w:left w:val="nil"/>
              <w:right w:val="nil"/>
            </w:tcBorders>
            <w:shd w:val="clear" w:color="auto" w:fill="FFFFFF"/>
          </w:tcPr>
          <w:p w:rsidR="00ED665B" w:rsidRPr="00907702" w:rsidRDefault="00ED665B" w:rsidP="00DC2656">
            <w:pPr>
              <w:rPr>
                <w:rFonts w:ascii="Calibri" w:hAnsi="Calibri" w:cs="Calibri"/>
              </w:rPr>
            </w:pPr>
          </w:p>
        </w:tc>
        <w:tc>
          <w:tcPr>
            <w:tcW w:w="5040" w:type="dxa"/>
            <w:gridSpan w:val="2"/>
            <w:tcBorders>
              <w:top w:val="nil"/>
              <w:left w:val="nil"/>
              <w:right w:val="nil"/>
            </w:tcBorders>
            <w:shd w:val="clear" w:color="auto" w:fill="FFFFFF"/>
          </w:tcPr>
          <w:p w:rsidR="00ED665B" w:rsidRPr="00907702" w:rsidRDefault="006C7D2F" w:rsidP="00DC2656">
            <w:pPr>
              <w:rPr>
                <w:rFonts w:ascii="Calibri" w:hAnsi="Calibri" w:cs="Calibri"/>
              </w:rPr>
            </w:pPr>
            <w:r>
              <w:rPr>
                <w:rFonts w:ascii="Calibri" w:hAnsi="Calibri"/>
                <w:b/>
                <w:color w:val="0081BB"/>
                <w:sz w:val="22"/>
              </w:rPr>
              <w:t>Geno</w:t>
            </w:r>
            <w:r w:rsidRPr="00FA1569">
              <w:rPr>
                <w:rFonts w:ascii="Calibri" w:hAnsi="Calibri"/>
                <w:color w:val="0081BB"/>
                <w:sz w:val="22"/>
              </w:rPr>
              <w:t>Type</w:t>
            </w:r>
            <w:r>
              <w:rPr>
                <w:rFonts w:ascii="Calibri" w:hAnsi="Calibri"/>
                <w:b/>
                <w:color w:val="0081BB"/>
                <w:sz w:val="22"/>
              </w:rPr>
              <w:t xml:space="preserve"> MTBDR</w:t>
            </w:r>
            <w:r w:rsidR="00FA1569" w:rsidRPr="00FA1569">
              <w:rPr>
                <w:rFonts w:ascii="Calibri" w:hAnsi="Calibri"/>
                <w:b/>
                <w:i/>
                <w:color w:val="0081BB"/>
                <w:sz w:val="22"/>
                <w:lang w:val="en-US"/>
              </w:rPr>
              <w:t>sl</w:t>
            </w:r>
            <w:r w:rsidR="00FA1569">
              <w:rPr>
                <w:rFonts w:ascii="Calibri" w:hAnsi="Calibri"/>
                <w:b/>
                <w:color w:val="0081BB"/>
                <w:sz w:val="22"/>
              </w:rPr>
              <w:t xml:space="preserve"> </w:t>
            </w:r>
            <w:r>
              <w:rPr>
                <w:rFonts w:ascii="Calibri" w:hAnsi="Calibri"/>
                <w:color w:val="0081BB"/>
                <w:sz w:val="22"/>
              </w:rPr>
              <w:t>Вер. 1.0</w:t>
            </w:r>
          </w:p>
        </w:tc>
        <w:tc>
          <w:tcPr>
            <w:tcW w:w="3279" w:type="dxa"/>
            <w:gridSpan w:val="2"/>
            <w:tcBorders>
              <w:top w:val="nil"/>
              <w:left w:val="nil"/>
              <w:right w:val="nil"/>
            </w:tcBorders>
            <w:shd w:val="clear" w:color="auto" w:fill="FFFFFF"/>
          </w:tcPr>
          <w:p w:rsidR="00ED665B" w:rsidRPr="00907702" w:rsidRDefault="006C7D2F" w:rsidP="00DC2656">
            <w:pPr>
              <w:rPr>
                <w:rFonts w:ascii="Calibri" w:hAnsi="Calibri" w:cs="Calibri"/>
              </w:rPr>
            </w:pPr>
            <w:r>
              <w:rPr>
                <w:rFonts w:ascii="Calibri" w:hAnsi="Calibri"/>
                <w:b/>
                <w:color w:val="0081BB"/>
                <w:sz w:val="22"/>
              </w:rPr>
              <w:t>Geno</w:t>
            </w:r>
            <w:r w:rsidRPr="00FA1569">
              <w:rPr>
                <w:rFonts w:ascii="Calibri" w:hAnsi="Calibri"/>
                <w:color w:val="0081BB"/>
                <w:sz w:val="22"/>
              </w:rPr>
              <w:t>Type</w:t>
            </w:r>
            <w:r>
              <w:rPr>
                <w:rFonts w:ascii="Calibri" w:hAnsi="Calibri"/>
                <w:b/>
                <w:color w:val="0081BB"/>
                <w:sz w:val="22"/>
              </w:rPr>
              <w:t xml:space="preserve"> MTBDR</w:t>
            </w:r>
            <w:r w:rsidR="00FA1569" w:rsidRPr="00FA1569">
              <w:rPr>
                <w:rFonts w:ascii="Calibri" w:hAnsi="Calibri"/>
                <w:b/>
                <w:i/>
                <w:color w:val="0081BB"/>
                <w:sz w:val="22"/>
                <w:lang w:val="en-US"/>
              </w:rPr>
              <w:t>sl</w:t>
            </w:r>
            <w:r w:rsidR="00FA1569">
              <w:rPr>
                <w:rFonts w:ascii="Calibri" w:hAnsi="Calibri"/>
                <w:b/>
                <w:color w:val="0081BB"/>
                <w:sz w:val="22"/>
              </w:rPr>
              <w:t xml:space="preserve"> </w:t>
            </w:r>
            <w:r>
              <w:rPr>
                <w:rFonts w:ascii="Calibri" w:hAnsi="Calibri"/>
                <w:color w:val="0081BB"/>
                <w:sz w:val="22"/>
              </w:rPr>
              <w:t>Вер. 2.0</w:t>
            </w:r>
          </w:p>
        </w:tc>
      </w:tr>
      <w:tr w:rsidR="00ED665B" w:rsidRPr="00907702" w:rsidTr="00E012D4">
        <w:trPr>
          <w:trHeight w:hRule="exact" w:val="221"/>
        </w:trPr>
        <w:tc>
          <w:tcPr>
            <w:tcW w:w="518" w:type="dxa"/>
            <w:tcBorders>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val="restart"/>
            <w:tcBorders>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707390" cy="2727325"/>
                  <wp:effectExtent l="0" t="0" r="0" b="0"/>
                  <wp:docPr id="216"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07390" cy="2727325"/>
                          </a:xfrm>
                          <a:prstGeom prst="rect">
                            <a:avLst/>
                          </a:prstGeom>
                          <a:noFill/>
                          <a:ln>
                            <a:noFill/>
                          </a:ln>
                        </pic:spPr>
                      </pic:pic>
                    </a:graphicData>
                  </a:graphic>
                </wp:inline>
              </w:drawing>
            </w:r>
          </w:p>
        </w:tc>
        <w:tc>
          <w:tcPr>
            <w:tcW w:w="3931" w:type="dxa"/>
            <w:tcBorders>
              <w:left w:val="nil"/>
              <w:bottom w:val="nil"/>
              <w:right w:val="nil"/>
            </w:tcBorders>
            <w:shd w:val="clear" w:color="auto" w:fill="FFFFFF"/>
          </w:tcPr>
          <w:p w:rsidR="00ED665B" w:rsidRPr="00907702" w:rsidRDefault="00ED665B" w:rsidP="00DC2656">
            <w:pPr>
              <w:rPr>
                <w:rFonts w:ascii="Calibri" w:hAnsi="Calibri" w:cs="Calibri"/>
              </w:rPr>
            </w:pPr>
          </w:p>
        </w:tc>
        <w:tc>
          <w:tcPr>
            <w:tcW w:w="1090" w:type="dxa"/>
            <w:vMerge w:val="restart"/>
            <w:tcBorders>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691515" cy="3172460"/>
                  <wp:effectExtent l="0" t="0" r="0" b="0"/>
                  <wp:docPr id="217"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91515" cy="3172460"/>
                          </a:xfrm>
                          <a:prstGeom prst="rect">
                            <a:avLst/>
                          </a:prstGeom>
                          <a:noFill/>
                          <a:ln>
                            <a:noFill/>
                          </a:ln>
                        </pic:spPr>
                      </pic:pic>
                    </a:graphicData>
                  </a:graphic>
                </wp:inline>
              </w:drawing>
            </w:r>
          </w:p>
        </w:tc>
        <w:tc>
          <w:tcPr>
            <w:tcW w:w="2189" w:type="dxa"/>
            <w:tcBorders>
              <w:left w:val="nil"/>
              <w:bottom w:val="nil"/>
              <w:right w:val="nil"/>
            </w:tcBorders>
            <w:shd w:val="clear" w:color="auto" w:fill="FFFFFF"/>
          </w:tcPr>
          <w:p w:rsidR="00ED665B" w:rsidRPr="00907702" w:rsidRDefault="00ED665B" w:rsidP="00DC2656">
            <w:pPr>
              <w:rPr>
                <w:rFonts w:ascii="Calibri" w:hAnsi="Calibri" w:cs="Calibri"/>
              </w:rPr>
            </w:pPr>
          </w:p>
        </w:tc>
      </w:tr>
      <w:tr w:rsidR="00ED665B" w:rsidRPr="00907702">
        <w:trPr>
          <w:trHeight w:hRule="exact" w:val="13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0"/>
              </w:rPr>
              <w:t xml:space="preserve">Контроль кон’югації </w:t>
            </w:r>
            <w:r w:rsidRPr="00FA1569">
              <w:rPr>
                <w:rFonts w:ascii="Calibri" w:hAnsi="Calibri"/>
                <w:color w:val="000000"/>
                <w:sz w:val="10"/>
              </w:rPr>
              <w:t>(</w:t>
            </w:r>
            <w:r>
              <w:rPr>
                <w:rFonts w:ascii="Calibri" w:hAnsi="Calibri"/>
                <w:color w:val="000000"/>
                <w:sz w:val="10"/>
              </w:rPr>
              <w:t>CC)</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0"/>
              </w:rPr>
              <w:t>Контроль кон’югації (CC)</w:t>
            </w:r>
          </w:p>
        </w:tc>
      </w:tr>
      <w:tr w:rsidR="00ED665B" w:rsidRPr="00907702">
        <w:trPr>
          <w:trHeight w:hRule="exact" w:val="134"/>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0"/>
              </w:rPr>
              <w:t>Контроль ампліфікації (AC)</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0"/>
              </w:rPr>
              <w:t>Контроль ампліфікації (AC)</w:t>
            </w:r>
          </w:p>
        </w:tc>
      </w:tr>
      <w:tr w:rsidR="00ED665B" w:rsidRPr="00907702">
        <w:trPr>
          <w:trHeight w:hRule="exact" w:val="125"/>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0"/>
              </w:rPr>
              <w:t xml:space="preserve">Комплекс </w:t>
            </w:r>
            <w:r>
              <w:rPr>
                <w:rFonts w:ascii="Calibri" w:hAnsi="Calibri"/>
                <w:i/>
                <w:color w:val="000000"/>
                <w:sz w:val="10"/>
              </w:rPr>
              <w:t>M. Tuberculosis</w:t>
            </w:r>
            <w:r>
              <w:rPr>
                <w:rFonts w:ascii="Calibri" w:hAnsi="Calibri"/>
                <w:color w:val="000000"/>
                <w:sz w:val="10"/>
              </w:rPr>
              <w:t xml:space="preserve"> (ТУБ)</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0"/>
              </w:rPr>
              <w:t xml:space="preserve">Комплекс </w:t>
            </w:r>
            <w:r>
              <w:rPr>
                <w:rFonts w:ascii="Calibri" w:hAnsi="Calibri"/>
                <w:i/>
                <w:color w:val="000000"/>
                <w:sz w:val="10"/>
              </w:rPr>
              <w:t>M. Tuberculosis</w:t>
            </w:r>
            <w:r>
              <w:rPr>
                <w:rFonts w:ascii="Calibri" w:hAnsi="Calibri"/>
                <w:color w:val="000000"/>
                <w:sz w:val="10"/>
              </w:rPr>
              <w:t xml:space="preserve"> (ТУБ)</w:t>
            </w:r>
          </w:p>
        </w:tc>
      </w:tr>
      <w:tr w:rsidR="00ED665B" w:rsidRPr="00907702">
        <w:trPr>
          <w:trHeight w:hRule="exact" w:val="14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r>
      <w:tr w:rsidR="00ED665B" w:rsidRPr="00907702">
        <w:trPr>
          <w:trHeight w:hRule="exact" w:val="13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 xml:space="preserve">локусний контроль </w:t>
            </w:r>
            <w:r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 xml:space="preserve">локусний контроль </w:t>
            </w:r>
            <w:r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w:t>
            </w:r>
          </w:p>
        </w:tc>
      </w:tr>
      <w:tr w:rsidR="00ED665B" w:rsidRPr="00907702">
        <w:trPr>
          <w:trHeight w:hRule="exact" w:val="144"/>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 xml:space="preserve">дикого типу зонд 1 </w:t>
            </w:r>
            <w:r w:rsidR="00FA1569"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ДТ1)</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 xml:space="preserve">дикого типу зонд 1 </w:t>
            </w:r>
            <w:r w:rsidR="00FA1569"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 xml:space="preserve"> ДТ1)</w:t>
            </w:r>
          </w:p>
        </w:tc>
      </w:tr>
      <w:tr w:rsidR="00ED665B" w:rsidRPr="00907702">
        <w:trPr>
          <w:trHeight w:hRule="exact" w:val="144"/>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 xml:space="preserve">дикого типу зонд 2 </w:t>
            </w:r>
            <w:r w:rsidR="00FA1569"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ДТ2)</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 xml:space="preserve">дикого типу зонд 2 </w:t>
            </w:r>
            <w:r w:rsidR="00FA1569"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ДТ2)</w:t>
            </w:r>
          </w:p>
        </w:tc>
      </w:tr>
      <w:tr w:rsidR="00ED665B" w:rsidRPr="00907702">
        <w:trPr>
          <w:trHeight w:hRule="exact" w:val="13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 xml:space="preserve">дикого типу зонд 3 </w:t>
            </w:r>
            <w:r w:rsidR="00FA1569"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ДТ3)</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 xml:space="preserve">дикого типу зонд 3 </w:t>
            </w:r>
            <w:r w:rsidR="00FA1569"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ДТ3)</w:t>
            </w:r>
          </w:p>
        </w:tc>
      </w:tr>
      <w:tr w:rsidR="00ED665B" w:rsidRPr="00907702">
        <w:trPr>
          <w:trHeight w:hRule="exact" w:val="13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мутаційний зонд 1 (</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МУТ1)</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мутаційний зонд 1 (</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МУТ1)</w:t>
            </w:r>
          </w:p>
        </w:tc>
      </w:tr>
      <w:tr w:rsidR="00ED665B" w:rsidRPr="00907702">
        <w:trPr>
          <w:trHeight w:hRule="exact" w:val="13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 xml:space="preserve">мутаційний зонд 2 </w:t>
            </w:r>
            <w:r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МУТ2)</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 xml:space="preserve">мутаційний зонд 2 </w:t>
            </w:r>
            <w:r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МУТ2)</w:t>
            </w:r>
          </w:p>
        </w:tc>
      </w:tr>
      <w:tr w:rsidR="00ED665B" w:rsidRPr="00907702">
        <w:trPr>
          <w:trHeight w:hRule="exact" w:val="144"/>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 xml:space="preserve">мутаційний зонд 3А </w:t>
            </w:r>
            <w:r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МУТ3А)</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 xml:space="preserve">мутаційний зонд 3А </w:t>
            </w:r>
            <w:r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МУТ3А)</w:t>
            </w:r>
          </w:p>
        </w:tc>
      </w:tr>
      <w:tr w:rsidR="00ED665B" w:rsidRPr="00907702">
        <w:trPr>
          <w:trHeight w:hRule="exact" w:val="13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i/>
                <w:color w:val="000000"/>
                <w:sz w:val="10"/>
              </w:rPr>
              <w:t>gy</w:t>
            </w:r>
            <w:r w:rsidR="00FA1569">
              <w:rPr>
                <w:rFonts w:ascii="Calibri" w:hAnsi="Calibri"/>
                <w:i/>
                <w:color w:val="000000"/>
                <w:sz w:val="10"/>
                <w:lang w:val="en-US"/>
              </w:rPr>
              <w:t>r</w:t>
            </w:r>
            <w:r>
              <w:rPr>
                <w:rFonts w:ascii="Calibri" w:hAnsi="Calibri"/>
                <w:i/>
                <w:color w:val="000000"/>
                <w:sz w:val="10"/>
              </w:rPr>
              <w:t xml:space="preserve">А </w:t>
            </w:r>
            <w:r>
              <w:rPr>
                <w:rFonts w:ascii="Calibri" w:hAnsi="Calibri"/>
                <w:color w:val="000000"/>
                <w:sz w:val="10"/>
              </w:rPr>
              <w:t xml:space="preserve">мутаційний зонд 3В </w:t>
            </w:r>
            <w:r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МУТ3В)</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i/>
                <w:color w:val="000000"/>
                <w:sz w:val="10"/>
              </w:rPr>
              <w:t>gy</w:t>
            </w:r>
            <w:r w:rsidR="00FA1569">
              <w:rPr>
                <w:rFonts w:ascii="Calibri" w:hAnsi="Calibri"/>
                <w:i/>
                <w:color w:val="000000"/>
                <w:sz w:val="10"/>
                <w:lang w:val="en-US"/>
              </w:rPr>
              <w:t>r</w:t>
            </w:r>
            <w:r>
              <w:rPr>
                <w:rFonts w:ascii="Calibri" w:hAnsi="Calibri"/>
                <w:i/>
                <w:color w:val="000000"/>
                <w:sz w:val="10"/>
              </w:rPr>
              <w:t xml:space="preserve">А </w:t>
            </w:r>
            <w:r>
              <w:rPr>
                <w:rFonts w:ascii="Calibri" w:hAnsi="Calibri"/>
                <w:color w:val="000000"/>
                <w:sz w:val="10"/>
              </w:rPr>
              <w:t xml:space="preserve">мутаційний зонд 3В </w:t>
            </w:r>
            <w:r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МУТ3В)</w:t>
            </w:r>
          </w:p>
        </w:tc>
      </w:tr>
      <w:tr w:rsidR="00ED665B" w:rsidRPr="00907702">
        <w:trPr>
          <w:trHeight w:hRule="exact" w:val="144"/>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i/>
                <w:color w:val="000000"/>
                <w:sz w:val="10"/>
              </w:rPr>
              <w:t xml:space="preserve">gyrА </w:t>
            </w:r>
            <w:r>
              <w:rPr>
                <w:rFonts w:ascii="Calibri" w:hAnsi="Calibri"/>
                <w:color w:val="000000"/>
                <w:sz w:val="10"/>
              </w:rPr>
              <w:t xml:space="preserve">мутаційний зонд 3С </w:t>
            </w:r>
            <w:r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МУТ3С)</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i/>
                <w:color w:val="000000"/>
                <w:sz w:val="10"/>
              </w:rPr>
              <w:t xml:space="preserve">gyrА </w:t>
            </w:r>
            <w:r>
              <w:rPr>
                <w:rFonts w:ascii="Calibri" w:hAnsi="Calibri"/>
                <w:color w:val="000000"/>
                <w:sz w:val="10"/>
              </w:rPr>
              <w:t xml:space="preserve">мутаційний зонд 3С </w:t>
            </w:r>
            <w:r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МУТ3С)</w:t>
            </w:r>
          </w:p>
        </w:tc>
      </w:tr>
      <w:tr w:rsidR="00ED665B" w:rsidRPr="00907702">
        <w:trPr>
          <w:trHeight w:hRule="exact" w:val="14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i/>
                <w:color w:val="000000"/>
                <w:sz w:val="10"/>
              </w:rPr>
              <w:t xml:space="preserve">gyrА </w:t>
            </w:r>
            <w:r>
              <w:rPr>
                <w:rFonts w:ascii="Calibri" w:hAnsi="Calibri"/>
                <w:color w:val="000000"/>
                <w:sz w:val="10"/>
              </w:rPr>
              <w:t xml:space="preserve">мутаційний зонд 3D </w:t>
            </w:r>
            <w:r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МУТ3D)</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i/>
                <w:color w:val="000000"/>
                <w:sz w:val="10"/>
              </w:rPr>
              <w:t xml:space="preserve">gyrА </w:t>
            </w:r>
            <w:r>
              <w:rPr>
                <w:rFonts w:ascii="Calibri" w:hAnsi="Calibri"/>
                <w:color w:val="000000"/>
                <w:sz w:val="10"/>
              </w:rPr>
              <w:t xml:space="preserve">мутаційний зонд 3D </w:t>
            </w:r>
            <w:r w:rsidRPr="00FA1569">
              <w:rPr>
                <w:rFonts w:ascii="Calibri" w:hAnsi="Calibri"/>
                <w:color w:val="000000"/>
                <w:sz w:val="10"/>
              </w:rPr>
              <w:t>(</w:t>
            </w:r>
            <w:r w:rsidRPr="00FA1569">
              <w:rPr>
                <w:rFonts w:ascii="Calibri" w:hAnsi="Calibri"/>
                <w:i/>
                <w:color w:val="000000"/>
                <w:sz w:val="10"/>
              </w:rPr>
              <w:t>gyrA</w:t>
            </w:r>
            <w:r>
              <w:rPr>
                <w:rFonts w:ascii="Calibri" w:hAnsi="Calibri"/>
                <w:i/>
                <w:color w:val="000000"/>
                <w:sz w:val="10"/>
              </w:rPr>
              <w:t xml:space="preserve"> </w:t>
            </w:r>
            <w:r>
              <w:rPr>
                <w:rFonts w:ascii="Calibri" w:hAnsi="Calibri"/>
                <w:color w:val="000000"/>
                <w:sz w:val="10"/>
              </w:rPr>
              <w:t>МУТ3D)</w:t>
            </w:r>
          </w:p>
        </w:tc>
      </w:tr>
      <w:tr w:rsidR="00ED665B" w:rsidRPr="00907702">
        <w:trPr>
          <w:trHeight w:hRule="exact" w:val="120"/>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r>
      <w:tr w:rsidR="00ED665B" w:rsidRPr="00907702">
        <w:trPr>
          <w:trHeight w:hRule="exact" w:val="14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FA1569" w:rsidRDefault="006C7D2F" w:rsidP="00FA1569">
            <w:pPr>
              <w:rPr>
                <w:rFonts w:ascii="Calibri" w:hAnsi="Calibri" w:cs="Calibri"/>
                <w:lang w:val="en-US"/>
              </w:rPr>
            </w:pP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 xml:space="preserve">локусний контроль </w:t>
            </w:r>
            <w:r w:rsidR="00FA1569">
              <w:rPr>
                <w:rFonts w:ascii="Calibri" w:hAnsi="Calibri"/>
                <w:i/>
                <w:color w:val="000000"/>
                <w:sz w:val="10"/>
                <w:lang w:val="en-US"/>
              </w:rPr>
              <w:t>(</w:t>
            </w:r>
            <w:r w:rsidRPr="00FA1569">
              <w:rPr>
                <w:rFonts w:ascii="Calibri" w:hAnsi="Calibri"/>
                <w:i/>
                <w:color w:val="000000"/>
                <w:sz w:val="10"/>
              </w:rPr>
              <w:t>rrs</w:t>
            </w:r>
            <w:r w:rsidR="00FA1569">
              <w:rPr>
                <w:rFonts w:ascii="Calibri" w:hAnsi="Calibri"/>
                <w:i/>
                <w:color w:val="000000"/>
                <w:sz w:val="10"/>
                <w:lang w:val="en-US"/>
              </w:rPr>
              <w:t>)</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FA1569" w:rsidRDefault="006C7D2F" w:rsidP="00FA1569">
            <w:pPr>
              <w:rPr>
                <w:rFonts w:ascii="Calibri" w:hAnsi="Calibri" w:cs="Calibri"/>
                <w:lang w:val="en-US"/>
              </w:rPr>
            </w:pPr>
            <w:r w:rsidRPr="00FA1569">
              <w:rPr>
                <w:rFonts w:ascii="Calibri" w:hAnsi="Calibri"/>
                <w:i/>
                <w:color w:val="ED1D24"/>
                <w:sz w:val="10"/>
              </w:rPr>
              <w:t>gyrB</w:t>
            </w:r>
            <w:r>
              <w:rPr>
                <w:rFonts w:ascii="Calibri" w:hAnsi="Calibri"/>
                <w:i/>
                <w:color w:val="ED1D24"/>
                <w:sz w:val="10"/>
              </w:rPr>
              <w:t xml:space="preserve"> </w:t>
            </w:r>
            <w:r>
              <w:rPr>
                <w:rFonts w:ascii="Calibri" w:hAnsi="Calibri"/>
                <w:color w:val="ED1D24"/>
                <w:sz w:val="10"/>
              </w:rPr>
              <w:t xml:space="preserve">локусний контроль </w:t>
            </w:r>
            <w:r w:rsidR="00FA1569" w:rsidRPr="00FA1569">
              <w:rPr>
                <w:rFonts w:ascii="Calibri" w:hAnsi="Calibri"/>
                <w:color w:val="ED1D24"/>
                <w:sz w:val="10"/>
                <w:lang w:val="en-US"/>
              </w:rPr>
              <w:t>(</w:t>
            </w:r>
            <w:r w:rsidRPr="00FA1569">
              <w:rPr>
                <w:rFonts w:ascii="Calibri" w:hAnsi="Calibri"/>
                <w:i/>
                <w:color w:val="ED1D24"/>
                <w:sz w:val="10"/>
              </w:rPr>
              <w:t>gyrB</w:t>
            </w:r>
            <w:r w:rsidR="00FA1569" w:rsidRPr="00FA1569">
              <w:rPr>
                <w:rFonts w:ascii="Calibri" w:hAnsi="Calibri"/>
                <w:color w:val="ED1D24"/>
                <w:sz w:val="10"/>
                <w:lang w:val="en-US"/>
              </w:rPr>
              <w:t>)</w:t>
            </w:r>
          </w:p>
        </w:tc>
      </w:tr>
      <w:tr w:rsidR="00ED665B" w:rsidRPr="00907702">
        <w:trPr>
          <w:trHeight w:hRule="exact" w:val="14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 xml:space="preserve">дикого типу зонд 1 </w:t>
            </w:r>
            <w:r w:rsidRPr="00FA1569">
              <w:rPr>
                <w:rFonts w:ascii="Calibri" w:hAnsi="Calibri"/>
                <w:color w:val="000000"/>
                <w:sz w:val="10"/>
              </w:rPr>
              <w:t>(</w:t>
            </w: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ДТ1)</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FA1569">
            <w:pPr>
              <w:rPr>
                <w:rFonts w:ascii="Calibri" w:hAnsi="Calibri" w:cs="Calibri"/>
              </w:rPr>
            </w:pPr>
            <w:r>
              <w:rPr>
                <w:rFonts w:ascii="Calibri" w:hAnsi="Calibri"/>
                <w:i/>
                <w:color w:val="ED1D24"/>
                <w:sz w:val="10"/>
              </w:rPr>
              <w:t>gyr</w:t>
            </w:r>
            <w:r w:rsidR="00FA1569" w:rsidRPr="00FA1569">
              <w:rPr>
                <w:rFonts w:ascii="Calibri" w:hAnsi="Calibri"/>
                <w:i/>
                <w:color w:val="ED1D24"/>
                <w:sz w:val="10"/>
                <w:lang w:val="en-US"/>
              </w:rPr>
              <w:t>B</w:t>
            </w:r>
            <w:r>
              <w:rPr>
                <w:rFonts w:ascii="Calibri" w:hAnsi="Calibri"/>
                <w:color w:val="ED1D24"/>
                <w:sz w:val="10"/>
              </w:rPr>
              <w:t xml:space="preserve"> дикого типу зонд 1 </w:t>
            </w:r>
            <w:r w:rsidRPr="00FA1569">
              <w:rPr>
                <w:rFonts w:ascii="Calibri" w:hAnsi="Calibri"/>
                <w:color w:val="ED1D24"/>
                <w:sz w:val="10"/>
              </w:rPr>
              <w:t>(</w:t>
            </w:r>
            <w:r w:rsidRPr="00FA1569">
              <w:rPr>
                <w:rFonts w:ascii="Calibri" w:hAnsi="Calibri"/>
                <w:i/>
                <w:color w:val="ED1D24"/>
                <w:sz w:val="10"/>
              </w:rPr>
              <w:t>gyrB</w:t>
            </w:r>
            <w:r>
              <w:rPr>
                <w:rFonts w:ascii="Calibri" w:hAnsi="Calibri"/>
                <w:i/>
                <w:color w:val="ED1D24"/>
                <w:sz w:val="10"/>
              </w:rPr>
              <w:t xml:space="preserve"> </w:t>
            </w:r>
            <w:r>
              <w:rPr>
                <w:rFonts w:ascii="Calibri" w:hAnsi="Calibri"/>
                <w:color w:val="ED1D24"/>
                <w:sz w:val="10"/>
              </w:rPr>
              <w:t>ДТ1)</w:t>
            </w:r>
          </w:p>
        </w:tc>
      </w:tr>
      <w:tr w:rsidR="00ED665B" w:rsidRPr="00B92A7A">
        <w:trPr>
          <w:trHeight w:hRule="exact" w:val="13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 xml:space="preserve">дикого типу зонд 2 </w:t>
            </w:r>
            <w:r w:rsidRPr="00FA1569">
              <w:rPr>
                <w:rFonts w:ascii="Calibri" w:hAnsi="Calibri"/>
                <w:color w:val="000000"/>
                <w:sz w:val="10"/>
              </w:rPr>
              <w:t>(</w:t>
            </w: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ДТ2)</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ED1D24"/>
                <w:sz w:val="10"/>
              </w:rPr>
              <w:t>gyrB</w:t>
            </w:r>
            <w:r>
              <w:rPr>
                <w:rFonts w:ascii="Calibri" w:hAnsi="Calibri"/>
                <w:i/>
                <w:color w:val="ED1D24"/>
                <w:sz w:val="10"/>
              </w:rPr>
              <w:t xml:space="preserve"> </w:t>
            </w:r>
            <w:r>
              <w:rPr>
                <w:rFonts w:ascii="Calibri" w:hAnsi="Calibri"/>
                <w:color w:val="ED1D24"/>
                <w:sz w:val="10"/>
              </w:rPr>
              <w:t xml:space="preserve">мутаційний зонд 1 </w:t>
            </w:r>
            <w:r w:rsidR="00FA1569" w:rsidRPr="00FA1569">
              <w:rPr>
                <w:rFonts w:ascii="Calibri" w:hAnsi="Calibri"/>
                <w:color w:val="ED1D24"/>
                <w:sz w:val="10"/>
              </w:rPr>
              <w:t>(</w:t>
            </w:r>
            <w:r w:rsidRPr="00FA1569">
              <w:rPr>
                <w:rFonts w:ascii="Calibri" w:hAnsi="Calibri"/>
                <w:i/>
                <w:color w:val="ED1D24"/>
                <w:sz w:val="10"/>
              </w:rPr>
              <w:t>gyrB</w:t>
            </w:r>
            <w:r>
              <w:rPr>
                <w:rFonts w:ascii="Calibri" w:hAnsi="Calibri"/>
                <w:i/>
                <w:color w:val="ED1D24"/>
                <w:sz w:val="10"/>
              </w:rPr>
              <w:t xml:space="preserve"> </w:t>
            </w:r>
            <w:r>
              <w:rPr>
                <w:rFonts w:ascii="Calibri" w:hAnsi="Calibri"/>
                <w:color w:val="ED1D24"/>
                <w:sz w:val="10"/>
              </w:rPr>
              <w:t>МУТ1)</w:t>
            </w:r>
          </w:p>
        </w:tc>
      </w:tr>
      <w:tr w:rsidR="00ED665B" w:rsidRPr="00B92A7A">
        <w:trPr>
          <w:trHeight w:hRule="exact" w:val="144"/>
        </w:trPr>
        <w:tc>
          <w:tcPr>
            <w:tcW w:w="518" w:type="dxa"/>
            <w:tcBorders>
              <w:top w:val="nil"/>
              <w:left w:val="nil"/>
              <w:bottom w:val="nil"/>
              <w:right w:val="nil"/>
            </w:tcBorders>
            <w:shd w:val="clear" w:color="auto" w:fill="FFFFFF"/>
          </w:tcPr>
          <w:p w:rsidR="00ED665B" w:rsidRPr="00A06243"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A06243" w:rsidRDefault="00ED665B" w:rsidP="00DC2656">
            <w:pPr>
              <w:rPr>
                <w:rFonts w:ascii="Calibri" w:hAnsi="Calibri" w:cs="Calibri"/>
              </w:rPr>
            </w:pPr>
          </w:p>
          <w:p w:rsidR="00ED665B" w:rsidRPr="00A06243"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 xml:space="preserve">мутаційний зонд 1 </w:t>
            </w:r>
            <w:r w:rsidRPr="00FA1569">
              <w:rPr>
                <w:rFonts w:ascii="Calibri" w:hAnsi="Calibri"/>
                <w:color w:val="000000"/>
                <w:sz w:val="10"/>
              </w:rPr>
              <w:t>(</w:t>
            </w: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МУТ1)</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ED1D24"/>
                <w:sz w:val="10"/>
              </w:rPr>
              <w:t>gyrB</w:t>
            </w:r>
            <w:r>
              <w:rPr>
                <w:rFonts w:ascii="Calibri" w:hAnsi="Calibri"/>
                <w:i/>
                <w:color w:val="ED1D24"/>
                <w:sz w:val="10"/>
              </w:rPr>
              <w:t xml:space="preserve"> </w:t>
            </w:r>
            <w:r>
              <w:rPr>
                <w:rFonts w:ascii="Calibri" w:hAnsi="Calibri"/>
                <w:color w:val="ED1D24"/>
                <w:sz w:val="10"/>
              </w:rPr>
              <w:t xml:space="preserve">мутаційний зонд 2 </w:t>
            </w:r>
            <w:r w:rsidR="00FA1569" w:rsidRPr="00FA1569">
              <w:rPr>
                <w:rFonts w:ascii="Calibri" w:hAnsi="Calibri"/>
                <w:color w:val="ED1D24"/>
                <w:sz w:val="10"/>
              </w:rPr>
              <w:t>(</w:t>
            </w:r>
            <w:r w:rsidRPr="00FA1569">
              <w:rPr>
                <w:rFonts w:ascii="Calibri" w:hAnsi="Calibri"/>
                <w:i/>
                <w:color w:val="ED1D24"/>
                <w:sz w:val="10"/>
              </w:rPr>
              <w:t>gyrB</w:t>
            </w:r>
            <w:r>
              <w:rPr>
                <w:rFonts w:ascii="Calibri" w:hAnsi="Calibri"/>
                <w:i/>
                <w:color w:val="ED1D24"/>
                <w:sz w:val="10"/>
              </w:rPr>
              <w:t xml:space="preserve"> </w:t>
            </w:r>
            <w:r>
              <w:rPr>
                <w:rFonts w:ascii="Calibri" w:hAnsi="Calibri"/>
                <w:color w:val="ED1D24"/>
                <w:sz w:val="10"/>
              </w:rPr>
              <w:t>МУТ2)</w:t>
            </w:r>
          </w:p>
        </w:tc>
      </w:tr>
      <w:tr w:rsidR="00ED665B" w:rsidRPr="00907702">
        <w:trPr>
          <w:trHeight w:hRule="exact" w:val="130"/>
        </w:trPr>
        <w:tc>
          <w:tcPr>
            <w:tcW w:w="518" w:type="dxa"/>
            <w:tcBorders>
              <w:top w:val="nil"/>
              <w:left w:val="nil"/>
              <w:bottom w:val="nil"/>
              <w:right w:val="nil"/>
            </w:tcBorders>
            <w:shd w:val="clear" w:color="auto" w:fill="FFFFFF"/>
          </w:tcPr>
          <w:p w:rsidR="00ED665B" w:rsidRPr="00A06243"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A06243" w:rsidRDefault="00ED665B" w:rsidP="00DC2656">
            <w:pPr>
              <w:rPr>
                <w:rFonts w:ascii="Calibri" w:hAnsi="Calibri" w:cs="Calibri"/>
              </w:rPr>
            </w:pPr>
          </w:p>
          <w:p w:rsidR="00ED665B" w:rsidRPr="00A06243"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 xml:space="preserve">мутаційний зонд 2 </w:t>
            </w:r>
            <w:r w:rsidRPr="00FA1569">
              <w:rPr>
                <w:rFonts w:ascii="Calibri" w:hAnsi="Calibri"/>
                <w:color w:val="000000"/>
                <w:sz w:val="10"/>
              </w:rPr>
              <w:t>(</w:t>
            </w: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МУТ2)</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r>
      <w:tr w:rsidR="00ED665B" w:rsidRPr="00907702">
        <w:trPr>
          <w:trHeight w:hRule="exact" w:val="144"/>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 xml:space="preserve">локусний контроль </w:t>
            </w:r>
            <w:r w:rsidRPr="00FA1569">
              <w:rPr>
                <w:rFonts w:ascii="Calibri" w:hAnsi="Calibri"/>
                <w:color w:val="000000"/>
                <w:sz w:val="10"/>
              </w:rPr>
              <w:t>(</w:t>
            </w:r>
            <w:r w:rsidRPr="00FA1569">
              <w:rPr>
                <w:rFonts w:ascii="Calibri" w:hAnsi="Calibri"/>
                <w:i/>
                <w:color w:val="000000"/>
                <w:sz w:val="10"/>
              </w:rPr>
              <w:t>rrs</w:t>
            </w:r>
            <w:r>
              <w:rPr>
                <w:rFonts w:ascii="Calibri" w:hAnsi="Calibri"/>
                <w:i/>
                <w:color w:val="000000"/>
                <w:sz w:val="10"/>
              </w:rPr>
              <w:t>)</w:t>
            </w:r>
          </w:p>
        </w:tc>
      </w:tr>
      <w:tr w:rsidR="00ED665B" w:rsidRPr="00907702">
        <w:trPr>
          <w:trHeight w:hRule="exact" w:val="14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ED1D24"/>
                <w:sz w:val="10"/>
              </w:rPr>
              <w:t>embB</w:t>
            </w:r>
            <w:r>
              <w:rPr>
                <w:rFonts w:ascii="Calibri" w:hAnsi="Calibri"/>
                <w:i/>
                <w:color w:val="ED1D24"/>
                <w:sz w:val="10"/>
              </w:rPr>
              <w:t xml:space="preserve"> </w:t>
            </w:r>
            <w:r>
              <w:rPr>
                <w:rFonts w:ascii="Calibri" w:hAnsi="Calibri"/>
                <w:color w:val="ED1D24"/>
                <w:sz w:val="10"/>
              </w:rPr>
              <w:t xml:space="preserve">локусний контроль </w:t>
            </w:r>
            <w:r w:rsidRPr="00FA1569">
              <w:rPr>
                <w:rFonts w:ascii="Calibri" w:hAnsi="Calibri"/>
                <w:color w:val="ED1D24"/>
                <w:sz w:val="10"/>
              </w:rPr>
              <w:t>(</w:t>
            </w:r>
            <w:r w:rsidRPr="00FA1569">
              <w:rPr>
                <w:rFonts w:ascii="Calibri" w:hAnsi="Calibri"/>
                <w:i/>
                <w:color w:val="ED1D24"/>
                <w:sz w:val="10"/>
              </w:rPr>
              <w:t>embB</w:t>
            </w:r>
            <w:r w:rsidRPr="00FA1569">
              <w:rPr>
                <w:rFonts w:ascii="Calibri" w:hAnsi="Calibri"/>
                <w:color w:val="ED1D24"/>
                <w:sz w:val="10"/>
              </w:rPr>
              <w:t>)</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 xml:space="preserve">дикого типу зонд 1 </w:t>
            </w:r>
            <w:r w:rsidRPr="00FA1569">
              <w:rPr>
                <w:rFonts w:ascii="Calibri" w:hAnsi="Calibri"/>
                <w:color w:val="000000"/>
                <w:sz w:val="10"/>
              </w:rPr>
              <w:t>(</w:t>
            </w: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ДТ1)</w:t>
            </w:r>
          </w:p>
        </w:tc>
      </w:tr>
      <w:tr w:rsidR="00ED665B" w:rsidRPr="00907702">
        <w:trPr>
          <w:trHeight w:hRule="exact" w:val="13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ED1D24"/>
                <w:sz w:val="10"/>
              </w:rPr>
              <w:t>embB</w:t>
            </w:r>
            <w:r>
              <w:rPr>
                <w:rFonts w:ascii="Calibri" w:hAnsi="Calibri"/>
                <w:i/>
                <w:color w:val="ED1D24"/>
                <w:sz w:val="10"/>
              </w:rPr>
              <w:t xml:space="preserve"> </w:t>
            </w:r>
            <w:r>
              <w:rPr>
                <w:rFonts w:ascii="Calibri" w:hAnsi="Calibri"/>
                <w:color w:val="ED1D24"/>
                <w:sz w:val="10"/>
              </w:rPr>
              <w:t xml:space="preserve">дикого типу зонд 1 </w:t>
            </w:r>
            <w:r w:rsidRPr="00FA1569">
              <w:rPr>
                <w:rFonts w:ascii="Calibri" w:hAnsi="Calibri"/>
                <w:color w:val="ED1D24"/>
                <w:sz w:val="10"/>
              </w:rPr>
              <w:t>(</w:t>
            </w:r>
            <w:r w:rsidRPr="00FA1569">
              <w:rPr>
                <w:rFonts w:ascii="Calibri" w:hAnsi="Calibri"/>
                <w:i/>
                <w:color w:val="ED1D24"/>
                <w:sz w:val="10"/>
              </w:rPr>
              <w:t>embB</w:t>
            </w:r>
            <w:r>
              <w:rPr>
                <w:rFonts w:ascii="Calibri" w:hAnsi="Calibri"/>
                <w:i/>
                <w:color w:val="ED1D24"/>
                <w:sz w:val="10"/>
              </w:rPr>
              <w:t xml:space="preserve"> </w:t>
            </w:r>
            <w:r>
              <w:rPr>
                <w:rFonts w:ascii="Calibri" w:hAnsi="Calibri"/>
                <w:color w:val="ED1D24"/>
                <w:sz w:val="10"/>
              </w:rPr>
              <w:t>ДТ1)</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 xml:space="preserve">дикого типу зонд 2 </w:t>
            </w:r>
            <w:r w:rsidRPr="00FA1569">
              <w:rPr>
                <w:rFonts w:ascii="Calibri" w:hAnsi="Calibri"/>
                <w:color w:val="000000"/>
                <w:sz w:val="10"/>
              </w:rPr>
              <w:t>(</w:t>
            </w: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ДТ2)</w:t>
            </w:r>
          </w:p>
        </w:tc>
      </w:tr>
      <w:tr w:rsidR="00ED665B" w:rsidRPr="00907702">
        <w:trPr>
          <w:trHeight w:hRule="exact" w:val="13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ED1D24"/>
                <w:sz w:val="10"/>
              </w:rPr>
              <w:t>embB</w:t>
            </w:r>
            <w:r>
              <w:rPr>
                <w:rFonts w:ascii="Calibri" w:hAnsi="Calibri"/>
                <w:i/>
                <w:color w:val="ED1D24"/>
                <w:sz w:val="10"/>
              </w:rPr>
              <w:t xml:space="preserve"> </w:t>
            </w:r>
            <w:r>
              <w:rPr>
                <w:rFonts w:ascii="Calibri" w:hAnsi="Calibri"/>
                <w:color w:val="ED1D24"/>
                <w:sz w:val="10"/>
              </w:rPr>
              <w:t xml:space="preserve">мутаційний зонд 1A </w:t>
            </w:r>
            <w:r w:rsidRPr="00FA1569">
              <w:rPr>
                <w:rFonts w:ascii="Calibri" w:hAnsi="Calibri"/>
                <w:color w:val="ED1D24"/>
                <w:sz w:val="10"/>
              </w:rPr>
              <w:t>(</w:t>
            </w:r>
            <w:r w:rsidRPr="00FA1569">
              <w:rPr>
                <w:rFonts w:ascii="Calibri" w:hAnsi="Calibri"/>
                <w:i/>
                <w:color w:val="ED1D24"/>
                <w:sz w:val="10"/>
              </w:rPr>
              <w:t>embB</w:t>
            </w:r>
            <w:r>
              <w:rPr>
                <w:rFonts w:ascii="Calibri" w:hAnsi="Calibri"/>
                <w:i/>
                <w:color w:val="ED1D24"/>
                <w:sz w:val="10"/>
              </w:rPr>
              <w:t xml:space="preserve"> </w:t>
            </w:r>
            <w:r>
              <w:rPr>
                <w:rFonts w:ascii="Calibri" w:hAnsi="Calibri"/>
                <w:color w:val="ED1D24"/>
                <w:sz w:val="10"/>
              </w:rPr>
              <w:t>MУT1A)</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 xml:space="preserve">мутаційний зонд 1 </w:t>
            </w:r>
            <w:r w:rsidRPr="00FA1569">
              <w:rPr>
                <w:rFonts w:ascii="Calibri" w:hAnsi="Calibri"/>
                <w:color w:val="000000"/>
                <w:sz w:val="10"/>
              </w:rPr>
              <w:t>(</w:t>
            </w: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МУТ1)</w:t>
            </w:r>
          </w:p>
        </w:tc>
      </w:tr>
      <w:tr w:rsidR="00ED665B" w:rsidRPr="00907702">
        <w:trPr>
          <w:trHeight w:hRule="exact" w:val="13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ED1D24"/>
                <w:sz w:val="10"/>
              </w:rPr>
              <w:t>embB</w:t>
            </w:r>
            <w:r>
              <w:rPr>
                <w:rFonts w:ascii="Calibri" w:hAnsi="Calibri"/>
                <w:i/>
                <w:color w:val="ED1D24"/>
                <w:sz w:val="10"/>
              </w:rPr>
              <w:t xml:space="preserve"> </w:t>
            </w:r>
            <w:r>
              <w:rPr>
                <w:rFonts w:ascii="Calibri" w:hAnsi="Calibri"/>
                <w:color w:val="ED1D24"/>
                <w:sz w:val="10"/>
              </w:rPr>
              <w:t xml:space="preserve">мутаційний зонд 1В </w:t>
            </w:r>
            <w:r w:rsidRPr="00FA1569">
              <w:rPr>
                <w:rFonts w:ascii="Calibri" w:hAnsi="Calibri"/>
                <w:color w:val="ED1D24"/>
                <w:sz w:val="10"/>
              </w:rPr>
              <w:t>(</w:t>
            </w:r>
            <w:r w:rsidRPr="00FA1569">
              <w:rPr>
                <w:rFonts w:ascii="Calibri" w:hAnsi="Calibri"/>
                <w:i/>
                <w:color w:val="ED1D24"/>
                <w:sz w:val="10"/>
              </w:rPr>
              <w:t>embB</w:t>
            </w:r>
            <w:r>
              <w:rPr>
                <w:rFonts w:ascii="Calibri" w:hAnsi="Calibri"/>
                <w:i/>
                <w:color w:val="ED1D24"/>
                <w:sz w:val="10"/>
              </w:rPr>
              <w:t xml:space="preserve"> </w:t>
            </w:r>
            <w:r>
              <w:rPr>
                <w:rFonts w:ascii="Calibri" w:hAnsi="Calibri"/>
                <w:color w:val="ED1D24"/>
                <w:sz w:val="10"/>
              </w:rPr>
              <w:t>MУT1В)</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 xml:space="preserve">мутаційний зонд 2 </w:t>
            </w:r>
            <w:r w:rsidRPr="00FA1569">
              <w:rPr>
                <w:rFonts w:ascii="Calibri" w:hAnsi="Calibri"/>
                <w:color w:val="000000"/>
                <w:sz w:val="10"/>
              </w:rPr>
              <w:t>(</w:t>
            </w:r>
            <w:r w:rsidRPr="00FA1569">
              <w:rPr>
                <w:rFonts w:ascii="Calibri" w:hAnsi="Calibri"/>
                <w:i/>
                <w:color w:val="000000"/>
                <w:sz w:val="10"/>
              </w:rPr>
              <w:t>rrs</w:t>
            </w:r>
            <w:r>
              <w:rPr>
                <w:rFonts w:ascii="Calibri" w:hAnsi="Calibri"/>
                <w:i/>
                <w:color w:val="000000"/>
                <w:sz w:val="10"/>
              </w:rPr>
              <w:t xml:space="preserve"> </w:t>
            </w:r>
            <w:r>
              <w:rPr>
                <w:rFonts w:ascii="Calibri" w:hAnsi="Calibri"/>
                <w:color w:val="000000"/>
                <w:sz w:val="10"/>
              </w:rPr>
              <w:t>МУТ2)</w:t>
            </w:r>
          </w:p>
        </w:tc>
      </w:tr>
      <w:tr w:rsidR="00ED665B" w:rsidRPr="00907702">
        <w:trPr>
          <w:trHeight w:hRule="exact" w:val="120"/>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r>
      <w:tr w:rsidR="00ED665B" w:rsidRPr="00907702">
        <w:trPr>
          <w:trHeight w:hRule="exact" w:val="163"/>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0"/>
              </w:rPr>
              <w:t>пофарбований маркер</w:t>
            </w: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FA1569" w:rsidP="00DC2656">
            <w:pPr>
              <w:rPr>
                <w:rFonts w:ascii="Calibri" w:hAnsi="Calibri" w:cs="Calibri"/>
              </w:rPr>
            </w:pPr>
            <w:r>
              <w:rPr>
                <w:rFonts w:ascii="Calibri" w:hAnsi="Calibri"/>
                <w:i/>
                <w:color w:val="ED1D24"/>
                <w:sz w:val="10"/>
                <w:lang w:val="en-US"/>
              </w:rPr>
              <w:t>e</w:t>
            </w:r>
            <w:r w:rsidR="006C7D2F" w:rsidRPr="00FA1569">
              <w:rPr>
                <w:rFonts w:ascii="Calibri" w:hAnsi="Calibri"/>
                <w:i/>
                <w:color w:val="ED1D24"/>
                <w:sz w:val="10"/>
              </w:rPr>
              <w:t>is</w:t>
            </w:r>
            <w:r w:rsidR="006C7D2F">
              <w:rPr>
                <w:rFonts w:ascii="Calibri" w:hAnsi="Calibri"/>
                <w:i/>
                <w:color w:val="ED1D24"/>
                <w:sz w:val="10"/>
              </w:rPr>
              <w:t xml:space="preserve"> </w:t>
            </w:r>
            <w:r w:rsidR="006C7D2F">
              <w:rPr>
                <w:rFonts w:ascii="Calibri" w:hAnsi="Calibri"/>
                <w:color w:val="ED1D24"/>
                <w:sz w:val="10"/>
              </w:rPr>
              <w:t xml:space="preserve">локусний контроль </w:t>
            </w:r>
            <w:r w:rsidR="006C7D2F" w:rsidRPr="00FA1569">
              <w:rPr>
                <w:rFonts w:ascii="Calibri" w:hAnsi="Calibri"/>
                <w:color w:val="ED1D24"/>
                <w:sz w:val="10"/>
              </w:rPr>
              <w:t>(</w:t>
            </w:r>
            <w:r w:rsidR="006C7D2F" w:rsidRPr="00FA1569">
              <w:rPr>
                <w:rFonts w:ascii="Calibri" w:hAnsi="Calibri"/>
                <w:i/>
                <w:color w:val="ED1D24"/>
                <w:sz w:val="10"/>
              </w:rPr>
              <w:t>eis</w:t>
            </w:r>
            <w:r w:rsidR="006C7D2F">
              <w:rPr>
                <w:rFonts w:ascii="Calibri" w:hAnsi="Calibri"/>
                <w:i/>
                <w:color w:val="ED1D24"/>
                <w:sz w:val="10"/>
              </w:rPr>
              <w:t>)</w:t>
            </w:r>
          </w:p>
        </w:tc>
      </w:tr>
      <w:tr w:rsidR="00ED665B" w:rsidRPr="00907702">
        <w:trPr>
          <w:trHeight w:hRule="exact" w:val="144"/>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FA1569" w:rsidP="00DC2656">
            <w:pPr>
              <w:rPr>
                <w:rFonts w:ascii="Calibri" w:hAnsi="Calibri" w:cs="Calibri"/>
              </w:rPr>
            </w:pPr>
            <w:r>
              <w:rPr>
                <w:rFonts w:ascii="Calibri" w:hAnsi="Calibri"/>
                <w:i/>
                <w:color w:val="ED1D24"/>
                <w:sz w:val="10"/>
                <w:lang w:val="en-US"/>
              </w:rPr>
              <w:t>e</w:t>
            </w:r>
            <w:r w:rsidR="006C7D2F" w:rsidRPr="00FA1569">
              <w:rPr>
                <w:rFonts w:ascii="Calibri" w:hAnsi="Calibri"/>
                <w:i/>
                <w:color w:val="ED1D24"/>
                <w:sz w:val="10"/>
              </w:rPr>
              <w:t>is</w:t>
            </w:r>
            <w:r w:rsidR="006C7D2F">
              <w:rPr>
                <w:rFonts w:ascii="Calibri" w:hAnsi="Calibri"/>
                <w:i/>
                <w:color w:val="ED1D24"/>
                <w:sz w:val="10"/>
              </w:rPr>
              <w:t xml:space="preserve"> </w:t>
            </w:r>
            <w:r w:rsidR="006C7D2F">
              <w:rPr>
                <w:rFonts w:ascii="Calibri" w:hAnsi="Calibri"/>
                <w:color w:val="ED1D24"/>
                <w:sz w:val="10"/>
              </w:rPr>
              <w:t xml:space="preserve">дикого типу зонд 1 </w:t>
            </w:r>
            <w:r w:rsidR="006C7D2F" w:rsidRPr="00FA1569">
              <w:rPr>
                <w:rFonts w:ascii="Calibri" w:hAnsi="Calibri"/>
                <w:color w:val="ED1D24"/>
                <w:sz w:val="10"/>
              </w:rPr>
              <w:t>(</w:t>
            </w:r>
            <w:r w:rsidR="006C7D2F" w:rsidRPr="00FA1569">
              <w:rPr>
                <w:rFonts w:ascii="Calibri" w:hAnsi="Calibri"/>
                <w:i/>
                <w:color w:val="ED1D24"/>
                <w:sz w:val="10"/>
              </w:rPr>
              <w:t>eis</w:t>
            </w:r>
            <w:r w:rsidR="006C7D2F">
              <w:rPr>
                <w:rFonts w:ascii="Calibri" w:hAnsi="Calibri"/>
                <w:i/>
                <w:color w:val="ED1D24"/>
                <w:sz w:val="10"/>
              </w:rPr>
              <w:t xml:space="preserve"> </w:t>
            </w:r>
            <w:r w:rsidR="006C7D2F">
              <w:rPr>
                <w:rFonts w:ascii="Calibri" w:hAnsi="Calibri"/>
                <w:color w:val="ED1D24"/>
                <w:sz w:val="10"/>
              </w:rPr>
              <w:t>ДТ1)</w:t>
            </w:r>
          </w:p>
        </w:tc>
      </w:tr>
      <w:tr w:rsidR="00ED665B" w:rsidRPr="00907702">
        <w:trPr>
          <w:trHeight w:hRule="exact" w:val="144"/>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FA1569">
            <w:pPr>
              <w:rPr>
                <w:rFonts w:ascii="Calibri" w:hAnsi="Calibri" w:cs="Calibri"/>
              </w:rPr>
            </w:pPr>
            <w:r w:rsidRPr="00FA1569">
              <w:rPr>
                <w:rFonts w:ascii="Calibri" w:hAnsi="Calibri"/>
                <w:i/>
                <w:color w:val="ED1D24"/>
                <w:sz w:val="10"/>
              </w:rPr>
              <w:t>e</w:t>
            </w:r>
            <w:r w:rsidR="00FA1569" w:rsidRPr="00FA1569">
              <w:rPr>
                <w:rFonts w:ascii="Calibri" w:hAnsi="Calibri"/>
                <w:i/>
                <w:color w:val="ED1D24"/>
                <w:sz w:val="10"/>
                <w:lang w:val="en-US"/>
              </w:rPr>
              <w:t>i</w:t>
            </w:r>
            <w:r w:rsidRPr="00FA1569">
              <w:rPr>
                <w:rFonts w:ascii="Calibri" w:hAnsi="Calibri"/>
                <w:i/>
                <w:color w:val="ED1D24"/>
                <w:sz w:val="10"/>
              </w:rPr>
              <w:t>s</w:t>
            </w:r>
            <w:r>
              <w:rPr>
                <w:rFonts w:ascii="Calibri" w:hAnsi="Calibri"/>
                <w:i/>
                <w:color w:val="ED1D24"/>
                <w:sz w:val="10"/>
              </w:rPr>
              <w:t xml:space="preserve"> </w:t>
            </w:r>
            <w:r>
              <w:rPr>
                <w:rFonts w:ascii="Calibri" w:hAnsi="Calibri"/>
                <w:color w:val="ED1D24"/>
                <w:sz w:val="10"/>
              </w:rPr>
              <w:t xml:space="preserve">дикого типу зонд 2 </w:t>
            </w:r>
            <w:r w:rsidR="00FA1569" w:rsidRPr="00FA1569">
              <w:rPr>
                <w:rFonts w:ascii="Calibri" w:hAnsi="Calibri"/>
                <w:color w:val="ED1D24"/>
                <w:sz w:val="10"/>
                <w:lang w:val="ru-RU"/>
              </w:rPr>
              <w:t>(</w:t>
            </w:r>
            <w:r>
              <w:rPr>
                <w:rFonts w:ascii="Calibri" w:hAnsi="Calibri"/>
                <w:i/>
                <w:color w:val="ED1D24"/>
                <w:sz w:val="10"/>
              </w:rPr>
              <w:t>e</w:t>
            </w:r>
            <w:r w:rsidR="00FA1569" w:rsidRPr="00FA1569">
              <w:rPr>
                <w:rFonts w:ascii="Calibri" w:hAnsi="Calibri"/>
                <w:i/>
                <w:color w:val="ED1D24"/>
                <w:sz w:val="10"/>
                <w:lang w:val="en-US"/>
              </w:rPr>
              <w:t>i</w:t>
            </w:r>
            <w:r>
              <w:rPr>
                <w:rFonts w:ascii="Calibri" w:hAnsi="Calibri"/>
                <w:i/>
                <w:color w:val="ED1D24"/>
                <w:sz w:val="10"/>
              </w:rPr>
              <w:t xml:space="preserve">s </w:t>
            </w:r>
            <w:r>
              <w:rPr>
                <w:rFonts w:ascii="Calibri" w:hAnsi="Calibri"/>
                <w:color w:val="ED1D24"/>
                <w:sz w:val="10"/>
              </w:rPr>
              <w:t>ДТ2)</w:t>
            </w:r>
          </w:p>
        </w:tc>
      </w:tr>
      <w:tr w:rsidR="00ED665B" w:rsidRPr="00907702">
        <w:trPr>
          <w:trHeight w:hRule="exact" w:val="13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FA1569">
            <w:pPr>
              <w:rPr>
                <w:rFonts w:ascii="Calibri" w:hAnsi="Calibri" w:cs="Calibri"/>
              </w:rPr>
            </w:pPr>
            <w:r w:rsidRPr="00FA1569">
              <w:rPr>
                <w:rFonts w:ascii="Calibri" w:hAnsi="Calibri"/>
                <w:i/>
                <w:color w:val="ED1D24"/>
                <w:sz w:val="10"/>
              </w:rPr>
              <w:t>e</w:t>
            </w:r>
            <w:r w:rsidR="00FA1569" w:rsidRPr="00FA1569">
              <w:rPr>
                <w:rFonts w:ascii="Calibri" w:hAnsi="Calibri"/>
                <w:i/>
                <w:color w:val="ED1D24"/>
                <w:sz w:val="10"/>
                <w:lang w:val="en-US"/>
              </w:rPr>
              <w:t>i</w:t>
            </w:r>
            <w:r w:rsidRPr="00FA1569">
              <w:rPr>
                <w:rFonts w:ascii="Calibri" w:hAnsi="Calibri"/>
                <w:i/>
                <w:color w:val="ED1D24"/>
                <w:sz w:val="10"/>
              </w:rPr>
              <w:t>s</w:t>
            </w:r>
            <w:r>
              <w:rPr>
                <w:rFonts w:ascii="Calibri" w:hAnsi="Calibri"/>
                <w:i/>
                <w:color w:val="ED1D24"/>
                <w:sz w:val="10"/>
              </w:rPr>
              <w:t xml:space="preserve"> </w:t>
            </w:r>
            <w:r>
              <w:rPr>
                <w:rFonts w:ascii="Calibri" w:hAnsi="Calibri"/>
                <w:color w:val="ED1D24"/>
                <w:sz w:val="10"/>
              </w:rPr>
              <w:t>дикого типу зонд 3 (</w:t>
            </w:r>
            <w:r>
              <w:rPr>
                <w:rFonts w:ascii="Calibri" w:hAnsi="Calibri"/>
                <w:i/>
                <w:color w:val="ED1D24"/>
                <w:sz w:val="10"/>
              </w:rPr>
              <w:t>e</w:t>
            </w:r>
            <w:r w:rsidR="00FA1569" w:rsidRPr="00FA1569">
              <w:rPr>
                <w:rFonts w:ascii="Calibri" w:hAnsi="Calibri"/>
                <w:i/>
                <w:color w:val="ED1D24"/>
                <w:sz w:val="10"/>
                <w:lang w:val="en-US"/>
              </w:rPr>
              <w:t>i</w:t>
            </w:r>
            <w:r>
              <w:rPr>
                <w:rFonts w:ascii="Calibri" w:hAnsi="Calibri"/>
                <w:i/>
                <w:color w:val="ED1D24"/>
                <w:sz w:val="10"/>
              </w:rPr>
              <w:t xml:space="preserve">s </w:t>
            </w:r>
            <w:r>
              <w:rPr>
                <w:rFonts w:ascii="Calibri" w:hAnsi="Calibri"/>
                <w:color w:val="ED1D24"/>
                <w:sz w:val="10"/>
              </w:rPr>
              <w:t>ДТ3)</w:t>
            </w:r>
          </w:p>
        </w:tc>
      </w:tr>
      <w:tr w:rsidR="00ED665B" w:rsidRPr="00B92A7A">
        <w:trPr>
          <w:trHeight w:hRule="exact" w:val="149"/>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109"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3931"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sidRPr="00FA1569">
              <w:rPr>
                <w:rFonts w:ascii="Calibri" w:hAnsi="Calibri"/>
                <w:i/>
                <w:color w:val="ED1D24"/>
                <w:sz w:val="10"/>
              </w:rPr>
              <w:t>eis</w:t>
            </w:r>
            <w:r>
              <w:rPr>
                <w:rFonts w:ascii="Calibri" w:hAnsi="Calibri"/>
                <w:i/>
                <w:color w:val="ED1D24"/>
                <w:sz w:val="10"/>
              </w:rPr>
              <w:t xml:space="preserve"> </w:t>
            </w:r>
            <w:r w:rsidRPr="00FA1569">
              <w:rPr>
                <w:rFonts w:ascii="Calibri" w:hAnsi="Calibri"/>
                <w:color w:val="ED1D24"/>
                <w:sz w:val="10"/>
              </w:rPr>
              <w:t>мутаційний зонд 1</w:t>
            </w:r>
            <w:r>
              <w:rPr>
                <w:rFonts w:ascii="Calibri" w:hAnsi="Calibri"/>
                <w:i/>
                <w:color w:val="ED1D24"/>
                <w:sz w:val="10"/>
              </w:rPr>
              <w:t xml:space="preserve"> </w:t>
            </w:r>
            <w:r>
              <w:rPr>
                <w:rFonts w:ascii="Calibri" w:hAnsi="Calibri"/>
                <w:color w:val="ED1D24"/>
                <w:sz w:val="10"/>
              </w:rPr>
              <w:t>(</w:t>
            </w:r>
            <w:r w:rsidRPr="00FA1569">
              <w:rPr>
                <w:rFonts w:ascii="Calibri" w:hAnsi="Calibri"/>
                <w:i/>
                <w:color w:val="ED1D24"/>
                <w:sz w:val="10"/>
              </w:rPr>
              <w:t>eis</w:t>
            </w:r>
            <w:r>
              <w:rPr>
                <w:rFonts w:ascii="Calibri" w:hAnsi="Calibri"/>
                <w:color w:val="ED1D24"/>
                <w:sz w:val="10"/>
              </w:rPr>
              <w:t xml:space="preserve"> МУТ1)</w:t>
            </w:r>
          </w:p>
        </w:tc>
      </w:tr>
      <w:tr w:rsidR="00ED665B" w:rsidRPr="00907702">
        <w:trPr>
          <w:trHeight w:hRule="exact" w:val="130"/>
        </w:trPr>
        <w:tc>
          <w:tcPr>
            <w:tcW w:w="518" w:type="dxa"/>
            <w:tcBorders>
              <w:top w:val="nil"/>
              <w:left w:val="nil"/>
              <w:bottom w:val="nil"/>
              <w:right w:val="nil"/>
            </w:tcBorders>
            <w:shd w:val="clear" w:color="auto" w:fill="FFFFFF"/>
          </w:tcPr>
          <w:p w:rsidR="00ED665B" w:rsidRPr="00A06243" w:rsidRDefault="00ED665B" w:rsidP="00DC2656">
            <w:pPr>
              <w:rPr>
                <w:rFonts w:ascii="Calibri" w:hAnsi="Calibri" w:cs="Calibri"/>
              </w:rPr>
            </w:pPr>
          </w:p>
        </w:tc>
        <w:tc>
          <w:tcPr>
            <w:tcW w:w="5040" w:type="dxa"/>
            <w:gridSpan w:val="2"/>
            <w:vMerge w:val="restart"/>
            <w:tcBorders>
              <w:top w:val="nil"/>
              <w:left w:val="nil"/>
              <w:bottom w:val="nil"/>
              <w:right w:val="nil"/>
            </w:tcBorders>
            <w:shd w:val="clear" w:color="auto" w:fill="FFFFFF"/>
          </w:tcPr>
          <w:p w:rsidR="00ED665B" w:rsidRPr="00907702" w:rsidRDefault="006C7D2F" w:rsidP="00DC2656">
            <w:pPr>
              <w:ind w:left="298"/>
              <w:rPr>
                <w:rFonts w:ascii="Calibri" w:hAnsi="Calibri" w:cs="Calibri"/>
              </w:rPr>
            </w:pPr>
            <w:r>
              <w:rPr>
                <w:rFonts w:ascii="Calibri" w:hAnsi="Calibri"/>
                <w:color w:val="ED1D24"/>
                <w:sz w:val="16"/>
              </w:rPr>
              <w:t>Різниця між двома версіями позначена червоним кольором</w:t>
            </w:r>
          </w:p>
        </w:tc>
        <w:tc>
          <w:tcPr>
            <w:tcW w:w="1090" w:type="dxa"/>
            <w:vMerge/>
            <w:tcBorders>
              <w:top w:val="nil"/>
              <w:left w:val="nil"/>
              <w:bottom w:val="nil"/>
              <w:right w:val="nil"/>
            </w:tcBorders>
            <w:shd w:val="clear" w:color="auto" w:fill="FFFFFF"/>
          </w:tcPr>
          <w:p w:rsidR="00ED665B" w:rsidRPr="00907702" w:rsidRDefault="00ED665B" w:rsidP="00DC2656">
            <w:pPr>
              <w:ind w:left="298"/>
              <w:rPr>
                <w:rFonts w:ascii="Calibri" w:hAnsi="Calibri" w:cs="Calibri"/>
              </w:rPr>
            </w:pPr>
          </w:p>
          <w:p w:rsidR="00ED665B" w:rsidRPr="00907702" w:rsidRDefault="00ED665B" w:rsidP="00DC2656">
            <w:pPr>
              <w:ind w:left="298"/>
              <w:rPr>
                <w:rFonts w:ascii="Calibri" w:hAnsi="Calibri" w:cs="Calibri"/>
              </w:rPr>
            </w:pPr>
          </w:p>
        </w:tc>
        <w:tc>
          <w:tcPr>
            <w:tcW w:w="2189"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r>
      <w:tr w:rsidR="00ED665B" w:rsidRPr="00907702">
        <w:trPr>
          <w:trHeight w:hRule="exact" w:val="283"/>
        </w:trPr>
        <w:tc>
          <w:tcPr>
            <w:tcW w:w="518" w:type="dxa"/>
            <w:tcBorders>
              <w:top w:val="nil"/>
              <w:left w:val="nil"/>
              <w:bottom w:val="nil"/>
              <w:right w:val="nil"/>
            </w:tcBorders>
            <w:shd w:val="clear" w:color="auto" w:fill="FFFFFF"/>
          </w:tcPr>
          <w:p w:rsidR="00ED665B" w:rsidRPr="00907702" w:rsidRDefault="00ED665B" w:rsidP="00DC2656">
            <w:pPr>
              <w:rPr>
                <w:rFonts w:ascii="Calibri" w:hAnsi="Calibri" w:cs="Calibri"/>
              </w:rPr>
            </w:pPr>
          </w:p>
        </w:tc>
        <w:tc>
          <w:tcPr>
            <w:tcW w:w="5040" w:type="dxa"/>
            <w:gridSpan w:val="2"/>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1090" w:type="dxa"/>
            <w:vMerge/>
            <w:tcBorders>
              <w:top w:val="nil"/>
              <w:left w:val="nil"/>
              <w:bottom w:val="nil"/>
              <w:right w:val="nil"/>
            </w:tcBorders>
            <w:shd w:val="clear" w:color="auto" w:fill="FFFFFF"/>
          </w:tcPr>
          <w:p w:rsidR="00ED665B" w:rsidRPr="00907702" w:rsidRDefault="00ED665B" w:rsidP="00DC2656">
            <w:pPr>
              <w:rPr>
                <w:rFonts w:ascii="Calibri" w:hAnsi="Calibri" w:cs="Calibri"/>
              </w:rPr>
            </w:pPr>
          </w:p>
          <w:p w:rsidR="00ED665B" w:rsidRPr="00907702" w:rsidRDefault="00ED665B" w:rsidP="00DC2656">
            <w:pPr>
              <w:rPr>
                <w:rFonts w:ascii="Calibri" w:hAnsi="Calibri" w:cs="Calibri"/>
              </w:rPr>
            </w:pPr>
          </w:p>
        </w:tc>
        <w:tc>
          <w:tcPr>
            <w:tcW w:w="2189" w:type="dxa"/>
            <w:tcBorders>
              <w:top w:val="nil"/>
              <w:left w:val="nil"/>
              <w:bottom w:val="nil"/>
              <w:right w:val="nil"/>
            </w:tcBorders>
            <w:shd w:val="clear" w:color="auto" w:fill="FFFFFF"/>
          </w:tcPr>
          <w:p w:rsidR="00ED665B" w:rsidRPr="00907702" w:rsidRDefault="006C7D2F" w:rsidP="00DC2656">
            <w:pPr>
              <w:rPr>
                <w:rFonts w:ascii="Calibri" w:hAnsi="Calibri" w:cs="Calibri"/>
              </w:rPr>
            </w:pPr>
            <w:r>
              <w:rPr>
                <w:rFonts w:ascii="Calibri" w:hAnsi="Calibri"/>
                <w:color w:val="000000"/>
                <w:sz w:val="10"/>
              </w:rPr>
              <w:t>пофарбований маркер</w:t>
            </w:r>
          </w:p>
        </w:tc>
      </w:tr>
    </w:tbl>
    <w:p w:rsidR="00ED665B" w:rsidRPr="00907702" w:rsidRDefault="006C7D2F" w:rsidP="00DC2656">
      <w:pPr>
        <w:spacing w:before="158"/>
        <w:ind w:left="62"/>
        <w:rPr>
          <w:rFonts w:ascii="Calibri" w:hAnsi="Calibri" w:cs="Calibri"/>
        </w:rPr>
      </w:pPr>
      <w:r>
        <w:rPr>
          <w:rFonts w:ascii="Calibri" w:hAnsi="Calibri"/>
          <w:color w:val="000000"/>
          <w:sz w:val="16"/>
        </w:rPr>
        <w:t>Джерело: Надано Фондом інноваційної нової діагностики (FIND), © 2021. Усі права захищені.</w:t>
      </w:r>
    </w:p>
    <w:p w:rsidR="00ED665B" w:rsidRPr="00907702" w:rsidRDefault="006C7D2F" w:rsidP="00DC2656">
      <w:pPr>
        <w:spacing w:before="312"/>
        <w:ind w:left="62"/>
        <w:jc w:val="both"/>
        <w:rPr>
          <w:rFonts w:ascii="Calibri" w:hAnsi="Calibri" w:cs="Calibri"/>
        </w:rPr>
      </w:pPr>
      <w:r>
        <w:rPr>
          <w:rFonts w:ascii="Calibri" w:hAnsi="Calibri"/>
          <w:color w:val="000000"/>
          <w:sz w:val="22"/>
        </w:rPr>
        <w:t>Виробник надає шаблон, щоб допомогти користувачеві зчитувати результати смужки, де характер окресленості оцінюються візуально, записуються та повідомляються. У умовах, коли проводиться велика кількість досліджень, GenoScan®, автоматизований зчитувач, можна вбудувати для автоматичної інтерпретації характер окресленості та надання запропонованої інтерпретації. Якщо оператор погоджується з інтерпретацією, результати автоматично завантажуються, тим самим зменшуючи можливі помилки транскрипції.</w:t>
      </w:r>
    </w:p>
    <w:p w:rsidR="00ED665B" w:rsidRPr="00E012D4" w:rsidRDefault="006C7D2F" w:rsidP="00DC2656">
      <w:pPr>
        <w:spacing w:before="254"/>
        <w:ind w:left="62"/>
        <w:rPr>
          <w:rFonts w:ascii="Calibri" w:hAnsi="Calibri" w:cs="Calibri"/>
          <w:b/>
          <w:bCs/>
        </w:rPr>
      </w:pPr>
      <w:r>
        <w:rPr>
          <w:rFonts w:ascii="Calibri" w:hAnsi="Calibri"/>
          <w:b/>
          <w:color w:val="009649"/>
          <w:sz w:val="26"/>
        </w:rPr>
        <w:t>Обґрунтування і</w:t>
      </w:r>
      <w:r>
        <w:rPr>
          <w:rFonts w:ascii="Calibri" w:hAnsi="Calibri"/>
          <w:b/>
          <w:color w:val="059864"/>
          <w:sz w:val="26"/>
        </w:rPr>
        <w:t xml:space="preserve"> </w:t>
      </w:r>
      <w:r>
        <w:rPr>
          <w:rFonts w:ascii="Calibri" w:hAnsi="Calibri"/>
          <w:b/>
          <w:color w:val="009649"/>
          <w:sz w:val="26"/>
        </w:rPr>
        <w:t>дані</w:t>
      </w:r>
    </w:p>
    <w:p w:rsidR="00ED665B" w:rsidRPr="00907702" w:rsidRDefault="006C7D2F" w:rsidP="00DC2656">
      <w:pPr>
        <w:spacing w:before="134"/>
        <w:ind w:left="62"/>
        <w:jc w:val="both"/>
        <w:rPr>
          <w:rFonts w:ascii="Calibri" w:hAnsi="Calibri" w:cs="Calibri"/>
        </w:rPr>
      </w:pPr>
      <w:r>
        <w:rPr>
          <w:rFonts w:ascii="Calibri" w:hAnsi="Calibri"/>
          <w:color w:val="000000"/>
          <w:sz w:val="22"/>
        </w:rPr>
        <w:t>У березні 2016 року Глобальна програма боротьби з туберкульозом ВООЗ скликала ГРН для оцінки наявних даних щодо використання тесту MTBDR</w:t>
      </w:r>
      <w:r w:rsidR="00BE6F5B" w:rsidRPr="00BE6F5B">
        <w:rPr>
          <w:rFonts w:ascii="Calibri" w:hAnsi="Calibri"/>
          <w:i/>
          <w:color w:val="000000"/>
          <w:sz w:val="22"/>
        </w:rPr>
        <w:t>sl</w:t>
      </w:r>
      <w:r>
        <w:rPr>
          <w:rFonts w:ascii="Calibri" w:hAnsi="Calibri"/>
          <w:color w:val="000000"/>
          <w:sz w:val="22"/>
        </w:rPr>
        <w:t>. ВООЗ замовила систематичний огляд точності та клінічного використання аналізів для виявлення мутацій, пов’язаних зі резистентністю до фторхінолонів та ІПДЛ, у людей з MЛС/Риф-TБ.</w:t>
      </w:r>
    </w:p>
    <w:p w:rsidR="00ED665B" w:rsidRPr="00907702" w:rsidRDefault="006C7D2F" w:rsidP="00DC2656">
      <w:pPr>
        <w:spacing w:before="163"/>
        <w:ind w:left="72" w:right="5"/>
        <w:jc w:val="both"/>
        <w:rPr>
          <w:rFonts w:ascii="Calibri" w:hAnsi="Calibri" w:cs="Calibri"/>
        </w:rPr>
      </w:pPr>
      <w:r>
        <w:rPr>
          <w:rFonts w:ascii="Calibri" w:hAnsi="Calibri"/>
          <w:color w:val="000000"/>
          <w:sz w:val="22"/>
        </w:rPr>
        <w:t xml:space="preserve">Питання PICO у </w:t>
      </w:r>
      <w:r>
        <w:rPr>
          <w:rFonts w:ascii="Calibri" w:hAnsi="Calibri"/>
          <w:color w:val="1B61AF"/>
          <w:sz w:val="22"/>
        </w:rPr>
        <w:t xml:space="preserve">Вставці 2.3.3 </w:t>
      </w:r>
      <w:r>
        <w:rPr>
          <w:rFonts w:ascii="Calibri" w:hAnsi="Calibri"/>
          <w:color w:val="000000"/>
          <w:sz w:val="22"/>
        </w:rPr>
        <w:t>були розроблені, щоб створити основу для пошуку, зберігання та аналізу даних.</w:t>
      </w:r>
    </w:p>
    <w:p w:rsidR="00ED665B" w:rsidRPr="00907702" w:rsidRDefault="00ED665B" w:rsidP="00DC2656">
      <w:pPr>
        <w:spacing w:before="163"/>
        <w:ind w:left="72" w:right="5"/>
        <w:jc w:val="both"/>
        <w:rPr>
          <w:rFonts w:ascii="Calibri" w:hAnsi="Calibri" w:cs="Calibri"/>
        </w:rPr>
        <w:sectPr w:rsidR="00ED665B" w:rsidRPr="00907702">
          <w:pgSz w:w="11904" w:h="16838"/>
          <w:pgMar w:top="1339" w:right="1426" w:bottom="4363" w:left="1363" w:header="720" w:footer="720" w:gutter="0"/>
          <w:cols w:space="60"/>
          <w:noEndnote/>
        </w:sectPr>
      </w:pPr>
    </w:p>
    <w:p w:rsidR="00ED665B" w:rsidRPr="00907702" w:rsidRDefault="008E41A3" w:rsidP="008E41A3">
      <w:pPr>
        <w:tabs>
          <w:tab w:val="left" w:pos="758"/>
        </w:tabs>
        <w:spacing w:before="149"/>
        <w:rPr>
          <w:rFonts w:ascii="Calibri" w:hAnsi="Calibri" w:cs="Calibri"/>
          <w:b/>
          <w:bCs/>
          <w:color w:val="059864"/>
          <w:sz w:val="22"/>
          <w:szCs w:val="22"/>
        </w:rPr>
      </w:pPr>
      <w:r>
        <w:rPr>
          <w:rFonts w:ascii="Calibri" w:hAnsi="Calibri"/>
          <w:noProof/>
          <w:lang w:val="en-US" w:bidi="ar-SA"/>
        </w:rPr>
        <w:lastRenderedPageBreak/>
        <mc:AlternateContent>
          <mc:Choice Requires="wpg">
            <w:drawing>
              <wp:anchor distT="0" distB="0" distL="114300" distR="114300" simplePos="0" relativeHeight="251756544" behindDoc="0" locked="0" layoutInCell="1" allowOverlap="1" wp14:anchorId="24299F46" wp14:editId="6BD008BC">
                <wp:simplePos x="0" y="0"/>
                <wp:positionH relativeFrom="margin">
                  <wp:posOffset>58372</wp:posOffset>
                </wp:positionH>
                <wp:positionV relativeFrom="paragraph">
                  <wp:posOffset>167940</wp:posOffset>
                </wp:positionV>
                <wp:extent cx="5779085" cy="2475781"/>
                <wp:effectExtent l="0" t="0" r="0" b="1270"/>
                <wp:wrapNone/>
                <wp:docPr id="582" name="Группа 582"/>
                <wp:cNvGraphicFramePr/>
                <a:graphic xmlns:a="http://schemas.openxmlformats.org/drawingml/2006/main">
                  <a:graphicData uri="http://schemas.microsoft.com/office/word/2010/wordprocessingGroup">
                    <wpg:wgp>
                      <wpg:cNvGrpSpPr/>
                      <wpg:grpSpPr>
                        <a:xfrm>
                          <a:off x="0" y="0"/>
                          <a:ext cx="5779085" cy="2475781"/>
                          <a:chOff x="-122" y="1036"/>
                          <a:chExt cx="5779642" cy="2657738"/>
                        </a:xfrm>
                      </wpg:grpSpPr>
                      <wps:wsp>
                        <wps:cNvPr id="583" name="Прямоугольник с двумя скругленными соседними углами 583"/>
                        <wps:cNvSpPr/>
                        <wps:spPr>
                          <a:xfrm rot="5400000">
                            <a:off x="1640141" y="-1480605"/>
                            <a:ext cx="2657738" cy="5621020"/>
                          </a:xfrm>
                          <a:prstGeom prst="round2SameRect">
                            <a:avLst>
                              <a:gd name="adj1" fmla="val 8263"/>
                              <a:gd name="adj2" fmla="val 0"/>
                            </a:avLst>
                          </a:prstGeom>
                          <a:solidFill>
                            <a:srgbClr val="C6E0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Прямоугольник с двумя скругленными соседними углами 584"/>
                        <wps:cNvSpPr/>
                        <wps:spPr>
                          <a:xfrm rot="5400000">
                            <a:off x="916490" y="-767766"/>
                            <a:ext cx="340793" cy="2174017"/>
                          </a:xfrm>
                          <a:prstGeom prst="round2SameRect">
                            <a:avLst>
                              <a:gd name="adj1" fmla="val 50000"/>
                              <a:gd name="adj2" fmla="val 0"/>
                            </a:avLst>
                          </a:prstGeom>
                          <a:solidFill>
                            <a:srgbClr val="0096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Надпись 585"/>
                        <wps:cNvSpPr txBox="1"/>
                        <wps:spPr>
                          <a:xfrm>
                            <a:off x="161888" y="219896"/>
                            <a:ext cx="5029200" cy="287020"/>
                          </a:xfrm>
                          <a:prstGeom prst="rect">
                            <a:avLst/>
                          </a:prstGeom>
                          <a:noFill/>
                          <a:ln w="6350">
                            <a:noFill/>
                          </a:ln>
                        </wps:spPr>
                        <wps:txbx>
                          <w:txbxContent>
                            <w:p w:rsidR="00BE6F5B" w:rsidRPr="00A3729E" w:rsidRDefault="00BE6F5B" w:rsidP="00E012D4">
                              <w:pPr>
                                <w:rPr>
                                  <w:rFonts w:asciiTheme="minorHAnsi" w:hAnsiTheme="minorHAnsi" w:cstheme="minorHAnsi"/>
                                </w:rPr>
                              </w:pPr>
                              <w:r>
                                <w:rPr>
                                  <w:rFonts w:asciiTheme="minorHAnsi" w:hAnsiTheme="minorHAnsi"/>
                                  <w:b/>
                                  <w:color w:val="FFFFFF"/>
                                  <w:sz w:val="22"/>
                                </w:rPr>
                                <w:t>Вставка 2.3.3. Питання PICO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6" name="Надпись 586"/>
                        <wps:cNvSpPr txBox="1"/>
                        <wps:spPr>
                          <a:xfrm>
                            <a:off x="385172" y="596355"/>
                            <a:ext cx="5291384" cy="1992788"/>
                          </a:xfrm>
                          <a:prstGeom prst="rect">
                            <a:avLst/>
                          </a:prstGeom>
                          <a:noFill/>
                          <a:ln w="6350">
                            <a:noFill/>
                          </a:ln>
                        </wps:spPr>
                        <wps:txbx>
                          <w:txbxContent>
                            <w:p w:rsidR="00BE6F5B" w:rsidRPr="00BE6F5B" w:rsidRDefault="00BE6F5B" w:rsidP="00BE6F5B">
                              <w:pPr>
                                <w:tabs>
                                  <w:tab w:val="left" w:pos="284"/>
                                </w:tabs>
                                <w:jc w:val="both"/>
                                <w:rPr>
                                  <w:rFonts w:ascii="Calibri" w:hAnsi="Calibri" w:cs="Calibri"/>
                                  <w:b/>
                                  <w:bCs/>
                                  <w:color w:val="000000"/>
                                  <w:sz w:val="22"/>
                                  <w:szCs w:val="22"/>
                                </w:rPr>
                              </w:pPr>
                              <w:r w:rsidRPr="00BE6F5B">
                                <w:rPr>
                                  <w:rFonts w:ascii="Calibri" w:hAnsi="Calibri"/>
                                  <w:b/>
                                  <w:color w:val="000000"/>
                                  <w:sz w:val="22"/>
                                  <w:szCs w:val="22"/>
                                </w:rPr>
                                <w:t>1.</w:t>
                              </w:r>
                              <w:r w:rsidRPr="00BE6F5B">
                                <w:rPr>
                                  <w:rFonts w:ascii="Calibri" w:hAnsi="Calibri"/>
                                  <w:b/>
                                  <w:color w:val="000000"/>
                                  <w:sz w:val="22"/>
                                  <w:szCs w:val="22"/>
                                </w:rPr>
                                <w:tab/>
                                <w:t>Чи слід використовувати тест MTBDR</w:t>
                              </w:r>
                              <w:r w:rsidRPr="00BE6F5B">
                                <w:rPr>
                                  <w:rFonts w:ascii="Calibri" w:hAnsi="Calibri"/>
                                  <w:b/>
                                  <w:i/>
                                  <w:color w:val="000000"/>
                                  <w:sz w:val="22"/>
                                  <w:szCs w:val="22"/>
                                </w:rPr>
                                <w:t>sl</w:t>
                              </w:r>
                              <w:r w:rsidRPr="00BE6F5B">
                                <w:rPr>
                                  <w:rFonts w:ascii="Calibri" w:hAnsi="Calibri"/>
                                  <w:b/>
                                  <w:color w:val="000000"/>
                                  <w:sz w:val="22"/>
                                  <w:szCs w:val="22"/>
                                </w:rPr>
                                <w:t xml:space="preserve"> для прийняття клінічних рішень щодо використання фторхінолонів у пацієнтів із підтвердженим MЛС/Риф-TБ?</w:t>
                              </w:r>
                            </w:p>
                            <w:p w:rsidR="00BE6F5B" w:rsidRPr="00BE6F5B" w:rsidRDefault="00BE6F5B" w:rsidP="00BE6F5B">
                              <w:pPr>
                                <w:tabs>
                                  <w:tab w:val="left" w:pos="284"/>
                                </w:tabs>
                                <w:ind w:left="308" w:hanging="308"/>
                                <w:jc w:val="both"/>
                                <w:rPr>
                                  <w:rFonts w:ascii="Calibri" w:hAnsi="Calibri" w:cs="Calibri"/>
                                  <w:color w:val="000000"/>
                                  <w:sz w:val="22"/>
                                  <w:szCs w:val="22"/>
                                </w:rPr>
                              </w:pPr>
                              <w:r w:rsidRPr="00BE6F5B">
                                <w:rPr>
                                  <w:rFonts w:ascii="Calibri" w:hAnsi="Calibri"/>
                                  <w:color w:val="009649"/>
                                  <w:sz w:val="22"/>
                                  <w:szCs w:val="22"/>
                                </w:rPr>
                                <w:t>•</w:t>
                              </w:r>
                              <w:r w:rsidRPr="00BE6F5B">
                                <w:rPr>
                                  <w:rFonts w:ascii="Calibri" w:hAnsi="Calibri"/>
                                  <w:color w:val="000000"/>
                                  <w:sz w:val="22"/>
                                  <w:szCs w:val="22"/>
                                </w:rPr>
                                <w:tab/>
                                <w:t>Пряме тестування (стратифіковано за ступенем мазка: мазок негативний; недостатній; 1+; ≥2+).</w:t>
                              </w:r>
                            </w:p>
                            <w:p w:rsidR="00BE6F5B" w:rsidRPr="00BE6F5B" w:rsidRDefault="00BE6F5B" w:rsidP="00BE6F5B">
                              <w:pPr>
                                <w:tabs>
                                  <w:tab w:val="left" w:pos="284"/>
                                </w:tabs>
                                <w:jc w:val="both"/>
                                <w:rPr>
                                  <w:rFonts w:ascii="Calibri" w:hAnsi="Calibri" w:cs="Calibri"/>
                                  <w:color w:val="000000"/>
                                  <w:sz w:val="22"/>
                                  <w:szCs w:val="22"/>
                                </w:rPr>
                              </w:pPr>
                              <w:r w:rsidRPr="00BE6F5B">
                                <w:rPr>
                                  <w:rFonts w:ascii="Calibri" w:hAnsi="Calibri"/>
                                  <w:color w:val="009649"/>
                                  <w:sz w:val="22"/>
                                  <w:szCs w:val="22"/>
                                </w:rPr>
                                <w:t>•</w:t>
                              </w:r>
                              <w:r w:rsidRPr="00BE6F5B">
                                <w:rPr>
                                  <w:rFonts w:ascii="Calibri" w:hAnsi="Calibri"/>
                                  <w:color w:val="000000"/>
                                  <w:sz w:val="22"/>
                                  <w:szCs w:val="22"/>
                                </w:rPr>
                                <w:tab/>
                                <w:t>Непряме тестування.</w:t>
                              </w:r>
                            </w:p>
                            <w:p w:rsidR="00BE6F5B" w:rsidRPr="00BE6F5B" w:rsidRDefault="00BE6F5B" w:rsidP="00BE6F5B">
                              <w:pPr>
                                <w:tabs>
                                  <w:tab w:val="left" w:pos="284"/>
                                </w:tabs>
                                <w:spacing w:before="120"/>
                                <w:jc w:val="both"/>
                                <w:rPr>
                                  <w:rFonts w:ascii="Calibri" w:hAnsi="Calibri" w:cs="Calibri"/>
                                  <w:b/>
                                  <w:bCs/>
                                  <w:color w:val="000000"/>
                                  <w:sz w:val="22"/>
                                  <w:szCs w:val="22"/>
                                </w:rPr>
                              </w:pPr>
                              <w:r w:rsidRPr="00BE6F5B">
                                <w:rPr>
                                  <w:rFonts w:ascii="Calibri" w:hAnsi="Calibri"/>
                                  <w:b/>
                                  <w:color w:val="000000"/>
                                  <w:sz w:val="22"/>
                                  <w:szCs w:val="22"/>
                                </w:rPr>
                                <w:t>2.</w:t>
                              </w:r>
                              <w:r w:rsidRPr="00BE6F5B">
                                <w:rPr>
                                  <w:rFonts w:ascii="Calibri" w:hAnsi="Calibri"/>
                                  <w:b/>
                                  <w:color w:val="000000"/>
                                  <w:sz w:val="22"/>
                                  <w:szCs w:val="22"/>
                                </w:rPr>
                                <w:tab/>
                                <w:t>Чи слід використовувати тест MTBDR</w:t>
                              </w:r>
                              <w:r w:rsidRPr="00BE6F5B">
                                <w:rPr>
                                  <w:rFonts w:ascii="Calibri" w:hAnsi="Calibri"/>
                                  <w:b/>
                                  <w:i/>
                                  <w:color w:val="000000"/>
                                  <w:sz w:val="22"/>
                                  <w:szCs w:val="22"/>
                                </w:rPr>
                                <w:t>sl</w:t>
                              </w:r>
                              <w:r w:rsidRPr="00BE6F5B">
                                <w:rPr>
                                  <w:rFonts w:ascii="Calibri" w:hAnsi="Calibri"/>
                                  <w:b/>
                                  <w:color w:val="000000"/>
                                  <w:sz w:val="22"/>
                                  <w:szCs w:val="22"/>
                                </w:rPr>
                                <w:t xml:space="preserve"> для прийняття клінічних рішень щодо використання ІПДЛ у пацієнтів із підтвердженим MЛС/Риф-TБ?</w:t>
                              </w:r>
                            </w:p>
                            <w:p w:rsidR="00BE6F5B" w:rsidRPr="00BE6F5B" w:rsidRDefault="00BE6F5B" w:rsidP="00BE6F5B">
                              <w:pPr>
                                <w:tabs>
                                  <w:tab w:val="left" w:pos="284"/>
                                </w:tabs>
                                <w:ind w:left="308" w:hanging="308"/>
                                <w:jc w:val="both"/>
                                <w:rPr>
                                  <w:rFonts w:ascii="Calibri" w:hAnsi="Calibri" w:cs="Calibri"/>
                                  <w:color w:val="000000"/>
                                  <w:sz w:val="22"/>
                                  <w:szCs w:val="22"/>
                                </w:rPr>
                              </w:pPr>
                              <w:r w:rsidRPr="00BE6F5B">
                                <w:rPr>
                                  <w:rFonts w:ascii="Calibri" w:hAnsi="Calibri"/>
                                  <w:color w:val="009649"/>
                                  <w:sz w:val="22"/>
                                  <w:szCs w:val="22"/>
                                </w:rPr>
                                <w:t>•</w:t>
                              </w:r>
                              <w:r w:rsidRPr="00BE6F5B">
                                <w:rPr>
                                  <w:rFonts w:ascii="Calibri" w:hAnsi="Calibri"/>
                                  <w:color w:val="000000"/>
                                  <w:sz w:val="22"/>
                                  <w:szCs w:val="22"/>
                                </w:rPr>
                                <w:tab/>
                                <w:t>Пряме тестування (стратифіковано за ступенем мазка: мазок негативний; недостатній; 1+; ≥2+).</w:t>
                              </w:r>
                            </w:p>
                            <w:p w:rsidR="00BE6F5B" w:rsidRPr="00BE6F5B" w:rsidRDefault="00BE6F5B" w:rsidP="00BE6F5B">
                              <w:pPr>
                                <w:tabs>
                                  <w:tab w:val="left" w:pos="284"/>
                                </w:tabs>
                                <w:rPr>
                                  <w:rFonts w:asciiTheme="minorHAnsi" w:hAnsiTheme="minorHAnsi" w:cstheme="minorHAnsi"/>
                                  <w:sz w:val="22"/>
                                  <w:szCs w:val="22"/>
                                </w:rPr>
                              </w:pPr>
                              <w:r w:rsidRPr="00BE6F5B">
                                <w:rPr>
                                  <w:rFonts w:ascii="Calibri" w:hAnsi="Calibri"/>
                                  <w:color w:val="009649"/>
                                  <w:sz w:val="22"/>
                                  <w:szCs w:val="22"/>
                                </w:rPr>
                                <w:t>•</w:t>
                              </w:r>
                              <w:r w:rsidRPr="00BE6F5B">
                                <w:rPr>
                                  <w:rFonts w:ascii="Calibri" w:hAnsi="Calibri"/>
                                  <w:color w:val="000000"/>
                                  <w:sz w:val="22"/>
                                  <w:szCs w:val="22"/>
                                </w:rPr>
                                <w:tab/>
                                <w:t>Непряме тестування.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299F46" id="Группа 582" o:spid="_x0000_s1098" style="position:absolute;margin-left:4.6pt;margin-top:13.2pt;width:455.05pt;height:194.95pt;z-index:251756544;mso-position-horizontal-relative:margin;mso-width-relative:margin;mso-height-relative:margin" coordorigin="-1,10" coordsize="57796,2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">
                <v:shape id="Прямоугольник с двумя скругленными соседними углами 583" o:spid="_x0000_s1099" style="position:absolute;left:16401;top:-14806;width:26577;height:56210;rotation:90;visibility:visible;mso-wrap-style:square;v-text-anchor:middle" coordsize="2657738,56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" path="m219609,l2438129,v121287,,219609,98322,219609,219609l2657738,5621020r,l,5621020r,l,219609c,98322,98322,,219609,xe" fillcolor="#c6e0ce" stroked="f" strokeweight="1pt">
                  <v:stroke joinstyle="miter"/>
                  <v:path arrowok="t" o:connecttype="custom" o:connectlocs="219609,0;2438129,0;2657738,219609;2657738,5621020;2657738,5621020;0,5621020;0,5621020;0,219609;219609,0" o:connectangles="0,0,0,0,0,0,0,0,0"/>
                </v:shape>
                <v:shape id="Прямоугольник с двумя скругленными соседними углами 584" o:spid="_x0000_s1100" style="position:absolute;left:9165;top:-7678;width:3408;height:21739;rotation:90;visibility:visible;mso-wrap-style:square;v-text-anchor:middle" coordsize="340793,217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" path="m170397,r,c264505,,340794,76289,340794,170397v,667873,-1,1335747,-1,2003620l340793,2174017,,2174017r,l,170397c,76289,76289,,170397,xe" fillcolor="#009649" stroked="f" strokeweight="1pt">
                  <v:stroke joinstyle="miter"/>
                  <v:path arrowok="t" o:connecttype="custom" o:connectlocs="170397,0;170397,0;340794,170397;340793,2174017;340793,2174017;0,2174017;0,2174017;0,170397;170397,0" o:connectangles="0,0,0,0,0,0,0,0,0"/>
                </v:shape>
                <v:shape id="Надпись 585" o:spid="_x0000_s1101" type="#_x0000_t202" style="position:absolute;left:1618;top:2198;width:50292;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" filled="f" stroked="f" strokeweight=".5pt">
                  <v:textbox inset="0,0,0,0">
                    <w:txbxContent>
                      <w:p w:rsidR="00BE6F5B" w:rsidRPr="00A3729E" w:rsidRDefault="00BE6F5B" w:rsidP="00E012D4">
                        <w:pPr>
                          <w:rPr>
                            <w:rFonts w:asciiTheme="minorHAnsi" w:hAnsiTheme="minorHAnsi" w:cstheme="minorHAnsi"/>
                          </w:rPr>
                        </w:pPr>
                        <w:r>
                          <w:rPr>
                            <w:rFonts w:asciiTheme="minorHAnsi" w:hAnsiTheme="minorHAnsi"/>
                            <w:b/>
                            <w:color w:val="FFFFFF"/>
                            <w:sz w:val="22"/>
                          </w:rPr>
                          <w:t>Вставка 2.3.3. Питання PICO</w:t>
                        </w:r>
                      </w:p>
                    </w:txbxContent>
                  </v:textbox>
                </v:shape>
                <v:shape id="Надпись 586" o:spid="_x0000_s1102" type="#_x0000_t202" style="position:absolute;left:3851;top:5963;width:52914;height:19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" filled="f" stroked="f" strokeweight=".5pt">
                  <v:textbox inset="0,0,0,0">
                    <w:txbxContent>
                      <w:p w:rsidR="00BE6F5B" w:rsidRPr="00BE6F5B" w:rsidRDefault="00BE6F5B" w:rsidP="00BE6F5B">
                        <w:pPr>
                          <w:tabs>
                            <w:tab w:val="left" w:pos="284"/>
                          </w:tabs>
                          <w:jc w:val="both"/>
                          <w:rPr>
                            <w:rFonts w:ascii="Calibri" w:hAnsi="Calibri" w:cs="Calibri"/>
                            <w:b/>
                            <w:bCs/>
                            <w:color w:val="000000"/>
                            <w:sz w:val="22"/>
                            <w:szCs w:val="22"/>
                          </w:rPr>
                        </w:pPr>
                        <w:r w:rsidRPr="00BE6F5B">
                          <w:rPr>
                            <w:rFonts w:ascii="Calibri" w:hAnsi="Calibri"/>
                            <w:b/>
                            <w:color w:val="000000"/>
                            <w:sz w:val="22"/>
                            <w:szCs w:val="22"/>
                          </w:rPr>
                          <w:t>1.</w:t>
                        </w:r>
                        <w:r w:rsidRPr="00BE6F5B">
                          <w:rPr>
                            <w:rFonts w:ascii="Calibri" w:hAnsi="Calibri"/>
                            <w:b/>
                            <w:color w:val="000000"/>
                            <w:sz w:val="22"/>
                            <w:szCs w:val="22"/>
                          </w:rPr>
                          <w:tab/>
                          <w:t>Чи слід використовувати тест MTBDR</w:t>
                        </w:r>
                        <w:r w:rsidRPr="00BE6F5B">
                          <w:rPr>
                            <w:rFonts w:ascii="Calibri" w:hAnsi="Calibri"/>
                            <w:b/>
                            <w:i/>
                            <w:color w:val="000000"/>
                            <w:sz w:val="22"/>
                            <w:szCs w:val="22"/>
                          </w:rPr>
                          <w:t>sl</w:t>
                        </w:r>
                        <w:r w:rsidRPr="00BE6F5B">
                          <w:rPr>
                            <w:rFonts w:ascii="Calibri" w:hAnsi="Calibri"/>
                            <w:b/>
                            <w:color w:val="000000"/>
                            <w:sz w:val="22"/>
                            <w:szCs w:val="22"/>
                          </w:rPr>
                          <w:t xml:space="preserve"> для прийняття клінічних рішень щодо використання фторхінолонів у пацієнтів із підтвердженим MЛС/Риф-TБ?</w:t>
                        </w:r>
                      </w:p>
                      <w:p w:rsidR="00BE6F5B" w:rsidRPr="00BE6F5B" w:rsidRDefault="00BE6F5B" w:rsidP="00BE6F5B">
                        <w:pPr>
                          <w:tabs>
                            <w:tab w:val="left" w:pos="284"/>
                          </w:tabs>
                          <w:ind w:left="308" w:hanging="308"/>
                          <w:jc w:val="both"/>
                          <w:rPr>
                            <w:rFonts w:ascii="Calibri" w:hAnsi="Calibri" w:cs="Calibri"/>
                            <w:color w:val="000000"/>
                            <w:sz w:val="22"/>
                            <w:szCs w:val="22"/>
                          </w:rPr>
                        </w:pPr>
                        <w:r w:rsidRPr="00BE6F5B">
                          <w:rPr>
                            <w:rFonts w:ascii="Calibri" w:hAnsi="Calibri"/>
                            <w:color w:val="009649"/>
                            <w:sz w:val="22"/>
                            <w:szCs w:val="22"/>
                          </w:rPr>
                          <w:t>•</w:t>
                        </w:r>
                        <w:r w:rsidRPr="00BE6F5B">
                          <w:rPr>
                            <w:rFonts w:ascii="Calibri" w:hAnsi="Calibri"/>
                            <w:color w:val="000000"/>
                            <w:sz w:val="22"/>
                            <w:szCs w:val="22"/>
                          </w:rPr>
                          <w:tab/>
                          <w:t>Пряме тестування (стратифіковано за ступенем мазка: мазок негативний; недостатній; 1+; ≥2+).</w:t>
                        </w:r>
                      </w:p>
                      <w:p w:rsidR="00BE6F5B" w:rsidRPr="00BE6F5B" w:rsidRDefault="00BE6F5B" w:rsidP="00BE6F5B">
                        <w:pPr>
                          <w:tabs>
                            <w:tab w:val="left" w:pos="284"/>
                          </w:tabs>
                          <w:jc w:val="both"/>
                          <w:rPr>
                            <w:rFonts w:ascii="Calibri" w:hAnsi="Calibri" w:cs="Calibri"/>
                            <w:color w:val="000000"/>
                            <w:sz w:val="22"/>
                            <w:szCs w:val="22"/>
                          </w:rPr>
                        </w:pPr>
                        <w:r w:rsidRPr="00BE6F5B">
                          <w:rPr>
                            <w:rFonts w:ascii="Calibri" w:hAnsi="Calibri"/>
                            <w:color w:val="009649"/>
                            <w:sz w:val="22"/>
                            <w:szCs w:val="22"/>
                          </w:rPr>
                          <w:t>•</w:t>
                        </w:r>
                        <w:r w:rsidRPr="00BE6F5B">
                          <w:rPr>
                            <w:rFonts w:ascii="Calibri" w:hAnsi="Calibri"/>
                            <w:color w:val="000000"/>
                            <w:sz w:val="22"/>
                            <w:szCs w:val="22"/>
                          </w:rPr>
                          <w:tab/>
                          <w:t>Непряме тестування.</w:t>
                        </w:r>
                      </w:p>
                      <w:p w:rsidR="00BE6F5B" w:rsidRPr="00BE6F5B" w:rsidRDefault="00BE6F5B" w:rsidP="00BE6F5B">
                        <w:pPr>
                          <w:tabs>
                            <w:tab w:val="left" w:pos="284"/>
                          </w:tabs>
                          <w:spacing w:before="120"/>
                          <w:jc w:val="both"/>
                          <w:rPr>
                            <w:rFonts w:ascii="Calibri" w:hAnsi="Calibri" w:cs="Calibri"/>
                            <w:b/>
                            <w:bCs/>
                            <w:color w:val="000000"/>
                            <w:sz w:val="22"/>
                            <w:szCs w:val="22"/>
                          </w:rPr>
                        </w:pPr>
                        <w:r w:rsidRPr="00BE6F5B">
                          <w:rPr>
                            <w:rFonts w:ascii="Calibri" w:hAnsi="Calibri"/>
                            <w:b/>
                            <w:color w:val="000000"/>
                            <w:sz w:val="22"/>
                            <w:szCs w:val="22"/>
                          </w:rPr>
                          <w:t>2.</w:t>
                        </w:r>
                        <w:r w:rsidRPr="00BE6F5B">
                          <w:rPr>
                            <w:rFonts w:ascii="Calibri" w:hAnsi="Calibri"/>
                            <w:b/>
                            <w:color w:val="000000"/>
                            <w:sz w:val="22"/>
                            <w:szCs w:val="22"/>
                          </w:rPr>
                          <w:tab/>
                          <w:t>Чи слід використовувати тест MTBDR</w:t>
                        </w:r>
                        <w:r w:rsidRPr="00BE6F5B">
                          <w:rPr>
                            <w:rFonts w:ascii="Calibri" w:hAnsi="Calibri"/>
                            <w:b/>
                            <w:i/>
                            <w:color w:val="000000"/>
                            <w:sz w:val="22"/>
                            <w:szCs w:val="22"/>
                          </w:rPr>
                          <w:t>sl</w:t>
                        </w:r>
                        <w:r w:rsidRPr="00BE6F5B">
                          <w:rPr>
                            <w:rFonts w:ascii="Calibri" w:hAnsi="Calibri"/>
                            <w:b/>
                            <w:color w:val="000000"/>
                            <w:sz w:val="22"/>
                            <w:szCs w:val="22"/>
                          </w:rPr>
                          <w:t xml:space="preserve"> для прийняття клінічних рішень щодо використання ІПДЛ у пацієнтів із підтвердженим MЛС/Риф-TБ?</w:t>
                        </w:r>
                      </w:p>
                      <w:p w:rsidR="00BE6F5B" w:rsidRPr="00BE6F5B" w:rsidRDefault="00BE6F5B" w:rsidP="00BE6F5B">
                        <w:pPr>
                          <w:tabs>
                            <w:tab w:val="left" w:pos="284"/>
                          </w:tabs>
                          <w:ind w:left="308" w:hanging="308"/>
                          <w:jc w:val="both"/>
                          <w:rPr>
                            <w:rFonts w:ascii="Calibri" w:hAnsi="Calibri" w:cs="Calibri"/>
                            <w:color w:val="000000"/>
                            <w:sz w:val="22"/>
                            <w:szCs w:val="22"/>
                          </w:rPr>
                        </w:pPr>
                        <w:r w:rsidRPr="00BE6F5B">
                          <w:rPr>
                            <w:rFonts w:ascii="Calibri" w:hAnsi="Calibri"/>
                            <w:color w:val="009649"/>
                            <w:sz w:val="22"/>
                            <w:szCs w:val="22"/>
                          </w:rPr>
                          <w:t>•</w:t>
                        </w:r>
                        <w:r w:rsidRPr="00BE6F5B">
                          <w:rPr>
                            <w:rFonts w:ascii="Calibri" w:hAnsi="Calibri"/>
                            <w:color w:val="000000"/>
                            <w:sz w:val="22"/>
                            <w:szCs w:val="22"/>
                          </w:rPr>
                          <w:tab/>
                          <w:t>Пряме тестування (стратифіковано за ступенем мазка: мазок негативний; недостатній; 1+; ≥2+).</w:t>
                        </w:r>
                      </w:p>
                      <w:p w:rsidR="00BE6F5B" w:rsidRPr="00BE6F5B" w:rsidRDefault="00BE6F5B" w:rsidP="00BE6F5B">
                        <w:pPr>
                          <w:tabs>
                            <w:tab w:val="left" w:pos="284"/>
                          </w:tabs>
                          <w:rPr>
                            <w:rFonts w:asciiTheme="minorHAnsi" w:hAnsiTheme="minorHAnsi" w:cstheme="minorHAnsi"/>
                            <w:sz w:val="22"/>
                            <w:szCs w:val="22"/>
                          </w:rPr>
                        </w:pPr>
                        <w:r w:rsidRPr="00BE6F5B">
                          <w:rPr>
                            <w:rFonts w:ascii="Calibri" w:hAnsi="Calibri"/>
                            <w:color w:val="009649"/>
                            <w:sz w:val="22"/>
                            <w:szCs w:val="22"/>
                          </w:rPr>
                          <w:t>•</w:t>
                        </w:r>
                        <w:r w:rsidRPr="00BE6F5B">
                          <w:rPr>
                            <w:rFonts w:ascii="Calibri" w:hAnsi="Calibri"/>
                            <w:color w:val="000000"/>
                            <w:sz w:val="22"/>
                            <w:szCs w:val="22"/>
                          </w:rPr>
                          <w:tab/>
                          <w:t>Непряме тестування.</w:t>
                        </w:r>
                      </w:p>
                    </w:txbxContent>
                  </v:textbox>
                </v:shape>
                <w10:wrap anchorx="margin"/>
              </v:group>
            </w:pict>
          </mc:Fallback>
        </mc:AlternateContent>
      </w:r>
    </w:p>
    <w:p w:rsidR="00ED665B" w:rsidRPr="00907702" w:rsidRDefault="006C7D2F" w:rsidP="00F67926">
      <w:pPr>
        <w:spacing w:before="3960" w:line="216" w:lineRule="auto"/>
        <w:ind w:left="5" w:right="5"/>
        <w:jc w:val="both"/>
        <w:rPr>
          <w:rFonts w:ascii="Calibri" w:hAnsi="Calibri" w:cs="Calibri"/>
        </w:rPr>
      </w:pPr>
      <w:r>
        <w:rPr>
          <w:rFonts w:ascii="Calibri" w:hAnsi="Calibri"/>
          <w:color w:val="000000"/>
          <w:sz w:val="22"/>
        </w:rPr>
        <w:t>Виявлено двадцять дев’ять унікальних досліджень; з них 26 оцінювали аналіз MTBDR</w:t>
      </w:r>
      <w:r w:rsidR="00BE6F5B" w:rsidRPr="00BE6F5B">
        <w:rPr>
          <w:rFonts w:ascii="Calibri" w:hAnsi="Calibri"/>
          <w:i/>
          <w:color w:val="000000"/>
          <w:sz w:val="22"/>
        </w:rPr>
        <w:t>sl</w:t>
      </w:r>
      <w:r>
        <w:rPr>
          <w:rFonts w:ascii="Calibri" w:hAnsi="Calibri"/>
          <w:color w:val="000000"/>
          <w:sz w:val="22"/>
        </w:rPr>
        <w:t xml:space="preserve"> версії 1.0 (включаючи 21 дослідження з оригінального огляду Cochrane). В трьох дослідження (одне опубліковане та два неопубліковані) оцінювалася версія 2.0. Дані для версії 1.0 та версії 2.0 тесту MTBDR</w:t>
      </w:r>
      <w:r w:rsidR="00BE6F5B" w:rsidRPr="00BE6F5B">
        <w:rPr>
          <w:rFonts w:ascii="Calibri" w:hAnsi="Calibri"/>
          <w:i/>
          <w:color w:val="000000"/>
          <w:sz w:val="22"/>
        </w:rPr>
        <w:t>sl</w:t>
      </w:r>
      <w:r>
        <w:rPr>
          <w:rFonts w:ascii="Calibri" w:hAnsi="Calibri"/>
          <w:color w:val="000000"/>
          <w:sz w:val="22"/>
        </w:rPr>
        <w:t xml:space="preserve"> були проаналізовані окремо. Для первинних аналізів використовувався референс стандарт ТМЧ на основі фенотипічного посіву. Ці аналізи були стратифіковані, по-перше, за чутливістю або резистентністю до конкретного препарату та, по-друге, за типом тестування SL-LPA (непряме тестування або пряме тестування).</w:t>
      </w:r>
    </w:p>
    <w:p w:rsidR="00ED665B" w:rsidRPr="008E41A3" w:rsidRDefault="006C7D2F" w:rsidP="00F67926">
      <w:pPr>
        <w:spacing w:before="259" w:line="216" w:lineRule="auto"/>
        <w:ind w:left="29"/>
        <w:rPr>
          <w:rFonts w:ascii="Calibri" w:hAnsi="Calibri" w:cs="Calibri"/>
          <w:b/>
          <w:bCs/>
        </w:rPr>
      </w:pPr>
      <w:r>
        <w:rPr>
          <w:rFonts w:ascii="Calibri" w:hAnsi="Calibri"/>
          <w:b/>
          <w:color w:val="009649"/>
          <w:sz w:val="26"/>
        </w:rPr>
        <w:t>Ефективність SL-LPA на зразках мокротиння та культуральних ізолятах</w:t>
      </w:r>
    </w:p>
    <w:p w:rsidR="00ED665B" w:rsidRPr="00907702" w:rsidRDefault="006C7D2F" w:rsidP="00F67926">
      <w:pPr>
        <w:spacing w:before="168" w:line="216" w:lineRule="auto"/>
        <w:ind w:left="5"/>
        <w:jc w:val="both"/>
        <w:rPr>
          <w:rFonts w:ascii="Calibri" w:hAnsi="Calibri" w:cs="Calibri"/>
        </w:rPr>
      </w:pPr>
      <w:r>
        <w:rPr>
          <w:rFonts w:ascii="Calibri" w:hAnsi="Calibri"/>
          <w:color w:val="000000"/>
          <w:sz w:val="22"/>
        </w:rPr>
        <w:t xml:space="preserve">У пацієнтів з MЛС/Риф-TБ у разі отримання позитивного результату SL-LPA щодо резистентності до фторхінолону (як класу препаратів) або резистентності до ІПДЛ (як препарату групи) можна з упевненістю застосовувати у лікуванні. Діагностична точність SL-LPA аналогічна, коли вона проводиться безпосередньо на зразках мокротиння або культивованих ізолятів </w:t>
      </w:r>
      <w:r>
        <w:rPr>
          <w:rFonts w:ascii="Calibri" w:hAnsi="Calibri"/>
          <w:i/>
          <w:color w:val="000000"/>
          <w:sz w:val="22"/>
        </w:rPr>
        <w:t>M. tuberculosis</w:t>
      </w:r>
      <w:r>
        <w:rPr>
          <w:rFonts w:ascii="Calibri" w:hAnsi="Calibri"/>
          <w:color w:val="000000"/>
          <w:sz w:val="22"/>
        </w:rPr>
        <w:t>.</w:t>
      </w:r>
    </w:p>
    <w:p w:rsidR="00ED665B" w:rsidRPr="00907702" w:rsidRDefault="006C7D2F" w:rsidP="00F67926">
      <w:pPr>
        <w:spacing w:before="168" w:line="216" w:lineRule="auto"/>
        <w:ind w:right="10"/>
        <w:jc w:val="both"/>
        <w:rPr>
          <w:rFonts w:ascii="Calibri" w:hAnsi="Calibri" w:cs="Calibri"/>
        </w:rPr>
      </w:pPr>
      <w:r>
        <w:rPr>
          <w:rFonts w:ascii="Calibri" w:hAnsi="Calibri"/>
          <w:color w:val="000000"/>
          <w:sz w:val="22"/>
        </w:rPr>
        <w:t>Враховуючи впевненість у позитивному результаті та здатність тесту забезпечити швидкі результати, ГРН вважає, що SL-LPA може розглядатися для використання в якості первинного тесту на резистентність до фторхінолонів та ІПДЛ, якщо доцільно. Однак якщо результат тесту негативний, може бути необхідним проведення ТМЧ на основі фенотипічного посіву, особливо в умовах з високою вірогідністю резистентності до фторхінолонів або ІПДЛ (або обох) до проведення тесту. Використання SL-LPA у рутинній допомозі має зменшити час діагностики фторхінолону та ІПДЛ, якщо доцільно, особливо при використанні для прямого тестування зразків мокротиння пацієнтів із підтвердженим МЛС/Риф-ТБ. Раннє виявлення медикаментозної резистентності має дозволяти раніше розпочати відповідну терапію пацієнтам та покращити результати лікування пацієнта. В цілому, тест дає хороші результати при прямому тестуванні зразків мокротиння у пацієнтів з підтвердженим МЛС/Риф-ТБ, хоча невизначена частота є вищою при тестуванні зразків мокротиння з негативним результатом порівняно зі зразками з позитивним результатом.</w:t>
      </w:r>
    </w:p>
    <w:p w:rsidR="00ED665B" w:rsidRPr="00907702" w:rsidRDefault="006C7D2F" w:rsidP="00F67926">
      <w:pPr>
        <w:spacing w:before="163" w:line="216" w:lineRule="auto"/>
        <w:ind w:left="5" w:right="10"/>
        <w:jc w:val="both"/>
        <w:rPr>
          <w:rFonts w:ascii="Calibri" w:hAnsi="Calibri" w:cs="Calibri"/>
        </w:rPr>
      </w:pPr>
      <w:r>
        <w:rPr>
          <w:rFonts w:ascii="Calibri" w:hAnsi="Calibri"/>
          <w:color w:val="000000"/>
          <w:sz w:val="22"/>
        </w:rPr>
        <w:t>Коли аналіз MTBDR</w:t>
      </w:r>
      <w:r w:rsidR="00BE6F5B" w:rsidRPr="00BE6F5B">
        <w:rPr>
          <w:rFonts w:ascii="Calibri" w:hAnsi="Calibri"/>
          <w:i/>
          <w:color w:val="000000"/>
          <w:sz w:val="22"/>
        </w:rPr>
        <w:t>sl</w:t>
      </w:r>
      <w:r>
        <w:rPr>
          <w:rFonts w:ascii="Calibri" w:hAnsi="Calibri"/>
          <w:color w:val="000000"/>
          <w:sz w:val="22"/>
        </w:rPr>
        <w:t xml:space="preserve"> використовується для прямого тестування зразків мазків мокротиння з негативним результатом з популяції пацієнтів з ТБ з підтвердженою резистентністю до лікарських засобів, до 44% результатів можуть бути невизначеними (менше, ніж при застосуванні </w:t>
      </w:r>
    </w:p>
    <w:p w:rsidR="00ED665B" w:rsidRPr="00907702" w:rsidRDefault="00ED665B" w:rsidP="00DC2656">
      <w:pPr>
        <w:spacing w:before="163"/>
        <w:ind w:left="5" w:right="10"/>
        <w:jc w:val="both"/>
        <w:rPr>
          <w:rFonts w:ascii="Calibri" w:hAnsi="Calibri" w:cs="Calibri"/>
        </w:rPr>
        <w:sectPr w:rsidR="00ED665B" w:rsidRPr="00907702">
          <w:pgSz w:w="11904" w:h="16838"/>
          <w:pgMar w:top="2371" w:right="1411" w:bottom="1574" w:left="1416" w:header="720" w:footer="720" w:gutter="0"/>
          <w:cols w:space="60"/>
          <w:noEndnote/>
        </w:sectPr>
      </w:pPr>
    </w:p>
    <w:p w:rsidR="00ED665B" w:rsidRPr="00907702" w:rsidRDefault="00F67926" w:rsidP="00DC2656">
      <w:pPr>
        <w:ind w:right="14"/>
        <w:jc w:val="both"/>
        <w:rPr>
          <w:rFonts w:ascii="Calibri" w:hAnsi="Calibri" w:cs="Calibri"/>
        </w:rPr>
      </w:pPr>
      <w:r>
        <w:rPr>
          <w:rFonts w:ascii="Calibri" w:hAnsi="Calibri"/>
          <w:color w:val="000000"/>
          <w:sz w:val="22"/>
        </w:rPr>
        <w:lastRenderedPageBreak/>
        <w:t xml:space="preserve">версії 2.0, хоча дані дуже обмежені), отже, потрібно повторне </w:t>
      </w:r>
      <w:r w:rsidR="006C7D2F">
        <w:rPr>
          <w:rFonts w:ascii="Calibri" w:hAnsi="Calibri"/>
          <w:color w:val="000000"/>
          <w:sz w:val="22"/>
        </w:rPr>
        <w:t>або додаткове тестування. Однак якщо той самий тест слід було б застосувати для тестування зразків негативного мазка мокротиння у пацієнтів без підтвердженого ТБ або резистентного до лікарських засобів ТБ (тобто пацієнтів, у яких підозрюють ТБ зі резистентністю до лікарських препаратів), невизначений рівень тесту був би значно вищим. Враховуючи чутливість та специфічність тесту, коли SL-LPA проводиться безпосередньо у мокротинні, ГРН вважає, що SL-LPA можна використовувати для тестування всіх зразків мокротиння у пацієнтів із підтвердженим MЛС/Риф-TБ незалежно від того, чи є результат мікроскопії позитивним, чи негативним.</w:t>
      </w:r>
    </w:p>
    <w:p w:rsidR="00ED665B" w:rsidRPr="008E41A3" w:rsidRDefault="006C7D2F" w:rsidP="00DC2656">
      <w:pPr>
        <w:spacing w:before="274"/>
        <w:rPr>
          <w:rFonts w:ascii="Calibri" w:hAnsi="Calibri" w:cs="Calibri"/>
          <w:b/>
          <w:bCs/>
        </w:rPr>
      </w:pPr>
      <w:r>
        <w:rPr>
          <w:rFonts w:ascii="Calibri" w:hAnsi="Calibri"/>
          <w:b/>
          <w:color w:val="636466"/>
          <w:sz w:val="24"/>
        </w:rPr>
        <w:t>Таблиця 2.3.4. Точність GenoType MTBDR</w:t>
      </w:r>
      <w:r w:rsidRPr="00BE6F5B">
        <w:rPr>
          <w:rFonts w:ascii="Calibri" w:hAnsi="Calibri"/>
          <w:b/>
          <w:i/>
          <w:color w:val="636466"/>
          <w:sz w:val="24"/>
        </w:rPr>
        <w:t>sl</w:t>
      </w:r>
      <w:r>
        <w:rPr>
          <w:rFonts w:ascii="Calibri" w:hAnsi="Calibri"/>
          <w:b/>
          <w:color w:val="636466"/>
          <w:sz w:val="24"/>
        </w:rPr>
        <w:t xml:space="preserve"> (версії 1.0) щодо резистентності до фторхінолону та ІПДЛ, а також ШЛС-ТБ, непрямого та прямого тестування (зразки мазків з-позитивним результатом), референс стандарту ТМЧ на основі посіву</w:t>
      </w:r>
    </w:p>
    <w:p w:rsidR="00ED665B" w:rsidRPr="00907702" w:rsidRDefault="00ED665B" w:rsidP="00DC2656">
      <w:pPr>
        <w:spacing w:after="187"/>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22"/>
        <w:gridCol w:w="1512"/>
        <w:gridCol w:w="1512"/>
        <w:gridCol w:w="1512"/>
        <w:gridCol w:w="1512"/>
        <w:gridCol w:w="1522"/>
      </w:tblGrid>
      <w:tr w:rsidR="00ED665B" w:rsidRPr="00907702" w:rsidTr="00F67926">
        <w:trPr>
          <w:trHeight w:val="567"/>
        </w:trPr>
        <w:tc>
          <w:tcPr>
            <w:tcW w:w="152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907702" w:rsidRDefault="006C7D2F" w:rsidP="008E41A3">
            <w:pPr>
              <w:ind w:left="168"/>
              <w:jc w:val="center"/>
              <w:rPr>
                <w:rFonts w:ascii="Calibri" w:hAnsi="Calibri" w:cs="Calibri"/>
              </w:rPr>
            </w:pPr>
            <w:r>
              <w:rPr>
                <w:rFonts w:ascii="Calibri" w:hAnsi="Calibri"/>
                <w:color w:val="000000"/>
              </w:rPr>
              <w:t>Об’єднана</w:t>
            </w:r>
          </w:p>
          <w:p w:rsidR="00ED665B" w:rsidRPr="00907702" w:rsidRDefault="006C7D2F" w:rsidP="008E41A3">
            <w:pPr>
              <w:ind w:left="168"/>
              <w:jc w:val="center"/>
              <w:rPr>
                <w:rFonts w:ascii="Calibri" w:hAnsi="Calibri" w:cs="Calibri"/>
              </w:rPr>
            </w:pPr>
            <w:r>
              <w:rPr>
                <w:rFonts w:ascii="Calibri" w:hAnsi="Calibri"/>
                <w:color w:val="000000"/>
              </w:rPr>
              <w:t>чутливість</w:t>
            </w:r>
          </w:p>
          <w:p w:rsidR="00ED665B" w:rsidRPr="00907702" w:rsidRDefault="006C7D2F" w:rsidP="008E41A3">
            <w:pPr>
              <w:ind w:left="168"/>
              <w:jc w:val="center"/>
              <w:rPr>
                <w:rFonts w:ascii="Calibri" w:hAnsi="Calibri" w:cs="Calibri"/>
              </w:rPr>
            </w:pPr>
            <w:r>
              <w:rPr>
                <w:rFonts w:ascii="Calibri" w:hAnsi="Calibri"/>
                <w:color w:val="000000"/>
              </w:rPr>
              <w:t>(95% ДI)</w:t>
            </w:r>
          </w:p>
        </w:tc>
        <w:tc>
          <w:tcPr>
            <w:tcW w:w="151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907702" w:rsidRDefault="006C7D2F" w:rsidP="008E41A3">
            <w:pPr>
              <w:ind w:left="163"/>
              <w:jc w:val="center"/>
              <w:rPr>
                <w:rFonts w:ascii="Calibri" w:hAnsi="Calibri" w:cs="Calibri"/>
              </w:rPr>
            </w:pPr>
            <w:r>
              <w:rPr>
                <w:rFonts w:ascii="Calibri" w:hAnsi="Calibri"/>
                <w:color w:val="000000"/>
              </w:rPr>
              <w:t>Об’єднана</w:t>
            </w:r>
          </w:p>
          <w:p w:rsidR="00ED665B" w:rsidRPr="00907702" w:rsidRDefault="00907702" w:rsidP="008E41A3">
            <w:pPr>
              <w:ind w:left="163"/>
              <w:jc w:val="center"/>
              <w:rPr>
                <w:rFonts w:ascii="Calibri" w:hAnsi="Calibri" w:cs="Calibri"/>
              </w:rPr>
            </w:pPr>
            <w:r>
              <w:rPr>
                <w:rFonts w:ascii="Calibri" w:hAnsi="Calibri"/>
                <w:color w:val="000000"/>
              </w:rPr>
              <w:t>Специфічність:</w:t>
            </w:r>
          </w:p>
          <w:p w:rsidR="00ED665B" w:rsidRPr="00907702" w:rsidRDefault="006C7D2F" w:rsidP="008E41A3">
            <w:pPr>
              <w:ind w:left="163"/>
              <w:jc w:val="center"/>
              <w:rPr>
                <w:rFonts w:ascii="Calibri" w:hAnsi="Calibri" w:cs="Calibri"/>
              </w:rPr>
            </w:pPr>
            <w:r>
              <w:rPr>
                <w:rFonts w:ascii="Calibri" w:hAnsi="Calibri"/>
                <w:color w:val="000000"/>
              </w:rPr>
              <w:t>(95% ДI)</w:t>
            </w:r>
          </w:p>
        </w:tc>
        <w:tc>
          <w:tcPr>
            <w:tcW w:w="151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907702" w:rsidRDefault="006C7D2F" w:rsidP="008E41A3">
            <w:pPr>
              <w:ind w:left="158"/>
              <w:jc w:val="center"/>
              <w:rPr>
                <w:rFonts w:ascii="Calibri" w:hAnsi="Calibri" w:cs="Calibri"/>
              </w:rPr>
            </w:pPr>
            <w:r>
              <w:rPr>
                <w:rFonts w:ascii="Calibri" w:hAnsi="Calibri"/>
                <w:color w:val="000000"/>
              </w:rPr>
              <w:t>Об’єднана</w:t>
            </w:r>
          </w:p>
          <w:p w:rsidR="00ED665B" w:rsidRPr="00907702" w:rsidRDefault="006C7D2F" w:rsidP="008E41A3">
            <w:pPr>
              <w:ind w:left="158"/>
              <w:jc w:val="center"/>
              <w:rPr>
                <w:rFonts w:ascii="Calibri" w:hAnsi="Calibri" w:cs="Calibri"/>
              </w:rPr>
            </w:pPr>
            <w:r>
              <w:rPr>
                <w:rFonts w:ascii="Calibri" w:hAnsi="Calibri"/>
                <w:color w:val="000000"/>
              </w:rPr>
              <w:t>чутливість</w:t>
            </w:r>
          </w:p>
          <w:p w:rsidR="00ED665B" w:rsidRPr="00907702" w:rsidRDefault="006C7D2F" w:rsidP="008E41A3">
            <w:pPr>
              <w:ind w:left="158"/>
              <w:jc w:val="center"/>
              <w:rPr>
                <w:rFonts w:ascii="Calibri" w:hAnsi="Calibri" w:cs="Calibri"/>
              </w:rPr>
            </w:pPr>
            <w:r>
              <w:rPr>
                <w:rFonts w:ascii="Calibri" w:hAnsi="Calibri"/>
                <w:color w:val="000000"/>
              </w:rPr>
              <w:t>(95% ДI)</w:t>
            </w:r>
          </w:p>
        </w:tc>
        <w:tc>
          <w:tcPr>
            <w:tcW w:w="151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907702" w:rsidRDefault="006C7D2F" w:rsidP="008E41A3">
            <w:pPr>
              <w:ind w:left="163"/>
              <w:jc w:val="center"/>
              <w:rPr>
                <w:rFonts w:ascii="Calibri" w:hAnsi="Calibri" w:cs="Calibri"/>
              </w:rPr>
            </w:pPr>
            <w:r>
              <w:rPr>
                <w:rFonts w:ascii="Calibri" w:hAnsi="Calibri"/>
                <w:color w:val="000000"/>
              </w:rPr>
              <w:t>Об’єднана</w:t>
            </w:r>
          </w:p>
          <w:p w:rsidR="00ED665B" w:rsidRPr="00907702" w:rsidRDefault="00907702" w:rsidP="008E41A3">
            <w:pPr>
              <w:ind w:left="163"/>
              <w:jc w:val="center"/>
              <w:rPr>
                <w:rFonts w:ascii="Calibri" w:hAnsi="Calibri" w:cs="Calibri"/>
              </w:rPr>
            </w:pPr>
            <w:r>
              <w:rPr>
                <w:rFonts w:ascii="Calibri" w:hAnsi="Calibri"/>
                <w:color w:val="000000"/>
              </w:rPr>
              <w:t>Специфічність:</w:t>
            </w:r>
          </w:p>
          <w:p w:rsidR="00ED665B" w:rsidRPr="00907702" w:rsidRDefault="006C7D2F" w:rsidP="008E41A3">
            <w:pPr>
              <w:ind w:left="163"/>
              <w:jc w:val="center"/>
              <w:rPr>
                <w:rFonts w:ascii="Calibri" w:hAnsi="Calibri" w:cs="Calibri"/>
              </w:rPr>
            </w:pPr>
            <w:r>
              <w:rPr>
                <w:rFonts w:ascii="Calibri" w:hAnsi="Calibri"/>
                <w:color w:val="000000"/>
              </w:rPr>
              <w:t>(95% ДI)</w:t>
            </w:r>
          </w:p>
        </w:tc>
        <w:tc>
          <w:tcPr>
            <w:tcW w:w="151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907702" w:rsidRDefault="006C7D2F" w:rsidP="008E41A3">
            <w:pPr>
              <w:ind w:left="158" w:right="154"/>
              <w:jc w:val="center"/>
              <w:rPr>
                <w:rFonts w:ascii="Calibri" w:hAnsi="Calibri" w:cs="Calibri"/>
              </w:rPr>
            </w:pPr>
            <w:r>
              <w:rPr>
                <w:rFonts w:ascii="Calibri" w:hAnsi="Calibri"/>
                <w:color w:val="000000"/>
              </w:rPr>
              <w:t>Об’єднана чутливість</w:t>
            </w:r>
          </w:p>
          <w:p w:rsidR="00ED665B" w:rsidRPr="00907702" w:rsidRDefault="006C7D2F" w:rsidP="008E41A3">
            <w:pPr>
              <w:ind w:left="158"/>
              <w:jc w:val="center"/>
              <w:rPr>
                <w:rFonts w:ascii="Calibri" w:hAnsi="Calibri" w:cs="Calibri"/>
              </w:rPr>
            </w:pPr>
            <w:r>
              <w:rPr>
                <w:rFonts w:ascii="Calibri" w:hAnsi="Calibri"/>
                <w:color w:val="000000"/>
              </w:rPr>
              <w:t xml:space="preserve">Значення </w:t>
            </w:r>
            <w:r w:rsidRPr="00BE6F5B">
              <w:rPr>
                <w:rFonts w:ascii="Calibri" w:hAnsi="Calibri"/>
                <w:i/>
                <w:color w:val="000000"/>
              </w:rPr>
              <w:t>P</w:t>
            </w:r>
            <w:r>
              <w:rPr>
                <w:rFonts w:ascii="Calibri" w:hAnsi="Calibri"/>
                <w:color w:val="000000"/>
              </w:rPr>
              <w:t xml:space="preserve"> </w:t>
            </w:r>
            <w:r>
              <w:rPr>
                <w:rFonts w:ascii="Calibri" w:hAnsi="Calibri"/>
                <w:color w:val="000000"/>
                <w:vertAlign w:val="superscript"/>
              </w:rPr>
              <w:t>a</w:t>
            </w:r>
          </w:p>
        </w:tc>
        <w:tc>
          <w:tcPr>
            <w:tcW w:w="1522"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907702" w:rsidRDefault="006C7D2F" w:rsidP="00FA1569">
            <w:pPr>
              <w:ind w:left="4" w:right="37"/>
              <w:jc w:val="center"/>
              <w:rPr>
                <w:rFonts w:ascii="Calibri" w:hAnsi="Calibri" w:cs="Calibri"/>
              </w:rPr>
            </w:pPr>
            <w:r>
              <w:rPr>
                <w:rFonts w:ascii="Calibri" w:hAnsi="Calibri"/>
                <w:color w:val="000000"/>
              </w:rPr>
              <w:t>Об’єднана специфічність</w:t>
            </w:r>
          </w:p>
          <w:p w:rsidR="00ED665B" w:rsidRPr="00907702" w:rsidRDefault="006C7D2F" w:rsidP="00FA1569">
            <w:pPr>
              <w:ind w:left="4" w:right="37"/>
              <w:jc w:val="center"/>
              <w:rPr>
                <w:rFonts w:ascii="Calibri" w:hAnsi="Calibri" w:cs="Calibri"/>
              </w:rPr>
            </w:pPr>
            <w:r>
              <w:rPr>
                <w:rFonts w:ascii="Calibri" w:hAnsi="Calibri"/>
                <w:color w:val="000000"/>
              </w:rPr>
              <w:t xml:space="preserve">Значення </w:t>
            </w:r>
            <w:r w:rsidRPr="00BE6F5B">
              <w:rPr>
                <w:rFonts w:ascii="Calibri" w:hAnsi="Calibri"/>
                <w:i/>
                <w:color w:val="000000"/>
              </w:rPr>
              <w:t>P</w:t>
            </w:r>
            <w:r>
              <w:rPr>
                <w:rFonts w:ascii="Calibri" w:hAnsi="Calibri"/>
                <w:color w:val="000000"/>
              </w:rPr>
              <w:t xml:space="preserve"> </w:t>
            </w:r>
            <w:r>
              <w:rPr>
                <w:rFonts w:ascii="Calibri" w:hAnsi="Calibri"/>
                <w:color w:val="000000"/>
                <w:vertAlign w:val="superscript"/>
              </w:rPr>
              <w:t>a</w:t>
            </w:r>
          </w:p>
        </w:tc>
      </w:tr>
      <w:tr w:rsidR="00ED665B" w:rsidRPr="00907702" w:rsidTr="00F67926">
        <w:trPr>
          <w:trHeight w:val="567"/>
        </w:trPr>
        <w:tc>
          <w:tcPr>
            <w:tcW w:w="3034" w:type="dxa"/>
            <w:gridSpan w:val="2"/>
            <w:tcBorders>
              <w:top w:val="single" w:sz="8" w:space="0" w:color="009649"/>
              <w:bottom w:val="single" w:sz="8" w:space="0" w:color="009649"/>
              <w:right w:val="single" w:sz="8" w:space="0" w:color="009649"/>
            </w:tcBorders>
            <w:shd w:val="clear" w:color="auto" w:fill="7ABE94"/>
            <w:vAlign w:val="center"/>
          </w:tcPr>
          <w:p w:rsidR="00ED665B" w:rsidRPr="00907702" w:rsidRDefault="006C7D2F" w:rsidP="008E41A3">
            <w:pPr>
              <w:ind w:left="24" w:right="10"/>
              <w:jc w:val="center"/>
              <w:rPr>
                <w:rFonts w:ascii="Calibri" w:hAnsi="Calibri" w:cs="Calibri"/>
              </w:rPr>
            </w:pPr>
            <w:r>
              <w:rPr>
                <w:rFonts w:ascii="Calibri" w:hAnsi="Calibri"/>
                <w:color w:val="000000"/>
              </w:rPr>
              <w:t>Фторхінолони, непряме тестування</w:t>
            </w:r>
          </w:p>
          <w:p w:rsidR="00ED665B" w:rsidRPr="00907702" w:rsidRDefault="006C7D2F" w:rsidP="008E41A3">
            <w:pPr>
              <w:ind w:left="24"/>
              <w:jc w:val="center"/>
              <w:rPr>
                <w:rFonts w:ascii="Calibri" w:hAnsi="Calibri" w:cs="Calibri"/>
              </w:rPr>
            </w:pPr>
            <w:r>
              <w:rPr>
                <w:rFonts w:ascii="Calibri" w:hAnsi="Calibri"/>
                <w:color w:val="000000"/>
              </w:rPr>
              <w:t>(19 досліджень, 2223 учасники)</w:t>
            </w:r>
          </w:p>
        </w:tc>
        <w:tc>
          <w:tcPr>
            <w:tcW w:w="3024" w:type="dxa"/>
            <w:gridSpan w:val="2"/>
            <w:tcBorders>
              <w:top w:val="single" w:sz="8" w:space="0" w:color="009649"/>
              <w:left w:val="single" w:sz="8" w:space="0" w:color="009649"/>
              <w:bottom w:val="single" w:sz="8" w:space="0" w:color="009649"/>
              <w:right w:val="single" w:sz="8" w:space="0" w:color="009649"/>
            </w:tcBorders>
            <w:shd w:val="clear" w:color="auto" w:fill="7ABE94"/>
            <w:vAlign w:val="center"/>
          </w:tcPr>
          <w:p w:rsidR="00ED665B" w:rsidRPr="00907702" w:rsidRDefault="006C7D2F" w:rsidP="008E41A3">
            <w:pPr>
              <w:ind w:left="72" w:right="72"/>
              <w:jc w:val="center"/>
              <w:rPr>
                <w:rFonts w:ascii="Calibri" w:hAnsi="Calibri" w:cs="Calibri"/>
              </w:rPr>
            </w:pPr>
            <w:r>
              <w:rPr>
                <w:rFonts w:ascii="Calibri" w:hAnsi="Calibri"/>
                <w:color w:val="000000"/>
              </w:rPr>
              <w:t>Фторхінолони, пряме тестування</w:t>
            </w:r>
          </w:p>
          <w:p w:rsidR="00ED665B" w:rsidRPr="00907702" w:rsidRDefault="006C7D2F" w:rsidP="008E41A3">
            <w:pPr>
              <w:ind w:left="72"/>
              <w:jc w:val="center"/>
              <w:rPr>
                <w:rFonts w:ascii="Calibri" w:hAnsi="Calibri" w:cs="Calibri"/>
              </w:rPr>
            </w:pPr>
            <w:r>
              <w:rPr>
                <w:rFonts w:ascii="Calibri" w:hAnsi="Calibri"/>
                <w:color w:val="000000"/>
              </w:rPr>
              <w:t>(9 досліджень, 1771 учасники)</w:t>
            </w:r>
          </w:p>
        </w:tc>
        <w:tc>
          <w:tcPr>
            <w:tcW w:w="1512" w:type="dxa"/>
            <w:tcBorders>
              <w:top w:val="single" w:sz="8" w:space="0" w:color="009649"/>
              <w:left w:val="single" w:sz="8" w:space="0" w:color="009649"/>
              <w:bottom w:val="single" w:sz="8" w:space="0" w:color="009649"/>
            </w:tcBorders>
            <w:shd w:val="clear" w:color="auto" w:fill="FFFFFF"/>
            <w:vAlign w:val="center"/>
          </w:tcPr>
          <w:p w:rsidR="00ED665B" w:rsidRPr="00907702" w:rsidRDefault="00ED665B" w:rsidP="008E41A3">
            <w:pPr>
              <w:jc w:val="center"/>
              <w:rPr>
                <w:rFonts w:ascii="Calibri" w:hAnsi="Calibri" w:cs="Calibri"/>
              </w:rPr>
            </w:pPr>
          </w:p>
        </w:tc>
        <w:tc>
          <w:tcPr>
            <w:tcW w:w="1522" w:type="dxa"/>
            <w:tcBorders>
              <w:top w:val="single" w:sz="8" w:space="0" w:color="009649"/>
              <w:bottom w:val="single" w:sz="8" w:space="0" w:color="009649"/>
            </w:tcBorders>
            <w:shd w:val="clear" w:color="auto" w:fill="FFFFFF"/>
            <w:vAlign w:val="center"/>
          </w:tcPr>
          <w:p w:rsidR="00ED665B" w:rsidRPr="00907702" w:rsidRDefault="00ED665B" w:rsidP="008E41A3">
            <w:pPr>
              <w:jc w:val="center"/>
              <w:rPr>
                <w:rFonts w:ascii="Calibri" w:hAnsi="Calibri" w:cs="Calibri"/>
              </w:rPr>
            </w:pPr>
          </w:p>
        </w:tc>
      </w:tr>
      <w:tr w:rsidR="00ED665B" w:rsidRPr="00907702" w:rsidTr="00F67926">
        <w:trPr>
          <w:trHeight w:val="567"/>
        </w:trPr>
        <w:tc>
          <w:tcPr>
            <w:tcW w:w="1522" w:type="dxa"/>
            <w:tcBorders>
              <w:top w:val="single" w:sz="8" w:space="0" w:color="009649"/>
              <w:bottom w:val="single" w:sz="8" w:space="0" w:color="009649"/>
            </w:tcBorders>
            <w:shd w:val="clear" w:color="auto" w:fill="FFFFFF"/>
            <w:vAlign w:val="center"/>
          </w:tcPr>
          <w:p w:rsidR="008E41A3" w:rsidRDefault="006C7D2F" w:rsidP="008E41A3">
            <w:pPr>
              <w:ind w:left="48" w:right="34" w:firstLine="4"/>
              <w:jc w:val="center"/>
              <w:rPr>
                <w:rFonts w:ascii="Calibri" w:hAnsi="Calibri" w:cs="Calibri"/>
                <w:color w:val="000000"/>
              </w:rPr>
            </w:pPr>
            <w:r>
              <w:rPr>
                <w:rFonts w:ascii="Calibri" w:hAnsi="Calibri"/>
                <w:color w:val="000000"/>
              </w:rPr>
              <w:t>85,6%</w:t>
            </w:r>
          </w:p>
          <w:p w:rsidR="00ED665B" w:rsidRPr="00907702" w:rsidRDefault="006C7D2F" w:rsidP="008E41A3">
            <w:pPr>
              <w:ind w:left="48" w:right="34" w:firstLine="4"/>
              <w:jc w:val="center"/>
              <w:rPr>
                <w:rFonts w:ascii="Calibri" w:hAnsi="Calibri" w:cs="Calibri"/>
              </w:rPr>
            </w:pPr>
            <w:r>
              <w:rPr>
                <w:rFonts w:ascii="Calibri" w:hAnsi="Calibri"/>
                <w:color w:val="000000"/>
              </w:rPr>
              <w:t>(79,2-90,4%)</w:t>
            </w:r>
          </w:p>
        </w:tc>
        <w:tc>
          <w:tcPr>
            <w:tcW w:w="1512" w:type="dxa"/>
            <w:tcBorders>
              <w:top w:val="single" w:sz="8" w:space="0" w:color="009649"/>
              <w:bottom w:val="single" w:sz="8" w:space="0" w:color="009649"/>
            </w:tcBorders>
            <w:shd w:val="clear" w:color="auto" w:fill="FFFFFF"/>
            <w:vAlign w:val="center"/>
          </w:tcPr>
          <w:p w:rsidR="008E41A3" w:rsidRDefault="006C7D2F" w:rsidP="008E41A3">
            <w:pPr>
              <w:ind w:left="38" w:right="34" w:firstLine="4"/>
              <w:jc w:val="center"/>
              <w:rPr>
                <w:rFonts w:ascii="Calibri" w:hAnsi="Calibri" w:cs="Calibri"/>
                <w:color w:val="000000"/>
              </w:rPr>
            </w:pPr>
            <w:r>
              <w:rPr>
                <w:rFonts w:ascii="Calibri" w:hAnsi="Calibri"/>
                <w:color w:val="000000"/>
              </w:rPr>
              <w:t>98,5%</w:t>
            </w:r>
          </w:p>
          <w:p w:rsidR="00ED665B" w:rsidRPr="00907702" w:rsidRDefault="006C7D2F" w:rsidP="008E41A3">
            <w:pPr>
              <w:ind w:left="38" w:right="34" w:firstLine="4"/>
              <w:jc w:val="center"/>
              <w:rPr>
                <w:rFonts w:ascii="Calibri" w:hAnsi="Calibri" w:cs="Calibri"/>
              </w:rPr>
            </w:pPr>
            <w:r>
              <w:rPr>
                <w:rFonts w:ascii="Calibri" w:hAnsi="Calibri"/>
                <w:color w:val="000000"/>
              </w:rPr>
              <w:t>(95,7-99,5%)</w:t>
            </w:r>
          </w:p>
        </w:tc>
        <w:tc>
          <w:tcPr>
            <w:tcW w:w="1512" w:type="dxa"/>
            <w:tcBorders>
              <w:top w:val="single" w:sz="8" w:space="0" w:color="009649"/>
              <w:bottom w:val="single" w:sz="8" w:space="0" w:color="009649"/>
            </w:tcBorders>
            <w:shd w:val="clear" w:color="auto" w:fill="FFFFFF"/>
            <w:vAlign w:val="center"/>
          </w:tcPr>
          <w:p w:rsidR="008E41A3" w:rsidRDefault="006C7D2F" w:rsidP="008E41A3">
            <w:pPr>
              <w:ind w:left="38" w:right="34" w:firstLine="4"/>
              <w:jc w:val="center"/>
              <w:rPr>
                <w:rFonts w:ascii="Calibri" w:hAnsi="Calibri" w:cs="Calibri"/>
                <w:color w:val="000000"/>
              </w:rPr>
            </w:pPr>
            <w:r>
              <w:rPr>
                <w:rFonts w:ascii="Calibri" w:hAnsi="Calibri"/>
                <w:color w:val="000000"/>
              </w:rPr>
              <w:t>86,2%</w:t>
            </w:r>
          </w:p>
          <w:p w:rsidR="00ED665B" w:rsidRPr="00907702" w:rsidRDefault="006C7D2F" w:rsidP="008E41A3">
            <w:pPr>
              <w:ind w:left="38" w:right="34" w:firstLine="4"/>
              <w:jc w:val="center"/>
              <w:rPr>
                <w:rFonts w:ascii="Calibri" w:hAnsi="Calibri" w:cs="Calibri"/>
              </w:rPr>
            </w:pPr>
            <w:r>
              <w:rPr>
                <w:rFonts w:ascii="Calibri" w:hAnsi="Calibri"/>
                <w:color w:val="000000"/>
              </w:rPr>
              <w:t>(74,6-93,0%)</w:t>
            </w:r>
          </w:p>
        </w:tc>
        <w:tc>
          <w:tcPr>
            <w:tcW w:w="1512" w:type="dxa"/>
            <w:tcBorders>
              <w:top w:val="single" w:sz="8" w:space="0" w:color="009649"/>
              <w:left w:val="nil"/>
              <w:bottom w:val="single" w:sz="8" w:space="0" w:color="009649"/>
            </w:tcBorders>
            <w:shd w:val="clear" w:color="auto" w:fill="FFFFFF"/>
            <w:vAlign w:val="center"/>
          </w:tcPr>
          <w:p w:rsidR="008E41A3" w:rsidRDefault="006C7D2F" w:rsidP="008E41A3">
            <w:pPr>
              <w:ind w:left="38" w:right="34" w:firstLine="4"/>
              <w:jc w:val="center"/>
              <w:rPr>
                <w:rFonts w:ascii="Calibri" w:hAnsi="Calibri" w:cs="Calibri"/>
                <w:color w:val="000000"/>
              </w:rPr>
            </w:pPr>
            <w:r>
              <w:rPr>
                <w:rFonts w:ascii="Calibri" w:hAnsi="Calibri"/>
                <w:color w:val="000000"/>
              </w:rPr>
              <w:t>98,6%</w:t>
            </w:r>
          </w:p>
          <w:p w:rsidR="00ED665B" w:rsidRPr="00907702" w:rsidRDefault="006C7D2F" w:rsidP="008E41A3">
            <w:pPr>
              <w:ind w:left="38" w:right="34" w:firstLine="4"/>
              <w:jc w:val="center"/>
              <w:rPr>
                <w:rFonts w:ascii="Calibri" w:hAnsi="Calibri" w:cs="Calibri"/>
              </w:rPr>
            </w:pPr>
            <w:r>
              <w:rPr>
                <w:rFonts w:ascii="Calibri" w:hAnsi="Calibri"/>
                <w:color w:val="000000"/>
              </w:rPr>
              <w:t>(96,9-99,4%)</w:t>
            </w:r>
          </w:p>
        </w:tc>
        <w:tc>
          <w:tcPr>
            <w:tcW w:w="1512" w:type="dxa"/>
            <w:tcBorders>
              <w:top w:val="single" w:sz="8" w:space="0" w:color="009649"/>
              <w:bottom w:val="single" w:sz="8" w:space="0" w:color="009649"/>
            </w:tcBorders>
            <w:shd w:val="clear" w:color="auto" w:fill="FFFFFF"/>
            <w:vAlign w:val="center"/>
          </w:tcPr>
          <w:p w:rsidR="00ED665B" w:rsidRPr="00907702" w:rsidRDefault="006C7D2F" w:rsidP="008E41A3">
            <w:pPr>
              <w:jc w:val="center"/>
              <w:rPr>
                <w:rFonts w:ascii="Calibri" w:hAnsi="Calibri" w:cs="Calibri"/>
              </w:rPr>
            </w:pPr>
            <w:r>
              <w:rPr>
                <w:rFonts w:ascii="Calibri" w:hAnsi="Calibri"/>
                <w:color w:val="000000"/>
              </w:rPr>
              <w:t>0,932</w:t>
            </w:r>
          </w:p>
        </w:tc>
        <w:tc>
          <w:tcPr>
            <w:tcW w:w="1522" w:type="dxa"/>
            <w:tcBorders>
              <w:top w:val="single" w:sz="8" w:space="0" w:color="009649"/>
              <w:bottom w:val="single" w:sz="8" w:space="0" w:color="009649"/>
            </w:tcBorders>
            <w:shd w:val="clear" w:color="auto" w:fill="FFFFFF"/>
            <w:vAlign w:val="center"/>
          </w:tcPr>
          <w:p w:rsidR="00ED665B" w:rsidRPr="00907702" w:rsidRDefault="006C7D2F" w:rsidP="008E41A3">
            <w:pPr>
              <w:jc w:val="center"/>
              <w:rPr>
                <w:rFonts w:ascii="Calibri" w:hAnsi="Calibri" w:cs="Calibri"/>
              </w:rPr>
            </w:pPr>
            <w:r>
              <w:rPr>
                <w:rFonts w:ascii="Calibri" w:hAnsi="Calibri"/>
                <w:color w:val="000000"/>
              </w:rPr>
              <w:t>0,333</w:t>
            </w:r>
          </w:p>
        </w:tc>
      </w:tr>
      <w:tr w:rsidR="00ED665B" w:rsidRPr="00907702" w:rsidTr="00F67926">
        <w:trPr>
          <w:trHeight w:val="567"/>
        </w:trPr>
        <w:tc>
          <w:tcPr>
            <w:tcW w:w="3034" w:type="dxa"/>
            <w:gridSpan w:val="2"/>
            <w:tcBorders>
              <w:top w:val="single" w:sz="8" w:space="0" w:color="009649"/>
              <w:bottom w:val="single" w:sz="8" w:space="0" w:color="009649"/>
              <w:right w:val="single" w:sz="8" w:space="0" w:color="009649"/>
            </w:tcBorders>
            <w:shd w:val="clear" w:color="auto" w:fill="7ABE94"/>
            <w:vAlign w:val="center"/>
          </w:tcPr>
          <w:p w:rsidR="008E41A3" w:rsidRDefault="006C7D2F" w:rsidP="008E41A3">
            <w:pPr>
              <w:ind w:left="24" w:right="34" w:firstLine="4"/>
              <w:jc w:val="center"/>
              <w:rPr>
                <w:rFonts w:ascii="Calibri" w:hAnsi="Calibri" w:cs="Calibri"/>
                <w:color w:val="000000"/>
              </w:rPr>
            </w:pPr>
            <w:r>
              <w:rPr>
                <w:rFonts w:ascii="Calibri" w:hAnsi="Calibri"/>
                <w:color w:val="000000"/>
              </w:rPr>
              <w:t xml:space="preserve">ІПДЛ, непряме тестування </w:t>
            </w:r>
          </w:p>
          <w:p w:rsidR="00ED665B" w:rsidRPr="00907702" w:rsidRDefault="006C7D2F" w:rsidP="008E41A3">
            <w:pPr>
              <w:ind w:left="24" w:right="34" w:firstLine="4"/>
              <w:jc w:val="center"/>
              <w:rPr>
                <w:rFonts w:ascii="Calibri" w:hAnsi="Calibri" w:cs="Calibri"/>
              </w:rPr>
            </w:pPr>
            <w:r>
              <w:rPr>
                <w:rFonts w:ascii="Calibri" w:hAnsi="Calibri"/>
                <w:color w:val="000000"/>
              </w:rPr>
              <w:t>(16 досліджень, 1921 учасники)</w:t>
            </w:r>
          </w:p>
        </w:tc>
        <w:tc>
          <w:tcPr>
            <w:tcW w:w="3024" w:type="dxa"/>
            <w:gridSpan w:val="2"/>
            <w:tcBorders>
              <w:top w:val="single" w:sz="8" w:space="0" w:color="009649"/>
              <w:left w:val="single" w:sz="8" w:space="0" w:color="009649"/>
              <w:bottom w:val="single" w:sz="8" w:space="0" w:color="009649"/>
              <w:right w:val="single" w:sz="8" w:space="0" w:color="009649"/>
            </w:tcBorders>
            <w:shd w:val="clear" w:color="auto" w:fill="7ABE94"/>
            <w:vAlign w:val="center"/>
          </w:tcPr>
          <w:p w:rsidR="008E41A3" w:rsidRDefault="006C7D2F" w:rsidP="008E41A3">
            <w:pPr>
              <w:ind w:left="72" w:right="34" w:firstLine="4"/>
              <w:jc w:val="center"/>
              <w:rPr>
                <w:rFonts w:ascii="Calibri" w:hAnsi="Calibri" w:cs="Calibri"/>
                <w:color w:val="000000"/>
              </w:rPr>
            </w:pPr>
            <w:r>
              <w:rPr>
                <w:rFonts w:ascii="Calibri" w:hAnsi="Calibri"/>
                <w:color w:val="000000"/>
              </w:rPr>
              <w:t xml:space="preserve">ІПДЛ, пряме тестування </w:t>
            </w:r>
          </w:p>
          <w:p w:rsidR="00ED665B" w:rsidRPr="00907702" w:rsidRDefault="006C7D2F" w:rsidP="008E41A3">
            <w:pPr>
              <w:ind w:left="72" w:right="34" w:firstLine="4"/>
              <w:jc w:val="center"/>
              <w:rPr>
                <w:rFonts w:ascii="Calibri" w:hAnsi="Calibri" w:cs="Calibri"/>
              </w:rPr>
            </w:pPr>
            <w:r>
              <w:rPr>
                <w:rFonts w:ascii="Calibri" w:hAnsi="Calibri"/>
                <w:color w:val="000000"/>
              </w:rPr>
              <w:t>(8 досліджень, 1639 учасники)</w:t>
            </w:r>
          </w:p>
        </w:tc>
        <w:tc>
          <w:tcPr>
            <w:tcW w:w="1512" w:type="dxa"/>
            <w:tcBorders>
              <w:top w:val="single" w:sz="8" w:space="0" w:color="009649"/>
              <w:left w:val="single" w:sz="8" w:space="0" w:color="009649"/>
              <w:bottom w:val="single" w:sz="8" w:space="0" w:color="009649"/>
            </w:tcBorders>
            <w:shd w:val="clear" w:color="auto" w:fill="FFFFFF"/>
            <w:vAlign w:val="center"/>
          </w:tcPr>
          <w:p w:rsidR="00ED665B" w:rsidRPr="00907702" w:rsidRDefault="00ED665B" w:rsidP="008E41A3">
            <w:pPr>
              <w:jc w:val="center"/>
              <w:rPr>
                <w:rFonts w:ascii="Calibri" w:hAnsi="Calibri" w:cs="Calibri"/>
              </w:rPr>
            </w:pPr>
          </w:p>
        </w:tc>
        <w:tc>
          <w:tcPr>
            <w:tcW w:w="1522" w:type="dxa"/>
            <w:tcBorders>
              <w:top w:val="single" w:sz="8" w:space="0" w:color="009649"/>
              <w:bottom w:val="single" w:sz="8" w:space="0" w:color="009649"/>
            </w:tcBorders>
            <w:shd w:val="clear" w:color="auto" w:fill="FFFFFF"/>
            <w:vAlign w:val="center"/>
          </w:tcPr>
          <w:p w:rsidR="00ED665B" w:rsidRPr="00907702" w:rsidRDefault="00ED665B" w:rsidP="008E41A3">
            <w:pPr>
              <w:jc w:val="center"/>
              <w:rPr>
                <w:rFonts w:ascii="Calibri" w:hAnsi="Calibri" w:cs="Calibri"/>
              </w:rPr>
            </w:pPr>
          </w:p>
        </w:tc>
      </w:tr>
      <w:tr w:rsidR="00ED665B" w:rsidRPr="00907702" w:rsidTr="00F67926">
        <w:trPr>
          <w:trHeight w:val="567"/>
        </w:trPr>
        <w:tc>
          <w:tcPr>
            <w:tcW w:w="1522" w:type="dxa"/>
            <w:tcBorders>
              <w:top w:val="single" w:sz="8" w:space="0" w:color="009649"/>
              <w:bottom w:val="single" w:sz="8" w:space="0" w:color="009649"/>
            </w:tcBorders>
            <w:shd w:val="clear" w:color="auto" w:fill="FFFFFF"/>
            <w:vAlign w:val="center"/>
          </w:tcPr>
          <w:p w:rsidR="008E41A3" w:rsidRDefault="006C7D2F" w:rsidP="008E41A3">
            <w:pPr>
              <w:ind w:left="48" w:right="34" w:firstLine="4"/>
              <w:jc w:val="center"/>
              <w:rPr>
                <w:rFonts w:ascii="Calibri" w:hAnsi="Calibri" w:cs="Calibri"/>
                <w:color w:val="000000"/>
              </w:rPr>
            </w:pPr>
            <w:r>
              <w:rPr>
                <w:rFonts w:ascii="Calibri" w:hAnsi="Calibri"/>
                <w:color w:val="000000"/>
              </w:rPr>
              <w:t>76,5%</w:t>
            </w:r>
          </w:p>
          <w:p w:rsidR="00ED665B" w:rsidRPr="00907702" w:rsidRDefault="006C7D2F" w:rsidP="008E41A3">
            <w:pPr>
              <w:ind w:left="48" w:right="34" w:firstLine="4"/>
              <w:jc w:val="center"/>
              <w:rPr>
                <w:rFonts w:ascii="Calibri" w:hAnsi="Calibri" w:cs="Calibri"/>
              </w:rPr>
            </w:pPr>
            <w:r>
              <w:rPr>
                <w:rFonts w:ascii="Calibri" w:hAnsi="Calibri"/>
                <w:color w:val="000000"/>
              </w:rPr>
              <w:t>(63,3-86,0%)</w:t>
            </w:r>
          </w:p>
        </w:tc>
        <w:tc>
          <w:tcPr>
            <w:tcW w:w="1512" w:type="dxa"/>
            <w:tcBorders>
              <w:top w:val="single" w:sz="8" w:space="0" w:color="009649"/>
              <w:bottom w:val="single" w:sz="8" w:space="0" w:color="009649"/>
            </w:tcBorders>
            <w:shd w:val="clear" w:color="auto" w:fill="FFFFFF"/>
            <w:vAlign w:val="center"/>
          </w:tcPr>
          <w:p w:rsidR="008E41A3" w:rsidRDefault="006C7D2F" w:rsidP="008E41A3">
            <w:pPr>
              <w:ind w:left="38" w:right="34" w:firstLine="4"/>
              <w:jc w:val="center"/>
              <w:rPr>
                <w:rFonts w:ascii="Calibri" w:hAnsi="Calibri" w:cs="Calibri"/>
                <w:color w:val="000000"/>
              </w:rPr>
            </w:pPr>
            <w:r>
              <w:rPr>
                <w:rFonts w:ascii="Calibri" w:hAnsi="Calibri"/>
                <w:color w:val="000000"/>
              </w:rPr>
              <w:t>99,1%</w:t>
            </w:r>
          </w:p>
          <w:p w:rsidR="00ED665B" w:rsidRPr="00907702" w:rsidRDefault="006C7D2F" w:rsidP="008E41A3">
            <w:pPr>
              <w:ind w:left="38" w:right="34" w:firstLine="4"/>
              <w:jc w:val="center"/>
              <w:rPr>
                <w:rFonts w:ascii="Calibri" w:hAnsi="Calibri" w:cs="Calibri"/>
              </w:rPr>
            </w:pPr>
            <w:r>
              <w:rPr>
                <w:rFonts w:ascii="Calibri" w:hAnsi="Calibri"/>
                <w:color w:val="000000"/>
              </w:rPr>
              <w:t>(97,3-99,7%)</w:t>
            </w:r>
          </w:p>
        </w:tc>
        <w:tc>
          <w:tcPr>
            <w:tcW w:w="1512" w:type="dxa"/>
            <w:tcBorders>
              <w:top w:val="single" w:sz="8" w:space="0" w:color="009649"/>
              <w:left w:val="nil"/>
              <w:bottom w:val="single" w:sz="8" w:space="0" w:color="009649"/>
            </w:tcBorders>
            <w:shd w:val="clear" w:color="auto" w:fill="FFFFFF"/>
            <w:vAlign w:val="center"/>
          </w:tcPr>
          <w:p w:rsidR="008E41A3" w:rsidRDefault="006C7D2F" w:rsidP="008E41A3">
            <w:pPr>
              <w:ind w:left="38" w:right="34" w:firstLine="4"/>
              <w:jc w:val="center"/>
              <w:rPr>
                <w:rFonts w:ascii="Calibri" w:hAnsi="Calibri" w:cs="Calibri"/>
                <w:color w:val="000000"/>
              </w:rPr>
            </w:pPr>
            <w:r>
              <w:rPr>
                <w:rFonts w:ascii="Calibri" w:hAnsi="Calibri"/>
                <w:color w:val="000000"/>
              </w:rPr>
              <w:t>87,0%</w:t>
            </w:r>
          </w:p>
          <w:p w:rsidR="00ED665B" w:rsidRPr="00907702" w:rsidRDefault="006C7D2F" w:rsidP="008E41A3">
            <w:pPr>
              <w:ind w:left="38" w:right="34" w:firstLine="4"/>
              <w:jc w:val="center"/>
              <w:rPr>
                <w:rFonts w:ascii="Calibri" w:hAnsi="Calibri" w:cs="Calibri"/>
              </w:rPr>
            </w:pPr>
            <w:r>
              <w:rPr>
                <w:rFonts w:ascii="Calibri" w:hAnsi="Calibri"/>
                <w:color w:val="000000"/>
              </w:rPr>
              <w:t>(38,1-98,6%)</w:t>
            </w:r>
          </w:p>
        </w:tc>
        <w:tc>
          <w:tcPr>
            <w:tcW w:w="1512" w:type="dxa"/>
            <w:tcBorders>
              <w:top w:val="single" w:sz="8" w:space="0" w:color="009649"/>
              <w:left w:val="nil"/>
              <w:bottom w:val="single" w:sz="8" w:space="0" w:color="009649"/>
            </w:tcBorders>
            <w:shd w:val="clear" w:color="auto" w:fill="FFFFFF"/>
            <w:vAlign w:val="center"/>
          </w:tcPr>
          <w:p w:rsidR="008E41A3" w:rsidRDefault="006C7D2F" w:rsidP="008E41A3">
            <w:pPr>
              <w:ind w:right="34" w:firstLine="4"/>
              <w:jc w:val="center"/>
              <w:rPr>
                <w:rFonts w:ascii="Calibri" w:hAnsi="Calibri" w:cs="Calibri"/>
                <w:color w:val="000000"/>
              </w:rPr>
            </w:pPr>
            <w:r>
              <w:rPr>
                <w:rFonts w:ascii="Calibri" w:hAnsi="Calibri"/>
                <w:color w:val="000000"/>
              </w:rPr>
              <w:t>99,5%</w:t>
            </w:r>
          </w:p>
          <w:p w:rsidR="00ED665B" w:rsidRPr="00907702" w:rsidRDefault="006C7D2F" w:rsidP="008E41A3">
            <w:pPr>
              <w:ind w:right="34" w:firstLine="4"/>
              <w:jc w:val="center"/>
              <w:rPr>
                <w:rFonts w:ascii="Calibri" w:hAnsi="Calibri" w:cs="Calibri"/>
              </w:rPr>
            </w:pPr>
            <w:r>
              <w:rPr>
                <w:rFonts w:ascii="Calibri" w:hAnsi="Calibri"/>
                <w:color w:val="000000"/>
              </w:rPr>
              <w:t>(93,6-100,0%)</w:t>
            </w:r>
          </w:p>
        </w:tc>
        <w:tc>
          <w:tcPr>
            <w:tcW w:w="1512" w:type="dxa"/>
            <w:tcBorders>
              <w:top w:val="single" w:sz="8" w:space="0" w:color="009649"/>
              <w:bottom w:val="single" w:sz="8" w:space="0" w:color="009649"/>
            </w:tcBorders>
            <w:shd w:val="clear" w:color="auto" w:fill="FFFFFF"/>
            <w:vAlign w:val="center"/>
          </w:tcPr>
          <w:p w:rsidR="00ED665B" w:rsidRPr="00907702" w:rsidRDefault="006C7D2F" w:rsidP="008E41A3">
            <w:pPr>
              <w:jc w:val="center"/>
              <w:rPr>
                <w:rFonts w:ascii="Calibri" w:hAnsi="Calibri" w:cs="Calibri"/>
              </w:rPr>
            </w:pPr>
            <w:r>
              <w:rPr>
                <w:rFonts w:ascii="Calibri" w:hAnsi="Calibri"/>
                <w:color w:val="000000"/>
              </w:rPr>
              <w:t>0,547</w:t>
            </w:r>
          </w:p>
        </w:tc>
        <w:tc>
          <w:tcPr>
            <w:tcW w:w="1522" w:type="dxa"/>
            <w:tcBorders>
              <w:top w:val="single" w:sz="8" w:space="0" w:color="009649"/>
              <w:bottom w:val="single" w:sz="8" w:space="0" w:color="009649"/>
            </w:tcBorders>
            <w:shd w:val="clear" w:color="auto" w:fill="FFFFFF"/>
            <w:vAlign w:val="center"/>
          </w:tcPr>
          <w:p w:rsidR="00ED665B" w:rsidRPr="00907702" w:rsidRDefault="006C7D2F" w:rsidP="008E41A3">
            <w:pPr>
              <w:jc w:val="center"/>
              <w:rPr>
                <w:rFonts w:ascii="Calibri" w:hAnsi="Calibri" w:cs="Calibri"/>
              </w:rPr>
            </w:pPr>
            <w:r>
              <w:rPr>
                <w:rFonts w:ascii="Calibri" w:hAnsi="Calibri"/>
                <w:color w:val="000000"/>
              </w:rPr>
              <w:t>0,664</w:t>
            </w:r>
          </w:p>
        </w:tc>
      </w:tr>
      <w:tr w:rsidR="00ED665B" w:rsidRPr="00907702" w:rsidTr="00F67926">
        <w:trPr>
          <w:trHeight w:val="567"/>
        </w:trPr>
        <w:tc>
          <w:tcPr>
            <w:tcW w:w="3034" w:type="dxa"/>
            <w:gridSpan w:val="2"/>
            <w:tcBorders>
              <w:top w:val="single" w:sz="8" w:space="0" w:color="009649"/>
              <w:bottom w:val="single" w:sz="8" w:space="0" w:color="009649"/>
              <w:right w:val="single" w:sz="8" w:space="0" w:color="009649"/>
            </w:tcBorders>
            <w:shd w:val="clear" w:color="auto" w:fill="7ABE94"/>
            <w:vAlign w:val="center"/>
          </w:tcPr>
          <w:p w:rsidR="008E41A3" w:rsidRDefault="006C7D2F" w:rsidP="008E41A3">
            <w:pPr>
              <w:ind w:left="144" w:right="34" w:firstLine="4"/>
              <w:jc w:val="center"/>
              <w:rPr>
                <w:rFonts w:ascii="Calibri" w:hAnsi="Calibri" w:cs="Calibri"/>
                <w:color w:val="000000"/>
              </w:rPr>
            </w:pPr>
            <w:r>
              <w:rPr>
                <w:rFonts w:ascii="Calibri" w:hAnsi="Calibri"/>
                <w:color w:val="000000"/>
              </w:rPr>
              <w:t xml:space="preserve">ШЛС-ТБ, непряме тестування </w:t>
            </w:r>
          </w:p>
          <w:p w:rsidR="00ED665B" w:rsidRPr="00907702" w:rsidRDefault="006C7D2F" w:rsidP="008E41A3">
            <w:pPr>
              <w:ind w:left="144" w:right="34" w:firstLine="4"/>
              <w:jc w:val="center"/>
              <w:rPr>
                <w:rFonts w:ascii="Calibri" w:hAnsi="Calibri" w:cs="Calibri"/>
              </w:rPr>
            </w:pPr>
            <w:r>
              <w:rPr>
                <w:rFonts w:ascii="Calibri" w:hAnsi="Calibri"/>
                <w:color w:val="000000"/>
              </w:rPr>
              <w:t>(8 досліджень, 880 учасники)</w:t>
            </w:r>
          </w:p>
        </w:tc>
        <w:tc>
          <w:tcPr>
            <w:tcW w:w="3024" w:type="dxa"/>
            <w:gridSpan w:val="2"/>
            <w:tcBorders>
              <w:top w:val="single" w:sz="8" w:space="0" w:color="009649"/>
              <w:left w:val="single" w:sz="8" w:space="0" w:color="009649"/>
              <w:bottom w:val="single" w:sz="8" w:space="0" w:color="009649"/>
              <w:right w:val="single" w:sz="8" w:space="0" w:color="009649"/>
            </w:tcBorders>
            <w:shd w:val="clear" w:color="auto" w:fill="7ABE94"/>
            <w:vAlign w:val="center"/>
          </w:tcPr>
          <w:p w:rsidR="008E41A3" w:rsidRDefault="006C7D2F" w:rsidP="008E41A3">
            <w:pPr>
              <w:ind w:left="72" w:right="34" w:firstLine="4"/>
              <w:jc w:val="center"/>
              <w:rPr>
                <w:rFonts w:ascii="Calibri" w:hAnsi="Calibri" w:cs="Calibri"/>
                <w:color w:val="000000"/>
              </w:rPr>
            </w:pPr>
            <w:r>
              <w:rPr>
                <w:rFonts w:ascii="Calibri" w:hAnsi="Calibri"/>
                <w:color w:val="000000"/>
              </w:rPr>
              <w:t xml:space="preserve">ШЛС-ТБ, пряме тестування </w:t>
            </w:r>
          </w:p>
          <w:p w:rsidR="00ED665B" w:rsidRPr="00907702" w:rsidRDefault="006C7D2F" w:rsidP="008E41A3">
            <w:pPr>
              <w:ind w:left="72" w:right="34" w:firstLine="4"/>
              <w:jc w:val="center"/>
              <w:rPr>
                <w:rFonts w:ascii="Calibri" w:hAnsi="Calibri" w:cs="Calibri"/>
              </w:rPr>
            </w:pPr>
            <w:r>
              <w:rPr>
                <w:rFonts w:ascii="Calibri" w:hAnsi="Calibri"/>
                <w:color w:val="000000"/>
              </w:rPr>
              <w:t>(6 досліджень, 1420 учасники)</w:t>
            </w:r>
          </w:p>
        </w:tc>
        <w:tc>
          <w:tcPr>
            <w:tcW w:w="1512" w:type="dxa"/>
            <w:tcBorders>
              <w:top w:val="single" w:sz="8" w:space="0" w:color="009649"/>
              <w:left w:val="single" w:sz="8" w:space="0" w:color="009649"/>
              <w:bottom w:val="single" w:sz="8" w:space="0" w:color="009649"/>
            </w:tcBorders>
            <w:shd w:val="clear" w:color="auto" w:fill="FFFFFF"/>
            <w:vAlign w:val="center"/>
          </w:tcPr>
          <w:p w:rsidR="00ED665B" w:rsidRPr="00907702" w:rsidRDefault="00ED665B" w:rsidP="008E41A3">
            <w:pPr>
              <w:jc w:val="center"/>
              <w:rPr>
                <w:rFonts w:ascii="Calibri" w:hAnsi="Calibri" w:cs="Calibri"/>
              </w:rPr>
            </w:pPr>
          </w:p>
        </w:tc>
        <w:tc>
          <w:tcPr>
            <w:tcW w:w="1522" w:type="dxa"/>
            <w:tcBorders>
              <w:top w:val="single" w:sz="8" w:space="0" w:color="009649"/>
              <w:bottom w:val="single" w:sz="8" w:space="0" w:color="009649"/>
            </w:tcBorders>
            <w:shd w:val="clear" w:color="auto" w:fill="FFFFFF"/>
            <w:vAlign w:val="center"/>
          </w:tcPr>
          <w:p w:rsidR="00ED665B" w:rsidRPr="00907702" w:rsidRDefault="00ED665B" w:rsidP="008E41A3">
            <w:pPr>
              <w:jc w:val="center"/>
              <w:rPr>
                <w:rFonts w:ascii="Calibri" w:hAnsi="Calibri" w:cs="Calibri"/>
              </w:rPr>
            </w:pPr>
          </w:p>
        </w:tc>
      </w:tr>
      <w:tr w:rsidR="00ED665B" w:rsidRPr="00907702" w:rsidTr="00F67926">
        <w:trPr>
          <w:trHeight w:val="567"/>
        </w:trPr>
        <w:tc>
          <w:tcPr>
            <w:tcW w:w="1522" w:type="dxa"/>
            <w:tcBorders>
              <w:top w:val="single" w:sz="8" w:space="0" w:color="009649"/>
              <w:bottom w:val="single" w:sz="8" w:space="0" w:color="009649"/>
            </w:tcBorders>
            <w:shd w:val="clear" w:color="auto" w:fill="FFFFFF"/>
            <w:vAlign w:val="center"/>
          </w:tcPr>
          <w:p w:rsidR="008E41A3" w:rsidRDefault="006C7D2F" w:rsidP="008E41A3">
            <w:pPr>
              <w:ind w:left="48" w:right="34" w:firstLine="4"/>
              <w:jc w:val="center"/>
              <w:rPr>
                <w:rFonts w:ascii="Calibri" w:hAnsi="Calibri" w:cs="Calibri"/>
                <w:color w:val="000000"/>
              </w:rPr>
            </w:pPr>
            <w:r>
              <w:rPr>
                <w:rFonts w:ascii="Calibri" w:hAnsi="Calibri"/>
                <w:color w:val="000000"/>
              </w:rPr>
              <w:t>70,9%</w:t>
            </w:r>
          </w:p>
          <w:p w:rsidR="00ED665B" w:rsidRPr="00907702" w:rsidRDefault="006C7D2F" w:rsidP="008E41A3">
            <w:pPr>
              <w:ind w:left="48" w:right="34" w:firstLine="4"/>
              <w:jc w:val="center"/>
              <w:rPr>
                <w:rFonts w:ascii="Calibri" w:hAnsi="Calibri" w:cs="Calibri"/>
              </w:rPr>
            </w:pPr>
            <w:r>
              <w:rPr>
                <w:rFonts w:ascii="Calibri" w:hAnsi="Calibri"/>
                <w:color w:val="000000"/>
              </w:rPr>
              <w:t>(42,9-88,8%)</w:t>
            </w:r>
          </w:p>
        </w:tc>
        <w:tc>
          <w:tcPr>
            <w:tcW w:w="1512" w:type="dxa"/>
            <w:tcBorders>
              <w:top w:val="single" w:sz="8" w:space="0" w:color="009649"/>
              <w:bottom w:val="single" w:sz="8" w:space="0" w:color="009649"/>
            </w:tcBorders>
            <w:shd w:val="clear" w:color="auto" w:fill="FFFFFF"/>
            <w:vAlign w:val="center"/>
          </w:tcPr>
          <w:p w:rsidR="008E41A3" w:rsidRDefault="006C7D2F" w:rsidP="008E41A3">
            <w:pPr>
              <w:ind w:left="38" w:right="34" w:firstLine="4"/>
              <w:jc w:val="center"/>
              <w:rPr>
                <w:rFonts w:ascii="Calibri" w:hAnsi="Calibri" w:cs="Calibri"/>
                <w:color w:val="000000"/>
              </w:rPr>
            </w:pPr>
            <w:r>
              <w:rPr>
                <w:rFonts w:ascii="Calibri" w:hAnsi="Calibri"/>
                <w:color w:val="000000"/>
              </w:rPr>
              <w:t>98,8%</w:t>
            </w:r>
          </w:p>
          <w:p w:rsidR="00ED665B" w:rsidRPr="00907702" w:rsidRDefault="006C7D2F" w:rsidP="008E41A3">
            <w:pPr>
              <w:ind w:left="38" w:right="34" w:firstLine="4"/>
              <w:jc w:val="center"/>
              <w:rPr>
                <w:rFonts w:ascii="Calibri" w:hAnsi="Calibri" w:cs="Calibri"/>
              </w:rPr>
            </w:pPr>
            <w:r>
              <w:rPr>
                <w:rFonts w:ascii="Calibri" w:hAnsi="Calibri"/>
                <w:color w:val="000000"/>
              </w:rPr>
              <w:t>(96,1-99,6%)</w:t>
            </w:r>
          </w:p>
        </w:tc>
        <w:tc>
          <w:tcPr>
            <w:tcW w:w="1512" w:type="dxa"/>
            <w:tcBorders>
              <w:top w:val="single" w:sz="8" w:space="0" w:color="009649"/>
              <w:left w:val="nil"/>
              <w:bottom w:val="single" w:sz="8" w:space="0" w:color="009649"/>
            </w:tcBorders>
            <w:shd w:val="clear" w:color="auto" w:fill="FFFFFF"/>
            <w:vAlign w:val="center"/>
          </w:tcPr>
          <w:p w:rsidR="008E41A3" w:rsidRDefault="006C7D2F" w:rsidP="008E41A3">
            <w:pPr>
              <w:ind w:left="38" w:right="34" w:firstLine="4"/>
              <w:jc w:val="center"/>
              <w:rPr>
                <w:rFonts w:ascii="Calibri" w:hAnsi="Calibri" w:cs="Calibri"/>
                <w:color w:val="000000"/>
              </w:rPr>
            </w:pPr>
            <w:r>
              <w:rPr>
                <w:rFonts w:ascii="Calibri" w:hAnsi="Calibri"/>
                <w:color w:val="000000"/>
              </w:rPr>
              <w:t>69,4%</w:t>
            </w:r>
          </w:p>
          <w:p w:rsidR="00ED665B" w:rsidRPr="00907702" w:rsidRDefault="006C7D2F" w:rsidP="008E41A3">
            <w:pPr>
              <w:ind w:left="38" w:right="34" w:firstLine="4"/>
              <w:jc w:val="center"/>
              <w:rPr>
                <w:rFonts w:ascii="Calibri" w:hAnsi="Calibri" w:cs="Calibri"/>
              </w:rPr>
            </w:pPr>
            <w:r>
              <w:rPr>
                <w:rFonts w:ascii="Calibri" w:hAnsi="Calibri"/>
                <w:color w:val="000000"/>
              </w:rPr>
              <w:t>(38,8-89,0%)</w:t>
            </w:r>
          </w:p>
        </w:tc>
        <w:tc>
          <w:tcPr>
            <w:tcW w:w="1512" w:type="dxa"/>
            <w:tcBorders>
              <w:top w:val="single" w:sz="8" w:space="0" w:color="009649"/>
              <w:bottom w:val="single" w:sz="8" w:space="0" w:color="009649"/>
            </w:tcBorders>
            <w:shd w:val="clear" w:color="auto" w:fill="FFFFFF"/>
            <w:vAlign w:val="center"/>
          </w:tcPr>
          <w:p w:rsidR="008E41A3" w:rsidRDefault="006C7D2F" w:rsidP="008E41A3">
            <w:pPr>
              <w:ind w:left="38" w:right="34" w:firstLine="4"/>
              <w:jc w:val="center"/>
              <w:rPr>
                <w:rFonts w:ascii="Calibri" w:hAnsi="Calibri" w:cs="Calibri"/>
                <w:color w:val="000000"/>
              </w:rPr>
            </w:pPr>
            <w:r>
              <w:rPr>
                <w:rFonts w:ascii="Calibri" w:hAnsi="Calibri"/>
                <w:color w:val="000000"/>
              </w:rPr>
              <w:t>99,4%</w:t>
            </w:r>
          </w:p>
          <w:p w:rsidR="00ED665B" w:rsidRPr="00907702" w:rsidRDefault="006C7D2F" w:rsidP="008E41A3">
            <w:pPr>
              <w:ind w:left="38" w:right="34" w:firstLine="4"/>
              <w:jc w:val="center"/>
              <w:rPr>
                <w:rFonts w:ascii="Calibri" w:hAnsi="Calibri" w:cs="Calibri"/>
              </w:rPr>
            </w:pPr>
            <w:r>
              <w:rPr>
                <w:rFonts w:ascii="Calibri" w:hAnsi="Calibri"/>
                <w:color w:val="000000"/>
              </w:rPr>
              <w:t>(95,0-99,3%)</w:t>
            </w:r>
          </w:p>
        </w:tc>
        <w:tc>
          <w:tcPr>
            <w:tcW w:w="1512" w:type="dxa"/>
            <w:tcBorders>
              <w:top w:val="single" w:sz="8" w:space="0" w:color="009649"/>
              <w:bottom w:val="single" w:sz="8" w:space="0" w:color="009649"/>
            </w:tcBorders>
            <w:shd w:val="clear" w:color="auto" w:fill="FFFFFF"/>
            <w:vAlign w:val="center"/>
          </w:tcPr>
          <w:p w:rsidR="00ED665B" w:rsidRPr="00907702" w:rsidRDefault="006C7D2F" w:rsidP="008E41A3">
            <w:pPr>
              <w:jc w:val="center"/>
              <w:rPr>
                <w:rFonts w:ascii="Calibri" w:hAnsi="Calibri" w:cs="Calibri"/>
              </w:rPr>
            </w:pPr>
            <w:r>
              <w:rPr>
                <w:rFonts w:ascii="Calibri" w:hAnsi="Calibri"/>
                <w:color w:val="000000"/>
              </w:rPr>
              <w:t>0,888</w:t>
            </w:r>
          </w:p>
        </w:tc>
        <w:tc>
          <w:tcPr>
            <w:tcW w:w="1522" w:type="dxa"/>
            <w:tcBorders>
              <w:top w:val="single" w:sz="8" w:space="0" w:color="009649"/>
              <w:bottom w:val="single" w:sz="8" w:space="0" w:color="009649"/>
            </w:tcBorders>
            <w:shd w:val="clear" w:color="auto" w:fill="FFFFFF"/>
            <w:vAlign w:val="center"/>
          </w:tcPr>
          <w:p w:rsidR="00ED665B" w:rsidRPr="00907702" w:rsidRDefault="006C7D2F" w:rsidP="008E41A3">
            <w:pPr>
              <w:jc w:val="center"/>
              <w:rPr>
                <w:rFonts w:ascii="Calibri" w:hAnsi="Calibri" w:cs="Calibri"/>
              </w:rPr>
            </w:pPr>
            <w:r>
              <w:rPr>
                <w:rFonts w:ascii="Calibri" w:hAnsi="Calibri"/>
                <w:color w:val="000000"/>
              </w:rPr>
              <w:t>0,855</w:t>
            </w:r>
          </w:p>
        </w:tc>
      </w:tr>
    </w:tbl>
    <w:p w:rsidR="00ED665B" w:rsidRPr="00907702" w:rsidRDefault="006C7D2F" w:rsidP="00DC2656">
      <w:pPr>
        <w:spacing w:before="221"/>
        <w:ind w:right="14"/>
        <w:jc w:val="both"/>
        <w:rPr>
          <w:rFonts w:ascii="Calibri" w:hAnsi="Calibri" w:cs="Calibri"/>
        </w:rPr>
      </w:pPr>
      <w:r>
        <w:rPr>
          <w:rFonts w:ascii="Calibri" w:hAnsi="Calibri"/>
          <w:color w:val="000000"/>
          <w:sz w:val="16"/>
        </w:rPr>
        <w:t>ДІ: довірчий інтервал; ТМЧ: тест медикаментозної чутливості; ІПДЛ: ін’єкційні препарати другого ряду; ШЛС-ТБ: туберкульоз із широкою лікарською стійкістю.</w:t>
      </w:r>
    </w:p>
    <w:p w:rsidR="00ED665B" w:rsidRPr="00907702" w:rsidRDefault="006C7D2F" w:rsidP="00DC2656">
      <w:pPr>
        <w:spacing w:before="82"/>
        <w:rPr>
          <w:rFonts w:ascii="Calibri" w:hAnsi="Calibri" w:cs="Calibri"/>
        </w:rPr>
      </w:pPr>
      <w:r>
        <w:rPr>
          <w:rFonts w:ascii="Calibri" w:hAnsi="Calibri"/>
          <w:color w:val="000000"/>
          <w:sz w:val="16"/>
          <w:vertAlign w:val="superscript"/>
        </w:rPr>
        <w:t>а</w:t>
      </w:r>
      <w:r>
        <w:rPr>
          <w:rFonts w:ascii="Calibri" w:hAnsi="Calibri"/>
          <w:color w:val="000000"/>
          <w:sz w:val="16"/>
        </w:rPr>
        <w:t xml:space="preserve"> Тест коефіцієнта відношення ймовірності для підтвердження значної різниці між оцінками точності.</w:t>
      </w:r>
    </w:p>
    <w:p w:rsidR="00ED665B" w:rsidRPr="00907702" w:rsidRDefault="006C7D2F" w:rsidP="00DC2656">
      <w:pPr>
        <w:spacing w:before="312"/>
        <w:ind w:right="19"/>
        <w:jc w:val="both"/>
        <w:rPr>
          <w:rFonts w:ascii="Calibri" w:hAnsi="Calibri" w:cs="Calibri"/>
        </w:rPr>
      </w:pPr>
      <w:r>
        <w:rPr>
          <w:rFonts w:ascii="Calibri" w:hAnsi="Calibri"/>
          <w:color w:val="000000"/>
          <w:sz w:val="22"/>
        </w:rPr>
        <w:t>З причин, зазначених вище (неадекватні дані через занадто малу кількість досліджень із застосуванням версії 2.0), результати для версії 2.0 тут не представлені. Для MTBDR</w:t>
      </w:r>
      <w:r w:rsidR="00BE6F5B" w:rsidRPr="00BE6F5B">
        <w:rPr>
          <w:rFonts w:ascii="Calibri" w:hAnsi="Calibri"/>
          <w:i/>
          <w:color w:val="000000"/>
          <w:sz w:val="22"/>
        </w:rPr>
        <w:t>sl</w:t>
      </w:r>
      <w:r>
        <w:rPr>
          <w:rFonts w:ascii="Calibri" w:hAnsi="Calibri"/>
          <w:color w:val="000000"/>
          <w:sz w:val="22"/>
        </w:rPr>
        <w:t xml:space="preserve"> версії 2.0 дані були або надто небагаточисленними, або занадто неоднорідними, щоб об’єднати їх у метааналізі або порівняти результати непрямого та прямого тестування.</w:t>
      </w:r>
    </w:p>
    <w:p w:rsidR="00ED665B" w:rsidRPr="00907702" w:rsidRDefault="006C7D2F" w:rsidP="00DC2656">
      <w:pPr>
        <w:spacing w:before="168"/>
        <w:ind w:right="19"/>
        <w:jc w:val="both"/>
        <w:rPr>
          <w:rFonts w:ascii="Calibri" w:hAnsi="Calibri" w:cs="Calibri"/>
        </w:rPr>
      </w:pPr>
      <w:r>
        <w:rPr>
          <w:rFonts w:ascii="Calibri" w:hAnsi="Calibri"/>
          <w:color w:val="000000"/>
          <w:sz w:val="22"/>
        </w:rPr>
        <w:t>Три дослідження оцінювали MTBDR</w:t>
      </w:r>
      <w:r w:rsidR="00BE6F5B" w:rsidRPr="00BE6F5B">
        <w:rPr>
          <w:rFonts w:ascii="Calibri" w:hAnsi="Calibri"/>
          <w:i/>
          <w:color w:val="000000"/>
          <w:sz w:val="22"/>
        </w:rPr>
        <w:t>sl</w:t>
      </w:r>
      <w:r>
        <w:rPr>
          <w:rFonts w:ascii="Calibri" w:hAnsi="Calibri"/>
          <w:color w:val="000000"/>
          <w:sz w:val="22"/>
        </w:rPr>
        <w:t xml:space="preserve"> версії 2.0 у 562 осіб, включаючи 111 підтверджених випадків захворювання на ТБ зі резистентністю до фторхінолону шляхом непрямого тестування на посіві </w:t>
      </w:r>
      <w:r w:rsidR="00BE6F5B" w:rsidRPr="00BE6F5B">
        <w:rPr>
          <w:rFonts w:ascii="Calibri" w:hAnsi="Calibri"/>
          <w:i/>
          <w:color w:val="000000"/>
          <w:sz w:val="22"/>
        </w:rPr>
        <w:t>M. tuberculosis</w:t>
      </w:r>
      <w:r>
        <w:rPr>
          <w:rFonts w:ascii="Calibri" w:hAnsi="Calibri"/>
          <w:color w:val="000000"/>
          <w:sz w:val="22"/>
        </w:rPr>
        <w:t xml:space="preserve"> порівняно з референс стандартом ТМЧ на основі фенотипічного посіву. Оцінки чутливості становили від 84% до 100%, а специфічність – від 99% до 100%.</w:t>
      </w:r>
    </w:p>
    <w:p w:rsidR="00ED665B" w:rsidRPr="00907702" w:rsidRDefault="006C7D2F" w:rsidP="00DC2656">
      <w:pPr>
        <w:spacing w:before="168"/>
        <w:ind w:right="19"/>
        <w:jc w:val="both"/>
        <w:rPr>
          <w:rFonts w:ascii="Calibri" w:hAnsi="Calibri" w:cs="Calibri"/>
        </w:rPr>
      </w:pPr>
      <w:r>
        <w:rPr>
          <w:rFonts w:ascii="Calibri" w:hAnsi="Calibri"/>
          <w:color w:val="000000"/>
          <w:sz w:val="22"/>
        </w:rPr>
        <w:t xml:space="preserve">Див. </w:t>
      </w:r>
      <w:r>
        <w:rPr>
          <w:rFonts w:ascii="Calibri" w:hAnsi="Calibri"/>
          <w:b/>
          <w:color w:val="000000"/>
          <w:sz w:val="22"/>
        </w:rPr>
        <w:t xml:space="preserve">Вебдодаток 4.6 </w:t>
      </w:r>
      <w:r>
        <w:rPr>
          <w:rFonts w:ascii="Calibri" w:hAnsi="Calibri"/>
          <w:color w:val="000000"/>
          <w:sz w:val="22"/>
        </w:rPr>
        <w:t>«Концентрації лікарських засобів, які використовуються у культуральних ТМЧ SL-LPA» для детальної інформації про концентрації лікарських засобів, які використовуються у ТМЧ на основі посіву для оцінки ефективності SL-LPA у кожному включеному дослідженні.</w:t>
      </w:r>
    </w:p>
    <w:p w:rsidR="00ED665B" w:rsidRPr="00907702" w:rsidRDefault="00ED665B" w:rsidP="00DC2656">
      <w:pPr>
        <w:spacing w:before="168"/>
        <w:ind w:right="19"/>
        <w:jc w:val="both"/>
        <w:rPr>
          <w:rFonts w:ascii="Calibri" w:hAnsi="Calibri" w:cs="Calibri"/>
        </w:rPr>
        <w:sectPr w:rsidR="00ED665B" w:rsidRPr="00907702">
          <w:pgSz w:w="11904" w:h="16838"/>
          <w:pgMar w:top="1339" w:right="1397" w:bottom="1459" w:left="1416" w:header="720" w:footer="720" w:gutter="0"/>
          <w:cols w:space="60"/>
          <w:noEndnote/>
        </w:sectPr>
      </w:pPr>
    </w:p>
    <w:p w:rsidR="00ED665B" w:rsidRPr="008E41A3" w:rsidRDefault="006C7D2F" w:rsidP="00DC2656">
      <w:pPr>
        <w:rPr>
          <w:rFonts w:ascii="Calibri" w:hAnsi="Calibri" w:cs="Calibri"/>
          <w:b/>
          <w:bCs/>
        </w:rPr>
      </w:pPr>
      <w:r>
        <w:rPr>
          <w:rFonts w:ascii="Calibri" w:hAnsi="Calibri"/>
          <w:b/>
          <w:color w:val="009649"/>
          <w:sz w:val="28"/>
        </w:rPr>
        <w:lastRenderedPageBreak/>
        <w:t>Рекомендації щодо впровадження</w:t>
      </w:r>
    </w:p>
    <w:p w:rsidR="00ED665B" w:rsidRPr="00907702" w:rsidRDefault="006C7D2F" w:rsidP="00DC2656">
      <w:pPr>
        <w:spacing w:before="168"/>
        <w:jc w:val="both"/>
        <w:rPr>
          <w:rFonts w:ascii="Calibri" w:hAnsi="Calibri" w:cs="Calibri"/>
        </w:rPr>
      </w:pPr>
      <w:r>
        <w:rPr>
          <w:rFonts w:ascii="Calibri" w:hAnsi="Calibri"/>
          <w:color w:val="000000"/>
          <w:sz w:val="22"/>
        </w:rPr>
        <w:t>SL-LPA слід застосовувати лише для тестування зразків пацієнтів із підтвердженим MЛС/Риф-TБ. Застосування SL-LPA не виключає необхідності у проведенні традиційного посіву та можливості ТМЧ. Незважаючи на хорошу специфічність SL-LPA для виявлення резистентності до фторхінолонів та ІПДЛ, необхідно провести культуральний та фенотипічний ТМЧ, щоб повністю виключити резистентність до цих класів лікарських засобів, а також до інших лікарських засобів другої лінії. Застосовуються наступні рекомендації щодо впровадження:</w:t>
      </w:r>
    </w:p>
    <w:p w:rsidR="00ED665B" w:rsidRPr="00907702" w:rsidRDefault="006C7D2F" w:rsidP="00DC2656">
      <w:pPr>
        <w:numPr>
          <w:ilvl w:val="0"/>
          <w:numId w:val="2"/>
        </w:numPr>
        <w:tabs>
          <w:tab w:val="left" w:pos="240"/>
        </w:tabs>
        <w:spacing w:before="82"/>
        <w:ind w:left="240" w:hanging="240"/>
        <w:jc w:val="both"/>
        <w:rPr>
          <w:rFonts w:ascii="Calibri" w:hAnsi="Calibri" w:cs="Calibri"/>
          <w:color w:val="009649"/>
          <w:sz w:val="22"/>
          <w:szCs w:val="22"/>
        </w:rPr>
      </w:pPr>
      <w:r>
        <w:rPr>
          <w:rFonts w:ascii="Calibri" w:hAnsi="Calibri"/>
          <w:color w:val="000000"/>
          <w:sz w:val="22"/>
        </w:rPr>
        <w:t>SL-LPA не може визначити резистентність до окремих лікарських засобів у класі фторхінолонів. Мутації резистентності, виявлені SL-LPA, значною мірою корелюються з фенотипною резистентністю до офлоксацину та левофлоксацину.</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 xml:space="preserve">Мутації у деяких ділянках (наприклад, ділянці промотору </w:t>
      </w:r>
      <w:r w:rsidRPr="00FA1569">
        <w:rPr>
          <w:rFonts w:ascii="Calibri" w:hAnsi="Calibri"/>
          <w:i/>
          <w:color w:val="000000"/>
          <w:sz w:val="22"/>
        </w:rPr>
        <w:t>eis</w:t>
      </w:r>
      <w:r>
        <w:rPr>
          <w:rFonts w:ascii="Calibri" w:hAnsi="Calibri"/>
          <w:color w:val="000000"/>
          <w:sz w:val="22"/>
        </w:rPr>
        <w:t xml:space="preserve">) можуть бути причиною того, що вони викликають резистентність до одного лікарського засобу у класі більше, ніж до інших лікарських засобів цього класу. Наприклад, мутація </w:t>
      </w:r>
      <w:r w:rsidRPr="00FA1569">
        <w:rPr>
          <w:rFonts w:ascii="Calibri" w:hAnsi="Calibri"/>
          <w:i/>
          <w:color w:val="000000"/>
          <w:sz w:val="22"/>
        </w:rPr>
        <w:t>eis</w:t>
      </w:r>
      <w:r>
        <w:rPr>
          <w:rFonts w:ascii="Calibri" w:hAnsi="Calibri"/>
          <w:color w:val="000000"/>
          <w:sz w:val="22"/>
        </w:rPr>
        <w:t xml:space="preserve"> C14T пов’язана з резистентністю до канаміцину у штамів зі Східної Європи.</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SL-LPA слід використовувати для прямого тестування зразків мокротиння, незалежно від того, чи є зразки негативними, чи позитивними.</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SL-LPA призначені для виявлення ТБ та резистентності до фторхінолонів та ІПДЛ у зразках мокротиння. Інші респіраторні зразки (наприклад, з бронхоальвеолярного промивання або шлункової аспірації) або позалегеневі зразки (наприклад, зразки тканин, СМР чи інших рідин організму) оцінено недостатньою мірою.</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ТМЧ на основі посіву та фенотипічного посіву відіграє вирішальну роль у моніторингу результатів лікування пацієнтів та виявленої додаткової резистентності до препаратів другого ряду.</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SL-LPA підходить для використання на рівні центральної або національної референс лабораторії і може використовуватися на регіональному рівні, якщо можна забезпечити відповідну інфраструктуру (потрібні три окремі приміщення).</w:t>
      </w:r>
    </w:p>
    <w:p w:rsidR="00ED665B" w:rsidRPr="00907702" w:rsidRDefault="006C7D2F" w:rsidP="00DC2656">
      <w:pPr>
        <w:numPr>
          <w:ilvl w:val="0"/>
          <w:numId w:val="2"/>
        </w:numPr>
        <w:tabs>
          <w:tab w:val="left" w:pos="240"/>
        </w:tabs>
        <w:ind w:left="240" w:right="10" w:hanging="240"/>
        <w:jc w:val="both"/>
        <w:rPr>
          <w:rFonts w:ascii="Calibri" w:hAnsi="Calibri" w:cs="Calibri"/>
          <w:color w:val="009649"/>
          <w:sz w:val="22"/>
          <w:szCs w:val="22"/>
        </w:rPr>
      </w:pPr>
      <w:r>
        <w:rPr>
          <w:rFonts w:ascii="Calibri" w:hAnsi="Calibri"/>
          <w:color w:val="000000"/>
          <w:sz w:val="22"/>
        </w:rPr>
        <w:t>Усі пацієнти, захворювання яких виявлено за допомогою SL-LPA, повинні мати доступ до відповідного лікування та допоміжних препаратів.</w:t>
      </w:r>
    </w:p>
    <w:p w:rsidR="00ED665B" w:rsidRPr="008E41A3" w:rsidRDefault="006C7D2F" w:rsidP="00DC2656">
      <w:pPr>
        <w:spacing w:before="235"/>
        <w:rPr>
          <w:rFonts w:ascii="Calibri" w:hAnsi="Calibri" w:cs="Calibri"/>
          <w:b/>
          <w:bCs/>
        </w:rPr>
      </w:pPr>
      <w:r>
        <w:rPr>
          <w:rFonts w:ascii="Calibri" w:hAnsi="Calibri"/>
          <w:b/>
          <w:color w:val="009649"/>
          <w:sz w:val="28"/>
        </w:rPr>
        <w:t>Пріоритети наукових досліджень</w:t>
      </w:r>
    </w:p>
    <w:p w:rsidR="00ED665B" w:rsidRPr="00907702" w:rsidRDefault="006C7D2F" w:rsidP="00DC2656">
      <w:pPr>
        <w:numPr>
          <w:ilvl w:val="0"/>
          <w:numId w:val="2"/>
        </w:numPr>
        <w:tabs>
          <w:tab w:val="left" w:pos="240"/>
        </w:tabs>
        <w:spacing w:before="168"/>
        <w:ind w:left="240" w:right="5" w:hanging="240"/>
        <w:jc w:val="both"/>
        <w:rPr>
          <w:rFonts w:ascii="Calibri" w:hAnsi="Calibri" w:cs="Calibri"/>
          <w:color w:val="009649"/>
          <w:sz w:val="22"/>
          <w:szCs w:val="22"/>
        </w:rPr>
      </w:pPr>
      <w:r>
        <w:rPr>
          <w:rFonts w:ascii="Calibri" w:hAnsi="Calibri"/>
          <w:color w:val="000000"/>
          <w:sz w:val="22"/>
        </w:rPr>
        <w:t>Розробка вдосконаленого розуміння взаємозв’язку між виявленням мутацій, що надають резистентність, за допомогою фенотипічного ТМЧ та результатами пацієнта.</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Розробка вдосконалених знань про наявність специфічних мутацій, виявлених за допомогою SL-LPA, співвідносних з мінімальними інгібуючими концентраціями для окремих лікарських засобів у межах класів фторхінолонів та ІПДЛ.</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Визначення межі виявлення для SL-LPA для виявлення гетерорезистентності.</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Збір додаткових даних щодо впливу MTBDR</w:t>
      </w:r>
      <w:r w:rsidR="00BE6F5B" w:rsidRPr="00BE6F5B">
        <w:rPr>
          <w:rFonts w:ascii="Calibri" w:hAnsi="Calibri"/>
          <w:i/>
          <w:color w:val="000000"/>
          <w:sz w:val="22"/>
        </w:rPr>
        <w:t>sl</w:t>
      </w:r>
      <w:r>
        <w:rPr>
          <w:rFonts w:ascii="Calibri" w:hAnsi="Calibri"/>
          <w:color w:val="000000"/>
          <w:sz w:val="22"/>
        </w:rPr>
        <w:t xml:space="preserve"> на відповідне лікування МЛС-ТБ та смертність.</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 xml:space="preserve">Сильно рекомендувати, щоб при проведенні майбутніх досліджень виконувалися рекомендації у заяві STARD </w:t>
      </w:r>
      <w:r w:rsidRPr="00BE6F5B">
        <w:rPr>
          <w:rFonts w:ascii="Calibri" w:hAnsi="Calibri"/>
          <w:i/>
          <w:color w:val="000000"/>
          <w:sz w:val="22"/>
        </w:rPr>
        <w:t>(42)</w:t>
      </w:r>
      <w:r>
        <w:rPr>
          <w:rFonts w:ascii="Calibri" w:hAnsi="Calibri"/>
          <w:color w:val="000000"/>
          <w:sz w:val="22"/>
        </w:rPr>
        <w:t xml:space="preserve"> для покращення якості звітності.</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Виконання конкретних для країни аналізів співвідношення витрати / ефективність та вартості та вигод для цільового використання SL-LPA у різних програмних умовах.</w:t>
      </w:r>
    </w:p>
    <w:p w:rsidR="00ED665B" w:rsidRPr="00907702" w:rsidRDefault="00ED665B" w:rsidP="00DC2656">
      <w:pPr>
        <w:numPr>
          <w:ilvl w:val="0"/>
          <w:numId w:val="2"/>
        </w:numPr>
        <w:tabs>
          <w:tab w:val="left" w:pos="240"/>
        </w:tabs>
        <w:ind w:left="240" w:hanging="240"/>
        <w:jc w:val="both"/>
        <w:rPr>
          <w:rFonts w:ascii="Calibri" w:hAnsi="Calibri" w:cs="Calibri"/>
          <w:color w:val="009649"/>
          <w:sz w:val="22"/>
          <w:szCs w:val="22"/>
        </w:rPr>
        <w:sectPr w:rsidR="00ED665B" w:rsidRPr="00907702">
          <w:pgSz w:w="11904" w:h="16838"/>
          <w:pgMar w:top="1378" w:right="1416" w:bottom="2621" w:left="1416" w:header="720" w:footer="720" w:gutter="0"/>
          <w:cols w:space="60"/>
          <w:noEndnote/>
        </w:sectPr>
      </w:pPr>
    </w:p>
    <w:p w:rsidR="00ED665B" w:rsidRPr="009B3894" w:rsidRDefault="006C7D2F" w:rsidP="00DC2656">
      <w:pPr>
        <w:ind w:left="38"/>
        <w:rPr>
          <w:rFonts w:ascii="Calibri" w:hAnsi="Calibri" w:cs="Calibri"/>
          <w:b/>
          <w:bCs/>
          <w:lang w:val="ru-RU"/>
        </w:rPr>
      </w:pPr>
      <w:bookmarkStart w:id="29" w:name="bookmark35"/>
      <w:r>
        <w:rPr>
          <w:rFonts w:ascii="Calibri" w:hAnsi="Calibri"/>
          <w:b/>
          <w:color w:val="009649"/>
          <w:sz w:val="28"/>
        </w:rPr>
        <w:lastRenderedPageBreak/>
        <w:t>Т</w:t>
      </w:r>
      <w:bookmarkEnd w:id="29"/>
      <w:r>
        <w:rPr>
          <w:rFonts w:ascii="Calibri" w:hAnsi="Calibri"/>
          <w:b/>
          <w:color w:val="009649"/>
          <w:sz w:val="28"/>
        </w:rPr>
        <w:t xml:space="preserve">АНК високої складності на основі зворотної гібридизації для виявлення резистентності до піразинаміду. </w:t>
      </w:r>
      <w:r w:rsidR="00FA1569" w:rsidRPr="00F67926">
        <w:rPr>
          <w:rFonts w:ascii="Calibri" w:hAnsi="Calibri"/>
          <w:b/>
          <w:color w:val="009649"/>
          <w:sz w:val="28"/>
          <w:shd w:val="clear" w:color="auto" w:fill="009649"/>
          <w:lang w:val="ru-RU"/>
        </w:rPr>
        <w:t xml:space="preserve"> </w:t>
      </w:r>
      <w:r w:rsidRPr="00F67926">
        <w:rPr>
          <w:rFonts w:ascii="Calibri" w:hAnsi="Calibri"/>
          <w:b/>
          <w:color w:val="FFFFFF"/>
          <w:sz w:val="28"/>
          <w:shd w:val="clear" w:color="auto" w:fill="009649"/>
        </w:rPr>
        <w:t>НОВЕ</w:t>
      </w:r>
      <w:r w:rsidR="00FA1569" w:rsidRPr="009B3894">
        <w:rPr>
          <w:rFonts w:ascii="Calibri" w:hAnsi="Calibri"/>
          <w:b/>
          <w:color w:val="FFFFFF"/>
          <w:sz w:val="28"/>
          <w:shd w:val="clear" w:color="auto" w:fill="009649"/>
          <w:lang w:val="ru-RU"/>
        </w:rPr>
        <w:t xml:space="preserve"> </w:t>
      </w:r>
    </w:p>
    <w:p w:rsidR="00ED665B" w:rsidRPr="00907702" w:rsidRDefault="006C7D2F" w:rsidP="00DC2656">
      <w:pPr>
        <w:spacing w:before="163"/>
        <w:ind w:left="19" w:right="48"/>
        <w:jc w:val="both"/>
        <w:rPr>
          <w:rFonts w:ascii="Calibri" w:hAnsi="Calibri" w:cs="Calibri"/>
        </w:rPr>
      </w:pPr>
      <w:r>
        <w:rPr>
          <w:rFonts w:ascii="Calibri" w:hAnsi="Calibri"/>
          <w:color w:val="000000"/>
          <w:sz w:val="22"/>
        </w:rPr>
        <w:t>Піразинамід є важливим антибіотиком для лікування як чутливого до лікарських засобів туберкульозу, так і ЛС-ТБ через свою унікальну здатність ліквідувати стійкі бактерії та свої синергетичні властивості з іншими антибіотиками. Монорезистентність до піразинаміду зустрічається рідко; проте резистентність до піразинаміду тісно пов’язана з МЛС/Риф-ТБ, приблизно 30-60% випадків МЛС/Риф-ТБ також резистентні до піразинаміду. Таким чином, у людей з діагнозом Риф-ТБ важливо виявити наявність резистентності до піразинаміду, щоб клініцисти могли прийняти обґрунтоване рішення щодо включення або виключення піразинаміду до схеми лікування. ТАНК високої складності на основі гібридизації можна використовувати для діагностики резистентності до піразинаміду на ізолятах пацієнтів; однак для виконання цього тесту потрібна відповідна інфраструктура та кваліфікований персонал.</w:t>
      </w:r>
    </w:p>
    <w:p w:rsidR="00ED665B" w:rsidRPr="00907702" w:rsidRDefault="00ED665B" w:rsidP="00DC2656">
      <w:pPr>
        <w:spacing w:after="235"/>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130"/>
      </w:tblGrid>
      <w:tr w:rsidR="00ED665B" w:rsidRPr="008E41A3" w:rsidTr="008E41A3">
        <w:trPr>
          <w:trHeight w:hRule="exact" w:val="518"/>
        </w:trPr>
        <w:tc>
          <w:tcPr>
            <w:tcW w:w="9130" w:type="dxa"/>
            <w:tcBorders>
              <w:top w:val="nil"/>
              <w:left w:val="nil"/>
              <w:bottom w:val="single" w:sz="8" w:space="0" w:color="009649"/>
              <w:right w:val="nil"/>
            </w:tcBorders>
            <w:shd w:val="clear" w:color="auto" w:fill="FFFFFF"/>
          </w:tcPr>
          <w:p w:rsidR="00ED665B" w:rsidRPr="008E41A3" w:rsidRDefault="006C7D2F" w:rsidP="00DC2656">
            <w:pPr>
              <w:rPr>
                <w:rFonts w:ascii="Calibri" w:hAnsi="Calibri" w:cs="Calibri"/>
                <w:b/>
                <w:bCs/>
              </w:rPr>
            </w:pPr>
            <w:r>
              <w:rPr>
                <w:rFonts w:ascii="Calibri" w:hAnsi="Calibri"/>
                <w:b/>
                <w:color w:val="009649"/>
                <w:sz w:val="28"/>
              </w:rPr>
              <w:t>Рекомендація</w:t>
            </w:r>
          </w:p>
        </w:tc>
      </w:tr>
      <w:tr w:rsidR="00ED665B" w:rsidRPr="00907702" w:rsidTr="00F67926">
        <w:trPr>
          <w:trHeight w:hRule="exact" w:val="1519"/>
        </w:trPr>
        <w:tc>
          <w:tcPr>
            <w:tcW w:w="9130" w:type="dxa"/>
            <w:tcBorders>
              <w:top w:val="single" w:sz="8" w:space="0" w:color="009649"/>
              <w:left w:val="single" w:sz="8" w:space="0" w:color="009649"/>
              <w:bottom w:val="single" w:sz="8" w:space="0" w:color="009649"/>
              <w:right w:val="single" w:sz="8" w:space="0" w:color="009649"/>
            </w:tcBorders>
            <w:shd w:val="clear" w:color="auto" w:fill="FFFFFF"/>
          </w:tcPr>
          <w:p w:rsidR="00F67926" w:rsidRDefault="006C7D2F" w:rsidP="008E41A3">
            <w:pPr>
              <w:spacing w:before="120"/>
              <w:ind w:left="192" w:right="221"/>
              <w:rPr>
                <w:rFonts w:ascii="Calibri" w:hAnsi="Calibri"/>
                <w:color w:val="000000"/>
                <w:sz w:val="22"/>
              </w:rPr>
            </w:pPr>
            <w:r>
              <w:rPr>
                <w:rFonts w:ascii="Calibri" w:hAnsi="Calibri"/>
                <w:color w:val="000000"/>
                <w:sz w:val="22"/>
              </w:rPr>
              <w:t xml:space="preserve">У людей з бактеріологічно підтвердженим туберкульозом для виявлення резистентності до піразинаміду можуть використовуватися ТАНК високої складності на основі зворотної гібридизації на ізолятах культури </w:t>
            </w:r>
            <w:r w:rsidRPr="0031040C">
              <w:rPr>
                <w:rFonts w:ascii="Calibri" w:hAnsi="Calibri"/>
                <w:i/>
                <w:color w:val="000000"/>
                <w:sz w:val="22"/>
              </w:rPr>
              <w:t>Mtb</w:t>
            </w:r>
            <w:r>
              <w:rPr>
                <w:rFonts w:ascii="Calibri" w:hAnsi="Calibri"/>
                <w:color w:val="000000"/>
                <w:sz w:val="22"/>
              </w:rPr>
              <w:t xml:space="preserve">, а не фенотипічні ТМЧ на основі посіву. </w:t>
            </w:r>
          </w:p>
          <w:p w:rsidR="00ED665B" w:rsidRPr="00F67926" w:rsidRDefault="006C7D2F" w:rsidP="00F67926">
            <w:pPr>
              <w:spacing w:before="60"/>
              <w:ind w:left="192" w:right="221"/>
              <w:rPr>
                <w:rFonts w:ascii="Calibri" w:hAnsi="Calibri" w:cs="Calibri"/>
                <w:i/>
              </w:rPr>
            </w:pPr>
            <w:r w:rsidRPr="00F67926">
              <w:rPr>
                <w:rFonts w:ascii="Calibri" w:hAnsi="Calibri"/>
                <w:i/>
                <w:color w:val="000000"/>
                <w:sz w:val="22"/>
              </w:rPr>
              <w:t>Умовна рекомендація, дуже низька якість доказових даних щодо діагностичної точності</w:t>
            </w:r>
          </w:p>
        </w:tc>
      </w:tr>
    </w:tbl>
    <w:p w:rsidR="00ED665B" w:rsidRPr="00907702" w:rsidRDefault="006C7D2F" w:rsidP="00DC2656">
      <w:pPr>
        <w:spacing w:before="394"/>
        <w:ind w:left="14" w:right="43"/>
        <w:jc w:val="both"/>
        <w:rPr>
          <w:rFonts w:ascii="Calibri" w:hAnsi="Calibri" w:cs="Calibri"/>
        </w:rPr>
      </w:pPr>
      <w:r>
        <w:rPr>
          <w:rFonts w:ascii="Calibri" w:hAnsi="Calibri"/>
          <w:color w:val="000000"/>
          <w:sz w:val="22"/>
        </w:rPr>
        <w:t>З точки зору підгруп, які слід враховувати для цієї рекомендації, не потрібно особливих міркувань (наприклад, щодо дітей, людей, які живуть з ВІЛ, та тих, хто має позалегеневий туберкульоз), оскільки тест рекомендовано для використання на культуральних ізолятах.</w:t>
      </w:r>
    </w:p>
    <w:p w:rsidR="00ED665B" w:rsidRPr="008E41A3" w:rsidRDefault="006C7D2F" w:rsidP="00DC2656">
      <w:pPr>
        <w:spacing w:before="230"/>
        <w:ind w:left="14"/>
        <w:rPr>
          <w:rFonts w:ascii="Calibri" w:hAnsi="Calibri" w:cs="Calibri"/>
          <w:b/>
          <w:bCs/>
        </w:rPr>
      </w:pPr>
      <w:r>
        <w:rPr>
          <w:rFonts w:ascii="Calibri" w:hAnsi="Calibri"/>
          <w:b/>
          <w:color w:val="009649"/>
          <w:sz w:val="28"/>
        </w:rPr>
        <w:t>Опис тесту</w:t>
      </w:r>
    </w:p>
    <w:p w:rsidR="00ED665B" w:rsidRPr="00907702" w:rsidRDefault="006C7D2F" w:rsidP="00DC2656">
      <w:pPr>
        <w:spacing w:before="168"/>
        <w:ind w:left="14" w:right="43"/>
        <w:jc w:val="both"/>
        <w:rPr>
          <w:rFonts w:ascii="Calibri" w:hAnsi="Calibri" w:cs="Calibri"/>
        </w:rPr>
      </w:pPr>
      <w:r>
        <w:rPr>
          <w:rFonts w:ascii="Calibri" w:hAnsi="Calibri"/>
          <w:color w:val="000000"/>
          <w:sz w:val="22"/>
        </w:rPr>
        <w:t xml:space="preserve">Nipro (Осака, Японія) розробила Genoscholar ™ PZA-TB – LPA з технологією на основі зворотної гібридизації для виявлення резистентності до піразинаміду </w:t>
      </w:r>
      <w:r w:rsidRPr="00BE6F5B">
        <w:rPr>
          <w:rFonts w:ascii="Calibri" w:hAnsi="Calibri"/>
          <w:i/>
          <w:color w:val="000000"/>
          <w:sz w:val="22"/>
        </w:rPr>
        <w:t>(43)</w:t>
      </w:r>
      <w:r>
        <w:rPr>
          <w:rFonts w:ascii="Calibri" w:hAnsi="Calibri"/>
          <w:color w:val="000000"/>
          <w:sz w:val="22"/>
        </w:rPr>
        <w:t>. Цей аналіз є комерційно доступним швидким молекулярним тестом для виявлення резистентності до піразинаміду. Порівняно з лінійними зонд-аналізами MTBDR</w:t>
      </w:r>
      <w:r w:rsidRPr="00BE6F5B">
        <w:rPr>
          <w:rFonts w:ascii="Calibri" w:hAnsi="Calibri"/>
          <w:i/>
          <w:color w:val="000000"/>
          <w:sz w:val="22"/>
        </w:rPr>
        <w:t>plus</w:t>
      </w:r>
      <w:r>
        <w:rPr>
          <w:rFonts w:ascii="Calibri" w:hAnsi="Calibri"/>
          <w:color w:val="000000"/>
          <w:sz w:val="22"/>
        </w:rPr>
        <w:t xml:space="preserve"> та MTBDR</w:t>
      </w:r>
      <w:r w:rsidR="00BE6F5B" w:rsidRPr="00BE6F5B">
        <w:rPr>
          <w:rFonts w:ascii="Calibri" w:hAnsi="Calibri"/>
          <w:i/>
          <w:color w:val="000000"/>
          <w:sz w:val="22"/>
        </w:rPr>
        <w:t>sl</w:t>
      </w:r>
      <w:r>
        <w:rPr>
          <w:rFonts w:ascii="Calibri" w:hAnsi="Calibri"/>
          <w:color w:val="000000"/>
          <w:sz w:val="22"/>
        </w:rPr>
        <w:t>, лінійний зонд-аналіз Genoscholar PZA-TB не включає специфічних мутаційних зондів, оскільки мутації резистентності широко поширені по всьому гену pncA без переважних мутацій. Натомість мішенню тесту Genoscholar PZA-TB є фрагмент 700 спарених основ (bp), що охоплює весь ген pncA та промоторну ділянку до нуклеотиду –18 референс штаму H37Rv дикого типу.</w:t>
      </w:r>
    </w:p>
    <w:p w:rsidR="00ED665B" w:rsidRPr="00907702" w:rsidRDefault="00ED665B" w:rsidP="00DC2656">
      <w:pPr>
        <w:spacing w:before="168"/>
        <w:ind w:left="14" w:right="43"/>
        <w:jc w:val="both"/>
        <w:rPr>
          <w:rFonts w:ascii="Calibri" w:hAnsi="Calibri" w:cs="Calibri"/>
        </w:rPr>
        <w:sectPr w:rsidR="00ED665B" w:rsidRPr="00907702" w:rsidSect="008E41A3">
          <w:pgSz w:w="11904" w:h="16838"/>
          <w:pgMar w:top="1378" w:right="1373" w:bottom="4253" w:left="1402" w:header="720" w:footer="720" w:gutter="0"/>
          <w:cols w:space="60"/>
          <w:noEndnote/>
        </w:sectPr>
      </w:pPr>
    </w:p>
    <w:p w:rsidR="00ED665B" w:rsidRPr="008E41A3" w:rsidRDefault="006C7D2F" w:rsidP="00DC2656">
      <w:pPr>
        <w:ind w:right="499"/>
        <w:rPr>
          <w:rFonts w:ascii="Calibri" w:hAnsi="Calibri" w:cs="Calibri"/>
          <w:b/>
          <w:bCs/>
        </w:rPr>
      </w:pPr>
      <w:r>
        <w:rPr>
          <w:rFonts w:ascii="Calibri" w:hAnsi="Calibri"/>
          <w:b/>
          <w:color w:val="636466"/>
          <w:sz w:val="24"/>
        </w:rPr>
        <w:lastRenderedPageBreak/>
        <w:t>Рисунок 2.3.7. Тест-смужка Nipro GenoScholar PZA-TB II (a) та вміст набору Nipro GenoScholar PZA-TB II</w:t>
      </w:r>
    </w:p>
    <w:p w:rsidR="00ED665B" w:rsidRPr="00907702" w:rsidRDefault="008E41A3" w:rsidP="00DC2656">
      <w:pPr>
        <w:spacing w:before="278"/>
        <w:rPr>
          <w:rFonts w:ascii="Calibri" w:hAnsi="Calibri" w:cs="Calibri"/>
        </w:rPr>
      </w:pPr>
      <w:r>
        <w:rPr>
          <w:rFonts w:ascii="Calibri" w:hAnsi="Calibri"/>
          <w:b/>
          <w:noProof/>
          <w:color w:val="000000"/>
          <w:sz w:val="24"/>
          <w:lang w:val="en-US" w:bidi="ar-SA"/>
        </w:rPr>
        <mc:AlternateContent>
          <mc:Choice Requires="wps">
            <w:drawing>
              <wp:anchor distT="0" distB="0" distL="114300" distR="114300" simplePos="0" relativeHeight="251758592" behindDoc="0" locked="0" layoutInCell="1" allowOverlap="1" wp14:anchorId="731336C8" wp14:editId="43298E18">
                <wp:simplePos x="0" y="0"/>
                <wp:positionH relativeFrom="page">
                  <wp:posOffset>2178051</wp:posOffset>
                </wp:positionH>
                <wp:positionV relativeFrom="page">
                  <wp:posOffset>1473201</wp:posOffset>
                </wp:positionV>
                <wp:extent cx="984250" cy="177800"/>
                <wp:effectExtent l="0" t="0" r="6350" b="0"/>
                <wp:wrapNone/>
                <wp:docPr id="587" name="Надпись 587"/>
                <wp:cNvGraphicFramePr/>
                <a:graphic xmlns:a="http://schemas.openxmlformats.org/drawingml/2006/main">
                  <a:graphicData uri="http://schemas.microsoft.com/office/word/2010/wordprocessingShape">
                    <wps:wsp>
                      <wps:cNvSpPr txBox="1"/>
                      <wps:spPr>
                        <a:xfrm>
                          <a:off x="0" y="0"/>
                          <a:ext cx="984250" cy="177800"/>
                        </a:xfrm>
                        <a:prstGeom prst="rect">
                          <a:avLst/>
                        </a:prstGeom>
                        <a:solidFill>
                          <a:schemeClr val="lt1"/>
                        </a:solidFill>
                        <a:ln w="6350">
                          <a:noFill/>
                        </a:ln>
                      </wps:spPr>
                      <wps:txbx>
                        <w:txbxContent>
                          <w:p w:rsidR="00BE6F5B" w:rsidRPr="008E41A3" w:rsidRDefault="00BE6F5B">
                            <w:pPr>
                              <w:rPr>
                                <w:b/>
                                <w:bCs/>
                                <w:sz w:val="14"/>
                                <w:szCs w:val="14"/>
                              </w:rPr>
                            </w:pPr>
                            <w:r>
                              <w:rPr>
                                <w:b/>
                                <w:sz w:val="14"/>
                              </w:rPr>
                              <w:t>Тест-смужка PZA-TBZ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336C8" id="Надпись 587" o:spid="_x0000_s1103" type="#_x0000_t202" style="position:absolute;margin-left:171.5pt;margin-top:116pt;width:77.5pt;height:14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" fillcolor="white [3201]" stroked="f" strokeweight=".5pt">
                <v:textbox inset="0,0,0,0">
                  <w:txbxContent>
                    <w:p w:rsidR="00BE6F5B" w:rsidRPr="008E41A3" w:rsidRDefault="00BE6F5B">
                      <w:pPr>
                        <w:rPr>
                          <w:b/>
                          <w:bCs/>
                          <w:sz w:val="14"/>
                          <w:szCs w:val="14"/>
                        </w:rPr>
                      </w:pPr>
                      <w:r>
                        <w:rPr>
                          <w:b/>
                          <w:sz w:val="14"/>
                        </w:rPr>
                        <w:t>Тест-смужка PZA-TBZ</w:t>
                      </w:r>
                    </w:p>
                  </w:txbxContent>
                </v:textbox>
                <w10:wrap anchorx="page" anchory="page"/>
              </v:shape>
            </w:pict>
          </mc:Fallback>
        </mc:AlternateContent>
      </w:r>
      <w:r>
        <w:rPr>
          <w:rFonts w:ascii="Calibri" w:hAnsi="Calibri"/>
          <w:noProof/>
          <w:lang w:val="en-US" w:bidi="ar-SA"/>
        </w:rPr>
        <w:drawing>
          <wp:inline distT="0" distB="0" distL="0" distR="0">
            <wp:extent cx="5852160" cy="3466465"/>
            <wp:effectExtent l="0" t="0" r="0" b="0"/>
            <wp:docPr id="218"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852160" cy="3466465"/>
                    </a:xfrm>
                    <a:prstGeom prst="rect">
                      <a:avLst/>
                    </a:prstGeom>
                    <a:noFill/>
                    <a:ln>
                      <a:noFill/>
                    </a:ln>
                  </pic:spPr>
                </pic:pic>
              </a:graphicData>
            </a:graphic>
          </wp:inline>
        </w:drawing>
      </w:r>
    </w:p>
    <w:p w:rsidR="00ED665B" w:rsidRPr="00907702" w:rsidRDefault="006C7D2F" w:rsidP="00DC2656">
      <w:pPr>
        <w:spacing w:before="307"/>
        <w:rPr>
          <w:rFonts w:ascii="Calibri" w:hAnsi="Calibri" w:cs="Calibri"/>
        </w:rPr>
      </w:pPr>
      <w:r>
        <w:rPr>
          <w:rFonts w:ascii="Calibri" w:hAnsi="Calibri"/>
          <w:color w:val="000000"/>
          <w:sz w:val="16"/>
        </w:rPr>
        <w:t>Джерело: Відтворено з дозволу компанії «Nipro», © 2021. Усі права захищені.</w:t>
      </w:r>
    </w:p>
    <w:p w:rsidR="00ED665B" w:rsidRPr="00907702" w:rsidRDefault="006C7D2F" w:rsidP="00DC2656">
      <w:pPr>
        <w:spacing w:before="312"/>
        <w:jc w:val="both"/>
        <w:rPr>
          <w:rFonts w:ascii="Calibri" w:hAnsi="Calibri" w:cs="Calibri"/>
        </w:rPr>
      </w:pPr>
      <w:r>
        <w:rPr>
          <w:rFonts w:ascii="Calibri" w:hAnsi="Calibri"/>
          <w:color w:val="000000"/>
          <w:sz w:val="22"/>
        </w:rPr>
        <w:t>ДНК, вилучену з культур, ампліфікують праймерами за допомогою ПЛР. Потім ампліфіковану ДНК гібридизують з комплементарними олігонуклеотидними зондами, які зв’язані на мембранній смужці. Потім додають стрептавідин, мічений лужною фосфатазою, для зв’язування з будь-якими гібридами, сформованими на попередньому кроці. Далі додається субстрат, і ферментативна реакція викликає появу фіолетових смуг, які візуально інтерпретуються. Відсутність зв’язування зонда дикого типу вказує на наявність мутації. Перша версія тесту містила 47 зондів, які охоплювали промотор pncA та відкриту рамку зчитування. Друга версія містила 48 зондів, три з яких (pncA 16, 17 та 35) представляють мовчазні мутації, відомі як генетичні маркери, не пов’язані з резистентністю до піразинаміду: Gly60Gly (зонд 16), Ser65Ser (зонд 17) та Thr142Thr (зонд 35).</w:t>
      </w:r>
    </w:p>
    <w:p w:rsidR="00ED665B" w:rsidRPr="008E41A3" w:rsidRDefault="00640824" w:rsidP="00DC2656">
      <w:pPr>
        <w:spacing w:before="235"/>
        <w:rPr>
          <w:rFonts w:ascii="Calibri" w:hAnsi="Calibri" w:cs="Calibri"/>
          <w:b/>
          <w:bCs/>
        </w:rPr>
      </w:pPr>
      <w:r>
        <w:rPr>
          <w:rFonts w:ascii="Calibri" w:hAnsi="Calibri"/>
          <w:b/>
          <w:color w:val="009649"/>
          <w:sz w:val="28"/>
        </w:rPr>
        <w:t>Обґрунтування та дані</w:t>
      </w:r>
    </w:p>
    <w:p w:rsidR="00ED665B" w:rsidRPr="00907702" w:rsidRDefault="006C7D2F" w:rsidP="00DC2656">
      <w:pPr>
        <w:spacing w:before="168"/>
        <w:jc w:val="both"/>
        <w:rPr>
          <w:rFonts w:ascii="Calibri" w:hAnsi="Calibri" w:cs="Calibri"/>
        </w:rPr>
      </w:pPr>
      <w:r>
        <w:rPr>
          <w:rFonts w:ascii="Calibri" w:hAnsi="Calibri"/>
          <w:color w:val="000000"/>
          <w:sz w:val="22"/>
        </w:rPr>
        <w:t>Лінійний зонд-аналіз Genoscholar PZA-TB, який уже є комерційно доступним, потенційно можна використовувати для діагностики резистентності до піразинаміду при рутинному наданні медичної допомоги. Однак щодо діагностичної точності аналізу були опубліковані обмежені дані. Цей систематичний огляд з метааналізом мав на меті зібрати всі наявні дані для розуміння діагностичної точності лінійного зонд-аналізу на піразинамід для виявлення резистентності до піразинаміду у хворих на туберкульоз, а також для представників регуляторних органів та клініцистів.</w:t>
      </w:r>
    </w:p>
    <w:p w:rsidR="00ED665B" w:rsidRPr="00F67926" w:rsidRDefault="006C7D2F" w:rsidP="00DC2656">
      <w:pPr>
        <w:spacing w:before="163"/>
        <w:jc w:val="both"/>
        <w:rPr>
          <w:rFonts w:ascii="Calibri" w:hAnsi="Calibri" w:cs="Calibri"/>
        </w:rPr>
      </w:pPr>
      <w:r>
        <w:rPr>
          <w:rFonts w:ascii="Calibri" w:hAnsi="Calibri"/>
          <w:color w:val="000000"/>
          <w:sz w:val="22"/>
        </w:rPr>
        <w:t>У своїй Глобальній програмі боротьби з туберкульозом ВООЗ ініціювала оновлення настанов та запровадила систематичний огляд використання ТАНК високої складності на основі зворотної гібридизації для виявлення резистентності до піразинаміду у людей із ознаками та симптомами туберкульозу</w:t>
      </w:r>
      <w:r w:rsidR="00F67926" w:rsidRPr="00F67926">
        <w:rPr>
          <w:rFonts w:ascii="Calibri" w:hAnsi="Calibri"/>
          <w:color w:val="000000"/>
          <w:sz w:val="22"/>
        </w:rPr>
        <w:t>.</w:t>
      </w:r>
    </w:p>
    <w:p w:rsidR="00ED665B" w:rsidRPr="00907702" w:rsidRDefault="00ED665B" w:rsidP="00DC2656">
      <w:pPr>
        <w:spacing w:before="163"/>
        <w:jc w:val="both"/>
        <w:rPr>
          <w:rFonts w:ascii="Calibri" w:hAnsi="Calibri" w:cs="Calibri"/>
        </w:rPr>
        <w:sectPr w:rsidR="00ED665B" w:rsidRPr="00907702">
          <w:pgSz w:w="11904" w:h="16838"/>
          <w:pgMar w:top="1378" w:right="1320" w:bottom="1627" w:left="1363" w:header="720" w:footer="720" w:gutter="0"/>
          <w:cols w:space="60"/>
          <w:noEndnote/>
        </w:sectPr>
      </w:pPr>
    </w:p>
    <w:p w:rsidR="00ED665B" w:rsidRPr="00907702" w:rsidRDefault="006C7D2F" w:rsidP="00DC2656">
      <w:pPr>
        <w:jc w:val="both"/>
        <w:rPr>
          <w:rFonts w:ascii="Calibri" w:hAnsi="Calibri" w:cs="Calibri"/>
        </w:rPr>
      </w:pPr>
      <w:r>
        <w:rPr>
          <w:rFonts w:ascii="Calibri" w:hAnsi="Calibri"/>
          <w:color w:val="000000"/>
          <w:sz w:val="22"/>
        </w:rPr>
        <w:lastRenderedPageBreak/>
        <w:t>Два питання PICO були розроблені, щоб створити основу для пошуку, зберігання та аналізу даних:</w:t>
      </w:r>
    </w:p>
    <w:p w:rsidR="00ED665B" w:rsidRPr="00907702" w:rsidRDefault="006C7D2F" w:rsidP="00DC2656">
      <w:pPr>
        <w:numPr>
          <w:ilvl w:val="0"/>
          <w:numId w:val="25"/>
        </w:numPr>
        <w:tabs>
          <w:tab w:val="left" w:pos="283"/>
        </w:tabs>
        <w:spacing w:before="168"/>
        <w:ind w:left="283" w:right="5" w:hanging="283"/>
        <w:jc w:val="both"/>
        <w:rPr>
          <w:rFonts w:ascii="Calibri" w:hAnsi="Calibri" w:cs="Calibri"/>
          <w:color w:val="000000"/>
          <w:sz w:val="22"/>
          <w:szCs w:val="22"/>
        </w:rPr>
      </w:pPr>
      <w:r>
        <w:rPr>
          <w:rFonts w:ascii="Calibri" w:hAnsi="Calibri"/>
          <w:color w:val="000000"/>
          <w:sz w:val="22"/>
        </w:rPr>
        <w:t>Чи потрібно використовувати ТАНК високої складності зі зворотною гібридизацією в мокротинні для діагностики резистентності до піразинаміду у пацієнтів з мікробіологічно підтвердженим легеневим туберкульозом, незалежно від резистентності до рифампіцину, у порівнянні з фенотипічним ТМЧ на основі посіву або складеним референс стандартом?</w:t>
      </w:r>
    </w:p>
    <w:p w:rsidR="00ED665B" w:rsidRPr="00907702" w:rsidRDefault="006C7D2F" w:rsidP="00DC2656">
      <w:pPr>
        <w:numPr>
          <w:ilvl w:val="0"/>
          <w:numId w:val="25"/>
        </w:numPr>
        <w:tabs>
          <w:tab w:val="left" w:pos="283"/>
        </w:tabs>
        <w:spacing w:before="168"/>
        <w:ind w:left="283" w:right="5" w:hanging="283"/>
        <w:jc w:val="both"/>
        <w:rPr>
          <w:rFonts w:ascii="Calibri" w:hAnsi="Calibri" w:cs="Calibri"/>
          <w:color w:val="000000"/>
          <w:sz w:val="22"/>
          <w:szCs w:val="22"/>
        </w:rPr>
      </w:pPr>
      <w:r>
        <w:rPr>
          <w:rFonts w:ascii="Calibri" w:hAnsi="Calibri"/>
          <w:color w:val="000000"/>
          <w:sz w:val="22"/>
        </w:rPr>
        <w:t>Чи потрібно використовувати ТАНК високої складності зі зворотною гібридизацією в ізолятах для діагностики резистентності до піразинаміду у пацієнтів з мікробіологічно підтвердженим легеневим туберкульозом, незалежно від резистентності до рифампіцину, у порівнянні з фенотипічним ТМЧ на основі посіву?</w:t>
      </w:r>
    </w:p>
    <w:p w:rsidR="00ED665B" w:rsidRPr="00907702" w:rsidRDefault="006C7D2F" w:rsidP="00DC2656">
      <w:pPr>
        <w:spacing w:before="168"/>
        <w:ind w:right="5"/>
        <w:jc w:val="both"/>
        <w:rPr>
          <w:rFonts w:ascii="Calibri" w:hAnsi="Calibri" w:cs="Calibri"/>
        </w:rPr>
      </w:pPr>
      <w:r>
        <w:rPr>
          <w:rFonts w:ascii="Calibri" w:hAnsi="Calibri"/>
          <w:color w:val="000000"/>
          <w:sz w:val="22"/>
        </w:rPr>
        <w:t>Проводився пошук у таких базах даних: PubMed, Web of Science та Embase, і пошуки проводились без обмежень щодо мови та дати. Пошуковий запит був (PZA АБО піразинамід АБО pncA) І (туберкульоз) І (“лінійний зонд-аналіз” АБО LPA АБО “технологія на основі гібридизації”). Крім того, для ідентифікації неопублікованих даних ми звернулися до компанії Nipro (Осака, Японія).</w:t>
      </w:r>
    </w:p>
    <w:p w:rsidR="00ED665B" w:rsidRPr="00907702" w:rsidRDefault="006C7D2F" w:rsidP="00DC2656">
      <w:pPr>
        <w:spacing w:before="168"/>
        <w:ind w:right="5"/>
        <w:jc w:val="both"/>
        <w:rPr>
          <w:rFonts w:ascii="Calibri" w:hAnsi="Calibri" w:cs="Calibri"/>
        </w:rPr>
      </w:pPr>
      <w:r>
        <w:rPr>
          <w:rFonts w:ascii="Calibri" w:hAnsi="Calibri"/>
          <w:color w:val="000000"/>
          <w:sz w:val="22"/>
        </w:rPr>
        <w:t>Мікробіологічний референс стандарт визначався або на основі фенотипічного ТМЧ на основі посіву, проведеного за допомогою рідкого аналізу BD 960 PZA у пробірці з індикатором росту мікобактерій MGIT, або іншого прийнятного фенотипічного аналізу, або генотипічного ТМЧ, проведеного за допомогою або цільового секвенування гена pncA, або повногеномного секвенування. У разі використання генотипічного ТМЧ усі зразки pncA дикого типу визначалися як сприйнятливі, в той час як будь-який варіант у pncA вважався резистентним, що неявно категоризувало б «тихі» мутації як резистентні. На відміну від цього, складений референс стандарт був визначений шляхом класифікації всіх зразків з диким типом pncA, тихих мутацій pncA та нейтральних мутацій як сприйнятливих, тоді як будь-який інший варіант у pncA вважався резистентним ( 44).</w:t>
      </w:r>
    </w:p>
    <w:p w:rsidR="00ED665B" w:rsidRPr="00907702" w:rsidRDefault="006C7D2F" w:rsidP="00DC2656">
      <w:pPr>
        <w:spacing w:before="168"/>
        <w:ind w:right="5"/>
        <w:jc w:val="both"/>
        <w:rPr>
          <w:rFonts w:ascii="Calibri" w:hAnsi="Calibri" w:cs="Calibri"/>
        </w:rPr>
      </w:pPr>
      <w:r>
        <w:rPr>
          <w:rFonts w:ascii="Calibri" w:hAnsi="Calibri"/>
          <w:color w:val="000000"/>
          <w:sz w:val="22"/>
        </w:rPr>
        <w:t xml:space="preserve">Якість доказових даних оцінювалася послідовно за допомогою питань PICO і з використанням підходу оцінки рекомендацій GRADE </w:t>
      </w:r>
      <w:r w:rsidRPr="00BE6F5B">
        <w:rPr>
          <w:rFonts w:ascii="Calibri" w:hAnsi="Calibri"/>
          <w:i/>
          <w:color w:val="000000"/>
          <w:sz w:val="22"/>
        </w:rPr>
        <w:t>(10)</w:t>
      </w:r>
      <w:r>
        <w:rPr>
          <w:rFonts w:ascii="Calibri" w:hAnsi="Calibri"/>
          <w:color w:val="000000"/>
          <w:sz w:val="22"/>
        </w:rPr>
        <w:t>, який дає загальну оцінку якості (або визначеності) доказів та основу для перетворення даних у рекомендації. У підході GRADE, навіть якщо дослідження точності діагностики несуть функцію спостереження, вони починаються як доказові дані.</w:t>
      </w:r>
    </w:p>
    <w:p w:rsidR="00ED665B" w:rsidRPr="00907702" w:rsidRDefault="006C7D2F" w:rsidP="00DC2656">
      <w:pPr>
        <w:spacing w:before="168"/>
        <w:ind w:right="5"/>
        <w:jc w:val="both"/>
        <w:rPr>
          <w:rFonts w:ascii="Calibri" w:hAnsi="Calibri" w:cs="Calibri"/>
        </w:rPr>
      </w:pPr>
      <w:r>
        <w:rPr>
          <w:rFonts w:ascii="Calibri" w:hAnsi="Calibri"/>
          <w:color w:val="000000"/>
          <w:sz w:val="22"/>
        </w:rPr>
        <w:t xml:space="preserve">Інструмент програмного забезпечення для розробки настанов GRADEpro </w:t>
      </w:r>
      <w:r w:rsidRPr="00BE6F5B">
        <w:rPr>
          <w:rFonts w:ascii="Calibri" w:hAnsi="Calibri"/>
          <w:i/>
          <w:color w:val="000000"/>
          <w:sz w:val="22"/>
        </w:rPr>
        <w:t>(19)</w:t>
      </w:r>
      <w:r>
        <w:rPr>
          <w:rFonts w:ascii="Calibri" w:hAnsi="Calibri"/>
          <w:color w:val="000000"/>
          <w:sz w:val="22"/>
        </w:rPr>
        <w:t xml:space="preserve"> використовувався для створення резюме таблиць результатів. Якість даних оцінювалась як висока (не знижена), середня (знижена на один рівень), низька (знижена на два рівні) або дуже низька (знижена більш ніж на два рівні) на основі п’яти факторів: ризик упередженості, непрямості, непослідовності, неточності та інших міркувань. Якість (достовірність) даних була знижена на один рівень, коли було виявлено серйозне питання, і на два рівні, коли дуже серйозне питання було виявлено в будь-якому з факторів, що використовуються для оцінки якості даних.</w:t>
      </w:r>
    </w:p>
    <w:p w:rsidR="00ED665B" w:rsidRPr="00907702" w:rsidRDefault="006C7D2F" w:rsidP="00DC2656">
      <w:pPr>
        <w:spacing w:before="163"/>
        <w:ind w:right="5"/>
        <w:jc w:val="both"/>
        <w:rPr>
          <w:rFonts w:ascii="Calibri" w:hAnsi="Calibri" w:cs="Calibri"/>
        </w:rPr>
      </w:pPr>
      <w:r>
        <w:rPr>
          <w:rFonts w:ascii="Calibri" w:hAnsi="Calibri"/>
          <w:color w:val="000000"/>
          <w:sz w:val="22"/>
        </w:rPr>
        <w:t>Синтез даних був структурований за заздалегідь заданим списком з двох питань PICO. Три вебдодатки надають додаткову інформацію:</w:t>
      </w:r>
    </w:p>
    <w:p w:rsidR="00ED665B" w:rsidRPr="00907702" w:rsidRDefault="006C7D2F" w:rsidP="00DC2656">
      <w:pPr>
        <w:numPr>
          <w:ilvl w:val="0"/>
          <w:numId w:val="2"/>
        </w:numPr>
        <w:tabs>
          <w:tab w:val="left" w:pos="240"/>
        </w:tabs>
        <w:spacing w:before="82"/>
        <w:ind w:left="240" w:right="10" w:hanging="240"/>
        <w:jc w:val="both"/>
        <w:rPr>
          <w:rFonts w:ascii="Calibri" w:hAnsi="Calibri" w:cs="Calibri"/>
          <w:color w:val="009649"/>
          <w:sz w:val="22"/>
          <w:szCs w:val="22"/>
        </w:rPr>
      </w:pPr>
      <w:r>
        <w:rPr>
          <w:rFonts w:ascii="Calibri" w:hAnsi="Calibri"/>
          <w:color w:val="000000"/>
          <w:sz w:val="22"/>
        </w:rPr>
        <w:t>подробиці досліджень, включених до поточного аналізу (</w:t>
      </w:r>
      <w:r>
        <w:rPr>
          <w:rFonts w:ascii="Calibri" w:hAnsi="Calibri"/>
          <w:b/>
          <w:color w:val="000000"/>
          <w:sz w:val="22"/>
        </w:rPr>
        <w:t>Вебдодаток 1.9</w:t>
      </w:r>
      <w:r>
        <w:rPr>
          <w:rFonts w:ascii="Calibri" w:hAnsi="Calibri"/>
          <w:color w:val="000000"/>
          <w:sz w:val="22"/>
        </w:rPr>
        <w:t>: «ТАНК високої складності на основі зворотної гібридизації»);</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огляд результатів та даних щодо оцінки якості доказових даних (</w:t>
      </w:r>
      <w:r>
        <w:rPr>
          <w:rFonts w:ascii="Calibri" w:hAnsi="Calibri"/>
          <w:b/>
          <w:color w:val="000000"/>
          <w:sz w:val="22"/>
        </w:rPr>
        <w:t xml:space="preserve">Вебдодаток 2.9 </w:t>
      </w:r>
      <w:r>
        <w:rPr>
          <w:rFonts w:ascii="Calibri" w:hAnsi="Calibri"/>
          <w:color w:val="000000"/>
          <w:sz w:val="22"/>
        </w:rPr>
        <w:t>: «Профіль GRADE: «ТАНК високої складності на основі зворотної гібридизації»); та</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резюме суджень комісії ГРН (</w:t>
      </w:r>
      <w:r>
        <w:rPr>
          <w:rFonts w:ascii="Calibri" w:hAnsi="Calibri"/>
          <w:b/>
          <w:color w:val="000000"/>
          <w:sz w:val="22"/>
        </w:rPr>
        <w:t>Вебдодаток 3.9</w:t>
      </w:r>
      <w:r>
        <w:rPr>
          <w:rFonts w:ascii="Calibri" w:hAnsi="Calibri"/>
          <w:color w:val="000000"/>
          <w:sz w:val="22"/>
        </w:rPr>
        <w:t>: «Таблиці прийняття рішень на основі доказів: «ТАНК високої складності на основі зворотної гібридизації»).</w:t>
      </w:r>
    </w:p>
    <w:p w:rsidR="00ED665B" w:rsidRPr="00907702" w:rsidRDefault="00ED665B" w:rsidP="00DC2656">
      <w:pPr>
        <w:numPr>
          <w:ilvl w:val="0"/>
          <w:numId w:val="2"/>
        </w:numPr>
        <w:tabs>
          <w:tab w:val="left" w:pos="240"/>
        </w:tabs>
        <w:ind w:left="240" w:right="5" w:hanging="240"/>
        <w:jc w:val="both"/>
        <w:rPr>
          <w:rFonts w:ascii="Calibri" w:hAnsi="Calibri" w:cs="Calibri"/>
          <w:color w:val="009649"/>
          <w:sz w:val="22"/>
          <w:szCs w:val="22"/>
        </w:rPr>
        <w:sectPr w:rsidR="00ED665B" w:rsidRPr="00907702">
          <w:pgSz w:w="11904" w:h="16838"/>
          <w:pgMar w:top="1334" w:right="1411" w:bottom="1421" w:left="1416" w:header="720" w:footer="720" w:gutter="0"/>
          <w:cols w:space="60"/>
          <w:noEndnote/>
        </w:sectPr>
      </w:pPr>
    </w:p>
    <w:p w:rsidR="00ED665B" w:rsidRPr="0090323B" w:rsidRDefault="006C7D2F" w:rsidP="0090323B">
      <w:pPr>
        <w:ind w:left="993" w:hanging="988"/>
        <w:rPr>
          <w:rFonts w:ascii="Calibri" w:hAnsi="Calibri" w:cs="Calibri"/>
          <w:b/>
          <w:bCs/>
        </w:rPr>
      </w:pPr>
      <w:r>
        <w:rPr>
          <w:rFonts w:ascii="Calibri" w:hAnsi="Calibri"/>
          <w:b/>
          <w:color w:val="000000"/>
          <w:sz w:val="24"/>
        </w:rPr>
        <w:lastRenderedPageBreak/>
        <w:t xml:space="preserve">PICO 1: </w:t>
      </w:r>
      <w:r>
        <w:rPr>
          <w:rFonts w:ascii="Calibri" w:hAnsi="Calibri"/>
          <w:b/>
          <w:color w:val="000000"/>
          <w:sz w:val="24"/>
        </w:rPr>
        <w:tab/>
        <w:t>Чи потрібно використовувати ТАНК високої складності зі зворотною гібридизацією в мокротинні для діагностики резистентності до піразинаміду у пацієнтів з мікробіологічно підтвердженим легеневим туберкульозом, незалежно від резистентності до рифампіцину, у порівнянні з фенотипічним ТМЧ на основі посіву або складеним референс стандартом?</w:t>
      </w:r>
    </w:p>
    <w:p w:rsidR="00ED665B" w:rsidRPr="0090323B" w:rsidRDefault="006C7D2F" w:rsidP="00DC2656">
      <w:pPr>
        <w:spacing w:before="178"/>
        <w:ind w:left="5"/>
        <w:jc w:val="both"/>
        <w:rPr>
          <w:rFonts w:ascii="Calibri" w:hAnsi="Calibri" w:cs="Calibri"/>
          <w:b/>
          <w:bCs/>
        </w:rPr>
      </w:pPr>
      <w:r>
        <w:rPr>
          <w:rFonts w:ascii="Calibri" w:hAnsi="Calibri"/>
          <w:color w:val="000000"/>
          <w:sz w:val="22"/>
        </w:rPr>
        <w:t xml:space="preserve">Три дослідження із загальною кількістю учасників 122 надали дані для оцінки цих ТАНК для виявлення резистентності до піразинаміду, зокрема два дослідження (101 учасник) з референс стандартом на основі фенотипічних культур та одне дослідження (21 учасник) з генотипічним референс стандартом. </w:t>
      </w:r>
      <w:r>
        <w:rPr>
          <w:rFonts w:ascii="Calibri" w:hAnsi="Calibri"/>
          <w:b/>
          <w:color w:val="000000"/>
          <w:sz w:val="22"/>
        </w:rPr>
        <w:t>Кількість досліджень та учасників були визнані недостатніми для висновку про точність діагностики ТАНК високої складності на основі зворотної гібридизації у мокротинні.</w:t>
      </w:r>
    </w:p>
    <w:p w:rsidR="00ED665B" w:rsidRPr="0090323B" w:rsidRDefault="006C7D2F" w:rsidP="0090323B">
      <w:pPr>
        <w:spacing w:before="274"/>
        <w:ind w:left="993" w:hanging="988"/>
        <w:rPr>
          <w:rFonts w:ascii="Calibri" w:hAnsi="Calibri" w:cs="Calibri"/>
          <w:b/>
          <w:bCs/>
        </w:rPr>
      </w:pPr>
      <w:r>
        <w:rPr>
          <w:rFonts w:ascii="Calibri" w:hAnsi="Calibri"/>
          <w:b/>
          <w:color w:val="000000"/>
          <w:sz w:val="24"/>
        </w:rPr>
        <w:t xml:space="preserve">PICO 2: </w:t>
      </w:r>
      <w:r>
        <w:rPr>
          <w:rFonts w:ascii="Calibri" w:hAnsi="Calibri"/>
          <w:b/>
          <w:color w:val="000000"/>
          <w:sz w:val="24"/>
        </w:rPr>
        <w:tab/>
        <w:t>Чи потрібно використовувати ТАНК високої складності зі зворотною гібридизацією в ізолятах для діагностики резистентності до піразинаміду у пацієнтів з мікробіологічно підтвердженим легеневим туберкульозом, незалежно від резистентності до рифампіцин</w:t>
      </w:r>
      <w:bookmarkStart w:id="30" w:name="_GoBack"/>
      <w:bookmarkEnd w:id="30"/>
      <w:r>
        <w:rPr>
          <w:rFonts w:ascii="Calibri" w:hAnsi="Calibri"/>
          <w:b/>
          <w:color w:val="000000"/>
          <w:sz w:val="24"/>
        </w:rPr>
        <w:t>у, у порівнянні з фенотипічним ТМЧ на основі посіву?</w:t>
      </w:r>
    </w:p>
    <w:p w:rsidR="00ED665B" w:rsidRPr="00907702" w:rsidRDefault="006C7D2F" w:rsidP="00DC2656">
      <w:pPr>
        <w:spacing w:before="178"/>
        <w:ind w:left="5"/>
        <w:jc w:val="both"/>
        <w:rPr>
          <w:rFonts w:ascii="Calibri" w:hAnsi="Calibri" w:cs="Calibri"/>
        </w:rPr>
      </w:pPr>
      <w:r>
        <w:rPr>
          <w:rFonts w:ascii="Calibri" w:hAnsi="Calibri"/>
          <w:color w:val="000000"/>
          <w:sz w:val="22"/>
        </w:rPr>
        <w:t>Сім досліджень із загальною кількістю 964 учасників надали дані для оцінки цих ТАНК для виявлення резистентності до піразинаміду порівняно з референс стандартом на основі фенотипічних культур (</w:t>
      </w:r>
      <w:r>
        <w:rPr>
          <w:rFonts w:ascii="Calibri" w:hAnsi="Calibri"/>
          <w:color w:val="1B61AF"/>
          <w:sz w:val="22"/>
        </w:rPr>
        <w:t>Рис. 2.3.5</w:t>
      </w:r>
      <w:r>
        <w:rPr>
          <w:rFonts w:ascii="Calibri" w:hAnsi="Calibri"/>
          <w:color w:val="000000"/>
          <w:sz w:val="22"/>
        </w:rPr>
        <w:t>).</w:t>
      </w:r>
    </w:p>
    <w:p w:rsidR="00ED665B" w:rsidRPr="00907702" w:rsidRDefault="006C7D2F" w:rsidP="00DC2656">
      <w:pPr>
        <w:spacing w:before="168"/>
        <w:ind w:left="5"/>
        <w:jc w:val="both"/>
        <w:rPr>
          <w:rFonts w:ascii="Calibri" w:hAnsi="Calibri" w:cs="Calibri"/>
        </w:rPr>
      </w:pPr>
      <w:r>
        <w:rPr>
          <w:rFonts w:ascii="Calibri" w:hAnsi="Calibri"/>
          <w:color w:val="000000"/>
          <w:sz w:val="22"/>
        </w:rPr>
        <w:t>Дослідження відзначаються упередженістю щодо відбору, оскільки для них обирали ізоляти з широким діапазоном різних мутацій pncA, а не репрезентативну вибірку з популяції. Таким чином, дані були знижені на один рівень через ризик упередженості. Включені дослідження не безпосередньо вирішувати питання огляду; отже, дані були знижені на один рівень через непрямість. Випробування Burhan та дослідження Rienthong значно вирізняються спрямованістю на чутливість порівняно з іншими дослідженнями; отже, дані було знижено на один рівень через непослідовність. З урахуванням обох цих міркувань, якість (достовірність) даних оцінювалась як дуже низька через чутливість та низька через специфічність.</w:t>
      </w:r>
    </w:p>
    <w:p w:rsidR="00ED665B" w:rsidRPr="0090323B" w:rsidRDefault="006C7D2F" w:rsidP="00DC2656">
      <w:pPr>
        <w:spacing w:before="274"/>
        <w:ind w:left="5"/>
        <w:rPr>
          <w:rFonts w:ascii="Calibri" w:hAnsi="Calibri" w:cs="Calibri"/>
          <w:b/>
          <w:bCs/>
        </w:rPr>
      </w:pPr>
      <w:r>
        <w:rPr>
          <w:rFonts w:ascii="Calibri" w:hAnsi="Calibri"/>
          <w:b/>
          <w:color w:val="636466"/>
          <w:sz w:val="24"/>
        </w:rPr>
        <w:t>Рис. 2.3.8. Форест-діаграма включених досліджень, присвячених виявленню резистентності до піразинаміду, незалежно від резистентності до рифампіцину, з використанням фенотипічного ТМЧ як референс стандарту</w:t>
      </w:r>
    </w:p>
    <w:p w:rsidR="00ED665B" w:rsidRPr="00907702" w:rsidRDefault="00ED665B" w:rsidP="00DC2656">
      <w:pPr>
        <w:spacing w:after="283"/>
        <w:rPr>
          <w:rFonts w:ascii="Calibri" w:hAnsi="Calibri" w:cs="Calibri"/>
          <w:sz w:val="2"/>
          <w:szCs w:val="2"/>
        </w:rPr>
      </w:pPr>
    </w:p>
    <w:tbl>
      <w:tblPr>
        <w:tblW w:w="9053" w:type="dxa"/>
        <w:tblInd w:w="40" w:type="dxa"/>
        <w:tblLayout w:type="fixed"/>
        <w:tblCellMar>
          <w:left w:w="40" w:type="dxa"/>
          <w:right w:w="40" w:type="dxa"/>
        </w:tblCellMar>
        <w:tblLook w:val="0000" w:firstRow="0" w:lastRow="0" w:firstColumn="0" w:lastColumn="0" w:noHBand="0" w:noVBand="0"/>
      </w:tblPr>
      <w:tblGrid>
        <w:gridCol w:w="1084"/>
        <w:gridCol w:w="323"/>
        <w:gridCol w:w="331"/>
        <w:gridCol w:w="326"/>
        <w:gridCol w:w="422"/>
        <w:gridCol w:w="1433"/>
        <w:gridCol w:w="1560"/>
        <w:gridCol w:w="1750"/>
        <w:gridCol w:w="1824"/>
      </w:tblGrid>
      <w:tr w:rsidR="00ED665B" w:rsidRPr="00907702" w:rsidTr="00BE6F5B">
        <w:trPr>
          <w:trHeight w:val="20"/>
        </w:trPr>
        <w:tc>
          <w:tcPr>
            <w:tcW w:w="1084" w:type="dxa"/>
            <w:tcBorders>
              <w:top w:val="nil"/>
              <w:left w:val="nil"/>
              <w:bottom w:val="nil"/>
              <w:right w:val="nil"/>
            </w:tcBorders>
            <w:shd w:val="clear" w:color="auto" w:fill="FFFFFF"/>
          </w:tcPr>
          <w:p w:rsidR="00ED665B" w:rsidRPr="00907702" w:rsidRDefault="006C7D2F" w:rsidP="0090323B">
            <w:pPr>
              <w:rPr>
                <w:rFonts w:ascii="Calibri" w:hAnsi="Calibri" w:cs="Calibri"/>
              </w:rPr>
            </w:pPr>
            <w:r>
              <w:rPr>
                <w:rFonts w:ascii="Calibri" w:hAnsi="Calibri"/>
                <w:b/>
                <w:color w:val="000000"/>
                <w:sz w:val="16"/>
              </w:rPr>
              <w:t>Дослідження</w:t>
            </w:r>
          </w:p>
        </w:tc>
        <w:tc>
          <w:tcPr>
            <w:tcW w:w="323"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b/>
                <w:color w:val="000000"/>
                <w:sz w:val="16"/>
              </w:rPr>
              <w:t>ІП</w:t>
            </w:r>
          </w:p>
        </w:tc>
        <w:tc>
          <w:tcPr>
            <w:tcW w:w="331"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b/>
                <w:color w:val="000000"/>
                <w:sz w:val="16"/>
              </w:rPr>
              <w:t>ХП</w:t>
            </w:r>
          </w:p>
        </w:tc>
        <w:tc>
          <w:tcPr>
            <w:tcW w:w="326"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b/>
                <w:color w:val="000000"/>
                <w:sz w:val="16"/>
              </w:rPr>
              <w:t>ХН</w:t>
            </w:r>
          </w:p>
        </w:tc>
        <w:tc>
          <w:tcPr>
            <w:tcW w:w="422"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b/>
                <w:color w:val="000000"/>
                <w:sz w:val="16"/>
              </w:rPr>
              <w:t>ІН</w:t>
            </w:r>
          </w:p>
        </w:tc>
        <w:tc>
          <w:tcPr>
            <w:tcW w:w="1433" w:type="dxa"/>
            <w:tcBorders>
              <w:top w:val="nil"/>
              <w:left w:val="nil"/>
              <w:bottom w:val="nil"/>
              <w:right w:val="nil"/>
            </w:tcBorders>
            <w:shd w:val="clear" w:color="auto" w:fill="FFFFFF"/>
          </w:tcPr>
          <w:p w:rsidR="00F67926" w:rsidRDefault="006C7D2F" w:rsidP="00F67926">
            <w:pPr>
              <w:jc w:val="right"/>
              <w:rPr>
                <w:rFonts w:ascii="Calibri" w:hAnsi="Calibri"/>
                <w:b/>
                <w:color w:val="000000"/>
                <w:sz w:val="16"/>
              </w:rPr>
            </w:pPr>
            <w:r>
              <w:rPr>
                <w:rFonts w:ascii="Calibri" w:hAnsi="Calibri"/>
                <w:b/>
                <w:color w:val="000000"/>
                <w:sz w:val="16"/>
              </w:rPr>
              <w:t xml:space="preserve">Чутливість </w:t>
            </w:r>
          </w:p>
          <w:p w:rsidR="00ED665B" w:rsidRPr="00907702" w:rsidRDefault="006C7D2F" w:rsidP="00F67926">
            <w:pPr>
              <w:jc w:val="right"/>
              <w:rPr>
                <w:rFonts w:ascii="Calibri" w:hAnsi="Calibri" w:cs="Calibri"/>
              </w:rPr>
            </w:pPr>
            <w:r>
              <w:rPr>
                <w:rFonts w:ascii="Calibri" w:hAnsi="Calibri"/>
                <w:b/>
                <w:color w:val="000000"/>
                <w:sz w:val="16"/>
              </w:rPr>
              <w:t>(95 % ДІ)</w:t>
            </w:r>
          </w:p>
        </w:tc>
        <w:tc>
          <w:tcPr>
            <w:tcW w:w="1560" w:type="dxa"/>
            <w:tcBorders>
              <w:top w:val="nil"/>
              <w:left w:val="nil"/>
              <w:bottom w:val="nil"/>
              <w:right w:val="nil"/>
            </w:tcBorders>
            <w:shd w:val="clear" w:color="auto" w:fill="FFFFFF"/>
          </w:tcPr>
          <w:p w:rsidR="00F67926" w:rsidRDefault="006C7D2F" w:rsidP="00F67926">
            <w:pPr>
              <w:jc w:val="right"/>
              <w:rPr>
                <w:rFonts w:ascii="Calibri" w:hAnsi="Calibri"/>
                <w:b/>
                <w:color w:val="000000"/>
                <w:sz w:val="16"/>
              </w:rPr>
            </w:pPr>
            <w:r>
              <w:rPr>
                <w:rFonts w:ascii="Calibri" w:hAnsi="Calibri"/>
                <w:b/>
                <w:color w:val="000000"/>
                <w:sz w:val="16"/>
              </w:rPr>
              <w:t xml:space="preserve">Специфічність </w:t>
            </w:r>
          </w:p>
          <w:p w:rsidR="00ED665B" w:rsidRPr="00907702" w:rsidRDefault="006C7D2F" w:rsidP="00F67926">
            <w:pPr>
              <w:jc w:val="right"/>
              <w:rPr>
                <w:rFonts w:ascii="Calibri" w:hAnsi="Calibri" w:cs="Calibri"/>
              </w:rPr>
            </w:pPr>
            <w:r>
              <w:rPr>
                <w:rFonts w:ascii="Calibri" w:hAnsi="Calibri"/>
                <w:b/>
                <w:color w:val="000000"/>
                <w:sz w:val="16"/>
              </w:rPr>
              <w:t>(95 % ДІ)</w:t>
            </w:r>
          </w:p>
        </w:tc>
        <w:tc>
          <w:tcPr>
            <w:tcW w:w="1750"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6"/>
              </w:rPr>
              <w:t>Чутливість (95 % ДІ)</w:t>
            </w:r>
          </w:p>
        </w:tc>
        <w:tc>
          <w:tcPr>
            <w:tcW w:w="1824" w:type="dxa"/>
            <w:tcBorders>
              <w:top w:val="nil"/>
              <w:left w:val="nil"/>
              <w:bottom w:val="nil"/>
              <w:right w:val="nil"/>
            </w:tcBorders>
            <w:shd w:val="clear" w:color="auto" w:fill="FFFFFF"/>
          </w:tcPr>
          <w:p w:rsidR="00ED665B" w:rsidRPr="00907702" w:rsidRDefault="006C7D2F" w:rsidP="00DC2656">
            <w:pPr>
              <w:jc w:val="center"/>
              <w:rPr>
                <w:rFonts w:ascii="Calibri" w:hAnsi="Calibri" w:cs="Calibri"/>
              </w:rPr>
            </w:pPr>
            <w:r>
              <w:rPr>
                <w:rFonts w:ascii="Calibri" w:hAnsi="Calibri"/>
                <w:b/>
                <w:color w:val="000000"/>
                <w:sz w:val="16"/>
              </w:rPr>
              <w:t>Специфічність (95 % ДІ)</w:t>
            </w:r>
          </w:p>
        </w:tc>
      </w:tr>
      <w:tr w:rsidR="00ED665B" w:rsidRPr="00907702" w:rsidTr="00BE6F5B">
        <w:trPr>
          <w:trHeight w:val="20"/>
        </w:trPr>
        <w:tc>
          <w:tcPr>
            <w:tcW w:w="1084" w:type="dxa"/>
            <w:tcBorders>
              <w:top w:val="nil"/>
              <w:left w:val="nil"/>
              <w:bottom w:val="nil"/>
              <w:right w:val="nil"/>
            </w:tcBorders>
            <w:shd w:val="clear" w:color="auto" w:fill="FFFFFF"/>
          </w:tcPr>
          <w:p w:rsidR="00ED665B" w:rsidRPr="00907702" w:rsidRDefault="006C7D2F" w:rsidP="0090323B">
            <w:pPr>
              <w:rPr>
                <w:rFonts w:ascii="Calibri" w:hAnsi="Calibri" w:cs="Calibri"/>
              </w:rPr>
            </w:pPr>
            <w:r>
              <w:rPr>
                <w:rFonts w:ascii="Calibri" w:hAnsi="Calibri"/>
                <w:color w:val="000000"/>
                <w:sz w:val="16"/>
              </w:rPr>
              <w:t>Ando</w:t>
            </w:r>
          </w:p>
        </w:tc>
        <w:tc>
          <w:tcPr>
            <w:tcW w:w="323"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19</w:t>
            </w:r>
          </w:p>
        </w:tc>
        <w:tc>
          <w:tcPr>
            <w:tcW w:w="331"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0</w:t>
            </w:r>
          </w:p>
        </w:tc>
        <w:tc>
          <w:tcPr>
            <w:tcW w:w="326"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0</w:t>
            </w:r>
          </w:p>
        </w:tc>
        <w:tc>
          <w:tcPr>
            <w:tcW w:w="422"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17</w:t>
            </w:r>
          </w:p>
        </w:tc>
        <w:tc>
          <w:tcPr>
            <w:tcW w:w="1433" w:type="dxa"/>
            <w:tcBorders>
              <w:top w:val="nil"/>
              <w:left w:val="nil"/>
              <w:bottom w:val="nil"/>
              <w:right w:val="nil"/>
            </w:tcBorders>
            <w:shd w:val="clear" w:color="auto" w:fill="FFFFFF"/>
          </w:tcPr>
          <w:p w:rsidR="00ED665B" w:rsidRPr="00907702" w:rsidRDefault="006C7D2F" w:rsidP="00DC2656">
            <w:pPr>
              <w:ind w:right="10"/>
              <w:jc w:val="right"/>
              <w:rPr>
                <w:rFonts w:ascii="Calibri" w:hAnsi="Calibri" w:cs="Calibri"/>
              </w:rPr>
            </w:pPr>
            <w:r>
              <w:rPr>
                <w:rFonts w:ascii="Calibri" w:hAnsi="Calibri"/>
                <w:color w:val="000000"/>
                <w:sz w:val="16"/>
              </w:rPr>
              <w:t>1,00 [0,82, 1,00]</w:t>
            </w:r>
          </w:p>
        </w:tc>
        <w:tc>
          <w:tcPr>
            <w:tcW w:w="1560"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6"/>
              </w:rPr>
              <w:t>1,00 [0,80, 1,00]</w:t>
            </w:r>
          </w:p>
        </w:tc>
        <w:tc>
          <w:tcPr>
            <w:tcW w:w="1750"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73150" cy="142875"/>
                  <wp:effectExtent l="0" t="0" r="0" b="0"/>
                  <wp:docPr id="219"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073150" cy="142875"/>
                          </a:xfrm>
                          <a:prstGeom prst="rect">
                            <a:avLst/>
                          </a:prstGeom>
                          <a:noFill/>
                          <a:ln>
                            <a:noFill/>
                          </a:ln>
                        </pic:spPr>
                      </pic:pic>
                    </a:graphicData>
                  </a:graphic>
                </wp:inline>
              </w:drawing>
            </w:r>
          </w:p>
        </w:tc>
        <w:tc>
          <w:tcPr>
            <w:tcW w:w="1824"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121410" cy="142875"/>
                  <wp:effectExtent l="0" t="0" r="0" b="0"/>
                  <wp:docPr id="220"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121410" cy="142875"/>
                          </a:xfrm>
                          <a:prstGeom prst="rect">
                            <a:avLst/>
                          </a:prstGeom>
                          <a:noFill/>
                          <a:ln>
                            <a:noFill/>
                          </a:ln>
                        </pic:spPr>
                      </pic:pic>
                    </a:graphicData>
                  </a:graphic>
                </wp:inline>
              </w:drawing>
            </w:r>
          </w:p>
        </w:tc>
      </w:tr>
      <w:tr w:rsidR="00ED665B" w:rsidRPr="00907702" w:rsidTr="00BE6F5B">
        <w:trPr>
          <w:trHeight w:val="20"/>
        </w:trPr>
        <w:tc>
          <w:tcPr>
            <w:tcW w:w="1084" w:type="dxa"/>
            <w:tcBorders>
              <w:top w:val="nil"/>
              <w:left w:val="nil"/>
              <w:bottom w:val="nil"/>
              <w:right w:val="nil"/>
            </w:tcBorders>
            <w:shd w:val="clear" w:color="auto" w:fill="FFFFFF"/>
          </w:tcPr>
          <w:p w:rsidR="00ED665B" w:rsidRPr="00907702" w:rsidRDefault="006C7D2F" w:rsidP="0090323B">
            <w:pPr>
              <w:rPr>
                <w:rFonts w:ascii="Calibri" w:hAnsi="Calibri" w:cs="Calibri"/>
              </w:rPr>
            </w:pPr>
            <w:r>
              <w:rPr>
                <w:rFonts w:ascii="Calibri" w:hAnsi="Calibri"/>
                <w:color w:val="000000"/>
                <w:sz w:val="16"/>
              </w:rPr>
              <w:t xml:space="preserve">Випробування </w:t>
            </w:r>
            <w:r>
              <w:rPr>
                <w:rFonts w:ascii="Calibri" w:hAnsi="Calibri"/>
                <w:b/>
                <w:color w:val="000000"/>
                <w:sz w:val="16"/>
              </w:rPr>
              <w:t>Burhan</w:t>
            </w:r>
          </w:p>
        </w:tc>
        <w:tc>
          <w:tcPr>
            <w:tcW w:w="323"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14</w:t>
            </w:r>
          </w:p>
        </w:tc>
        <w:tc>
          <w:tcPr>
            <w:tcW w:w="331"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3</w:t>
            </w:r>
          </w:p>
        </w:tc>
        <w:tc>
          <w:tcPr>
            <w:tcW w:w="326"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22</w:t>
            </w:r>
          </w:p>
        </w:tc>
        <w:tc>
          <w:tcPr>
            <w:tcW w:w="422"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99</w:t>
            </w:r>
          </w:p>
        </w:tc>
        <w:tc>
          <w:tcPr>
            <w:tcW w:w="1433" w:type="dxa"/>
            <w:tcBorders>
              <w:top w:val="nil"/>
              <w:left w:val="nil"/>
              <w:bottom w:val="nil"/>
              <w:right w:val="nil"/>
            </w:tcBorders>
            <w:shd w:val="clear" w:color="auto" w:fill="FFFFFF"/>
          </w:tcPr>
          <w:p w:rsidR="00ED665B" w:rsidRPr="00907702" w:rsidRDefault="006C7D2F" w:rsidP="00DC2656">
            <w:pPr>
              <w:ind w:right="10"/>
              <w:jc w:val="right"/>
              <w:rPr>
                <w:rFonts w:ascii="Calibri" w:hAnsi="Calibri" w:cs="Calibri"/>
              </w:rPr>
            </w:pPr>
            <w:r>
              <w:rPr>
                <w:rFonts w:ascii="Calibri" w:hAnsi="Calibri"/>
                <w:color w:val="000000"/>
                <w:sz w:val="16"/>
              </w:rPr>
              <w:t>0,39 [0,23, 0,57]</w:t>
            </w:r>
          </w:p>
        </w:tc>
        <w:tc>
          <w:tcPr>
            <w:tcW w:w="1560"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6"/>
              </w:rPr>
              <w:t>0,97 [0,92, 0,99]</w:t>
            </w:r>
          </w:p>
        </w:tc>
        <w:tc>
          <w:tcPr>
            <w:tcW w:w="1750"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73150" cy="127000"/>
                  <wp:effectExtent l="0" t="0" r="0" b="0"/>
                  <wp:docPr id="221"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073150" cy="127000"/>
                          </a:xfrm>
                          <a:prstGeom prst="rect">
                            <a:avLst/>
                          </a:prstGeom>
                          <a:noFill/>
                          <a:ln>
                            <a:noFill/>
                          </a:ln>
                        </pic:spPr>
                      </pic:pic>
                    </a:graphicData>
                  </a:graphic>
                </wp:inline>
              </w:drawing>
            </w:r>
          </w:p>
        </w:tc>
        <w:tc>
          <w:tcPr>
            <w:tcW w:w="1824"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121410" cy="127000"/>
                  <wp:effectExtent l="0" t="0" r="0" b="0"/>
                  <wp:docPr id="222"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121410" cy="127000"/>
                          </a:xfrm>
                          <a:prstGeom prst="rect">
                            <a:avLst/>
                          </a:prstGeom>
                          <a:noFill/>
                          <a:ln>
                            <a:noFill/>
                          </a:ln>
                        </pic:spPr>
                      </pic:pic>
                    </a:graphicData>
                  </a:graphic>
                </wp:inline>
              </w:drawing>
            </w:r>
          </w:p>
        </w:tc>
      </w:tr>
      <w:tr w:rsidR="00ED665B" w:rsidRPr="00907702" w:rsidTr="00BE6F5B">
        <w:trPr>
          <w:trHeight w:val="20"/>
        </w:trPr>
        <w:tc>
          <w:tcPr>
            <w:tcW w:w="1084" w:type="dxa"/>
            <w:tcBorders>
              <w:top w:val="nil"/>
              <w:left w:val="nil"/>
              <w:bottom w:val="nil"/>
              <w:right w:val="nil"/>
            </w:tcBorders>
            <w:shd w:val="clear" w:color="auto" w:fill="FFFFFF"/>
          </w:tcPr>
          <w:p w:rsidR="00ED665B" w:rsidRPr="00907702" w:rsidRDefault="006C7D2F" w:rsidP="0090323B">
            <w:pPr>
              <w:rPr>
                <w:rFonts w:ascii="Calibri" w:hAnsi="Calibri" w:cs="Calibri"/>
              </w:rPr>
            </w:pPr>
            <w:r>
              <w:rPr>
                <w:rFonts w:ascii="Calibri" w:hAnsi="Calibri"/>
                <w:color w:val="000000"/>
                <w:sz w:val="16"/>
              </w:rPr>
              <w:t>Driesen</w:t>
            </w:r>
          </w:p>
        </w:tc>
        <w:tc>
          <w:tcPr>
            <w:tcW w:w="323"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50</w:t>
            </w:r>
          </w:p>
        </w:tc>
        <w:tc>
          <w:tcPr>
            <w:tcW w:w="331"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3</w:t>
            </w:r>
          </w:p>
        </w:tc>
        <w:tc>
          <w:tcPr>
            <w:tcW w:w="326"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3</w:t>
            </w:r>
          </w:p>
        </w:tc>
        <w:tc>
          <w:tcPr>
            <w:tcW w:w="422"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37</w:t>
            </w:r>
          </w:p>
        </w:tc>
        <w:tc>
          <w:tcPr>
            <w:tcW w:w="1433" w:type="dxa"/>
            <w:tcBorders>
              <w:top w:val="nil"/>
              <w:left w:val="nil"/>
              <w:bottom w:val="nil"/>
              <w:right w:val="nil"/>
            </w:tcBorders>
            <w:shd w:val="clear" w:color="auto" w:fill="FFFFFF"/>
          </w:tcPr>
          <w:p w:rsidR="00ED665B" w:rsidRPr="00907702" w:rsidRDefault="006C7D2F" w:rsidP="00DC2656">
            <w:pPr>
              <w:ind w:right="10"/>
              <w:jc w:val="right"/>
              <w:rPr>
                <w:rFonts w:ascii="Calibri" w:hAnsi="Calibri" w:cs="Calibri"/>
              </w:rPr>
            </w:pPr>
            <w:r>
              <w:rPr>
                <w:rFonts w:ascii="Calibri" w:hAnsi="Calibri"/>
                <w:color w:val="000000"/>
                <w:sz w:val="16"/>
              </w:rPr>
              <w:t>0,94 [0,84, 0,99]</w:t>
            </w:r>
          </w:p>
        </w:tc>
        <w:tc>
          <w:tcPr>
            <w:tcW w:w="1560"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6"/>
              </w:rPr>
              <w:t>0,93 [0,80, 0,98]</w:t>
            </w:r>
          </w:p>
        </w:tc>
        <w:tc>
          <w:tcPr>
            <w:tcW w:w="1750"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73150" cy="142875"/>
                  <wp:effectExtent l="0" t="0" r="0" b="0"/>
                  <wp:docPr id="223"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073150" cy="142875"/>
                          </a:xfrm>
                          <a:prstGeom prst="rect">
                            <a:avLst/>
                          </a:prstGeom>
                          <a:noFill/>
                          <a:ln>
                            <a:noFill/>
                          </a:ln>
                        </pic:spPr>
                      </pic:pic>
                    </a:graphicData>
                  </a:graphic>
                </wp:inline>
              </w:drawing>
            </w:r>
          </w:p>
        </w:tc>
        <w:tc>
          <w:tcPr>
            <w:tcW w:w="1824"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121410" cy="142875"/>
                  <wp:effectExtent l="0" t="0" r="0" b="0"/>
                  <wp:docPr id="224"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121410" cy="142875"/>
                          </a:xfrm>
                          <a:prstGeom prst="rect">
                            <a:avLst/>
                          </a:prstGeom>
                          <a:noFill/>
                          <a:ln>
                            <a:noFill/>
                          </a:ln>
                        </pic:spPr>
                      </pic:pic>
                    </a:graphicData>
                  </a:graphic>
                </wp:inline>
              </w:drawing>
            </w:r>
          </w:p>
        </w:tc>
      </w:tr>
      <w:tr w:rsidR="00ED665B" w:rsidRPr="00907702" w:rsidTr="00BE6F5B">
        <w:trPr>
          <w:trHeight w:val="20"/>
        </w:trPr>
        <w:tc>
          <w:tcPr>
            <w:tcW w:w="1084" w:type="dxa"/>
            <w:tcBorders>
              <w:top w:val="nil"/>
              <w:left w:val="nil"/>
              <w:bottom w:val="nil"/>
              <w:right w:val="nil"/>
            </w:tcBorders>
            <w:shd w:val="clear" w:color="auto" w:fill="FFFFFF"/>
          </w:tcPr>
          <w:p w:rsidR="00ED665B" w:rsidRPr="00907702" w:rsidRDefault="006C7D2F" w:rsidP="0090323B">
            <w:pPr>
              <w:rPr>
                <w:rFonts w:ascii="Calibri" w:hAnsi="Calibri" w:cs="Calibri"/>
              </w:rPr>
            </w:pPr>
            <w:r>
              <w:rPr>
                <w:rFonts w:ascii="Calibri" w:hAnsi="Calibri"/>
                <w:color w:val="000000"/>
                <w:sz w:val="16"/>
              </w:rPr>
              <w:t>Matsumoto</w:t>
            </w:r>
          </w:p>
        </w:tc>
        <w:tc>
          <w:tcPr>
            <w:tcW w:w="323"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4</w:t>
            </w:r>
          </w:p>
        </w:tc>
        <w:tc>
          <w:tcPr>
            <w:tcW w:w="331"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0</w:t>
            </w:r>
          </w:p>
        </w:tc>
        <w:tc>
          <w:tcPr>
            <w:tcW w:w="326"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0</w:t>
            </w:r>
          </w:p>
        </w:tc>
        <w:tc>
          <w:tcPr>
            <w:tcW w:w="422"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52</w:t>
            </w:r>
          </w:p>
        </w:tc>
        <w:tc>
          <w:tcPr>
            <w:tcW w:w="1433" w:type="dxa"/>
            <w:tcBorders>
              <w:top w:val="nil"/>
              <w:left w:val="nil"/>
              <w:bottom w:val="nil"/>
              <w:right w:val="nil"/>
            </w:tcBorders>
            <w:shd w:val="clear" w:color="auto" w:fill="FFFFFF"/>
          </w:tcPr>
          <w:p w:rsidR="00ED665B" w:rsidRPr="00907702" w:rsidRDefault="006C7D2F" w:rsidP="00DC2656">
            <w:pPr>
              <w:ind w:right="10"/>
              <w:jc w:val="right"/>
              <w:rPr>
                <w:rFonts w:ascii="Calibri" w:hAnsi="Calibri" w:cs="Calibri"/>
              </w:rPr>
            </w:pPr>
            <w:r>
              <w:rPr>
                <w:rFonts w:ascii="Calibri" w:hAnsi="Calibri"/>
                <w:color w:val="000000"/>
                <w:sz w:val="16"/>
              </w:rPr>
              <w:t>1,00 [0,40, 1,00]</w:t>
            </w:r>
          </w:p>
        </w:tc>
        <w:tc>
          <w:tcPr>
            <w:tcW w:w="1560"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6"/>
              </w:rPr>
              <w:t>1,00 [0,93, 1,00]</w:t>
            </w:r>
          </w:p>
        </w:tc>
        <w:tc>
          <w:tcPr>
            <w:tcW w:w="1750"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73150" cy="127000"/>
                  <wp:effectExtent l="0" t="0" r="0" b="0"/>
                  <wp:docPr id="225"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73150" cy="127000"/>
                          </a:xfrm>
                          <a:prstGeom prst="rect">
                            <a:avLst/>
                          </a:prstGeom>
                          <a:noFill/>
                          <a:ln>
                            <a:noFill/>
                          </a:ln>
                        </pic:spPr>
                      </pic:pic>
                    </a:graphicData>
                  </a:graphic>
                </wp:inline>
              </w:drawing>
            </w:r>
          </w:p>
        </w:tc>
        <w:tc>
          <w:tcPr>
            <w:tcW w:w="1824"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121410" cy="127000"/>
                  <wp:effectExtent l="0" t="0" r="0" b="0"/>
                  <wp:docPr id="226"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121410" cy="127000"/>
                          </a:xfrm>
                          <a:prstGeom prst="rect">
                            <a:avLst/>
                          </a:prstGeom>
                          <a:noFill/>
                          <a:ln>
                            <a:noFill/>
                          </a:ln>
                        </pic:spPr>
                      </pic:pic>
                    </a:graphicData>
                  </a:graphic>
                </wp:inline>
              </w:drawing>
            </w:r>
          </w:p>
        </w:tc>
      </w:tr>
      <w:tr w:rsidR="00ED665B" w:rsidRPr="00907702" w:rsidTr="00BE6F5B">
        <w:trPr>
          <w:trHeight w:val="20"/>
        </w:trPr>
        <w:tc>
          <w:tcPr>
            <w:tcW w:w="1084" w:type="dxa"/>
            <w:tcBorders>
              <w:top w:val="nil"/>
              <w:left w:val="nil"/>
              <w:bottom w:val="nil"/>
              <w:right w:val="nil"/>
            </w:tcBorders>
            <w:shd w:val="clear" w:color="auto" w:fill="FFFFFF"/>
          </w:tcPr>
          <w:p w:rsidR="00ED665B" w:rsidRPr="00907702" w:rsidRDefault="006C7D2F" w:rsidP="0090323B">
            <w:pPr>
              <w:rPr>
                <w:rFonts w:ascii="Calibri" w:hAnsi="Calibri" w:cs="Calibri"/>
              </w:rPr>
            </w:pPr>
            <w:r>
              <w:rPr>
                <w:rFonts w:ascii="Calibri" w:hAnsi="Calibri"/>
                <w:color w:val="000000"/>
                <w:sz w:val="16"/>
              </w:rPr>
              <w:t>Mitarai</w:t>
            </w:r>
          </w:p>
        </w:tc>
        <w:tc>
          <w:tcPr>
            <w:tcW w:w="323"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52</w:t>
            </w:r>
          </w:p>
        </w:tc>
        <w:tc>
          <w:tcPr>
            <w:tcW w:w="331"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10</w:t>
            </w:r>
          </w:p>
        </w:tc>
        <w:tc>
          <w:tcPr>
            <w:tcW w:w="326"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6</w:t>
            </w:r>
          </w:p>
        </w:tc>
        <w:tc>
          <w:tcPr>
            <w:tcW w:w="422"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240</w:t>
            </w:r>
          </w:p>
        </w:tc>
        <w:tc>
          <w:tcPr>
            <w:tcW w:w="1433" w:type="dxa"/>
            <w:tcBorders>
              <w:top w:val="nil"/>
              <w:left w:val="nil"/>
              <w:bottom w:val="nil"/>
              <w:right w:val="nil"/>
            </w:tcBorders>
            <w:shd w:val="clear" w:color="auto" w:fill="FFFFFF"/>
          </w:tcPr>
          <w:p w:rsidR="00ED665B" w:rsidRPr="00907702" w:rsidRDefault="006C7D2F" w:rsidP="00DC2656">
            <w:pPr>
              <w:ind w:right="10"/>
              <w:jc w:val="right"/>
              <w:rPr>
                <w:rFonts w:ascii="Calibri" w:hAnsi="Calibri" w:cs="Calibri"/>
              </w:rPr>
            </w:pPr>
            <w:r>
              <w:rPr>
                <w:rFonts w:ascii="Calibri" w:hAnsi="Calibri"/>
                <w:color w:val="000000"/>
                <w:sz w:val="16"/>
              </w:rPr>
              <w:t>0,90 [0,79, 0,96]</w:t>
            </w:r>
          </w:p>
        </w:tc>
        <w:tc>
          <w:tcPr>
            <w:tcW w:w="1560"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6"/>
              </w:rPr>
              <w:t>0,96 [0,93, 0,98]</w:t>
            </w:r>
          </w:p>
        </w:tc>
        <w:tc>
          <w:tcPr>
            <w:tcW w:w="1750"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73150" cy="127000"/>
                  <wp:effectExtent l="0" t="0" r="0" b="0"/>
                  <wp:docPr id="227"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073150" cy="127000"/>
                          </a:xfrm>
                          <a:prstGeom prst="rect">
                            <a:avLst/>
                          </a:prstGeom>
                          <a:noFill/>
                          <a:ln>
                            <a:noFill/>
                          </a:ln>
                        </pic:spPr>
                      </pic:pic>
                    </a:graphicData>
                  </a:graphic>
                </wp:inline>
              </w:drawing>
            </w:r>
          </w:p>
        </w:tc>
        <w:tc>
          <w:tcPr>
            <w:tcW w:w="1824"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121410" cy="127000"/>
                  <wp:effectExtent l="0" t="0" r="0" b="0"/>
                  <wp:docPr id="228"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21410" cy="127000"/>
                          </a:xfrm>
                          <a:prstGeom prst="rect">
                            <a:avLst/>
                          </a:prstGeom>
                          <a:noFill/>
                          <a:ln>
                            <a:noFill/>
                          </a:ln>
                        </pic:spPr>
                      </pic:pic>
                    </a:graphicData>
                  </a:graphic>
                </wp:inline>
              </w:drawing>
            </w:r>
          </w:p>
        </w:tc>
      </w:tr>
      <w:tr w:rsidR="00ED665B" w:rsidRPr="00907702" w:rsidTr="00BE6F5B">
        <w:trPr>
          <w:trHeight w:val="20"/>
        </w:trPr>
        <w:tc>
          <w:tcPr>
            <w:tcW w:w="1084" w:type="dxa"/>
            <w:tcBorders>
              <w:top w:val="nil"/>
              <w:left w:val="nil"/>
              <w:bottom w:val="nil"/>
              <w:right w:val="nil"/>
            </w:tcBorders>
            <w:shd w:val="clear" w:color="auto" w:fill="FFFFFF"/>
          </w:tcPr>
          <w:p w:rsidR="00ED665B" w:rsidRPr="00907702" w:rsidRDefault="006C7D2F" w:rsidP="0090323B">
            <w:pPr>
              <w:rPr>
                <w:rFonts w:ascii="Calibri" w:hAnsi="Calibri" w:cs="Calibri"/>
              </w:rPr>
            </w:pPr>
            <w:r>
              <w:rPr>
                <w:rFonts w:ascii="Calibri" w:hAnsi="Calibri"/>
                <w:color w:val="000000"/>
                <w:sz w:val="16"/>
              </w:rPr>
              <w:t>Rienthong</w:t>
            </w:r>
          </w:p>
        </w:tc>
        <w:tc>
          <w:tcPr>
            <w:tcW w:w="323"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5</w:t>
            </w:r>
          </w:p>
        </w:tc>
        <w:tc>
          <w:tcPr>
            <w:tcW w:w="331"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0</w:t>
            </w:r>
          </w:p>
        </w:tc>
        <w:tc>
          <w:tcPr>
            <w:tcW w:w="326"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9</w:t>
            </w:r>
          </w:p>
        </w:tc>
        <w:tc>
          <w:tcPr>
            <w:tcW w:w="422"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61</w:t>
            </w:r>
          </w:p>
        </w:tc>
        <w:tc>
          <w:tcPr>
            <w:tcW w:w="1433" w:type="dxa"/>
            <w:tcBorders>
              <w:top w:val="nil"/>
              <w:left w:val="nil"/>
              <w:bottom w:val="nil"/>
              <w:right w:val="nil"/>
            </w:tcBorders>
            <w:shd w:val="clear" w:color="auto" w:fill="FFFFFF"/>
          </w:tcPr>
          <w:p w:rsidR="00ED665B" w:rsidRPr="00907702" w:rsidRDefault="006C7D2F" w:rsidP="00DC2656">
            <w:pPr>
              <w:ind w:right="10"/>
              <w:jc w:val="right"/>
              <w:rPr>
                <w:rFonts w:ascii="Calibri" w:hAnsi="Calibri" w:cs="Calibri"/>
              </w:rPr>
            </w:pPr>
            <w:r>
              <w:rPr>
                <w:rFonts w:ascii="Calibri" w:hAnsi="Calibri"/>
                <w:color w:val="000000"/>
                <w:sz w:val="16"/>
              </w:rPr>
              <w:t>0,36 [0,13, 0,65]</w:t>
            </w:r>
          </w:p>
        </w:tc>
        <w:tc>
          <w:tcPr>
            <w:tcW w:w="1560"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6"/>
              </w:rPr>
              <w:t>1,00 [0,94, 1,00]</w:t>
            </w:r>
          </w:p>
        </w:tc>
        <w:tc>
          <w:tcPr>
            <w:tcW w:w="1750"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73150" cy="142875"/>
                  <wp:effectExtent l="0" t="0" r="0" b="0"/>
                  <wp:docPr id="229"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073150" cy="142875"/>
                          </a:xfrm>
                          <a:prstGeom prst="rect">
                            <a:avLst/>
                          </a:prstGeom>
                          <a:noFill/>
                          <a:ln>
                            <a:noFill/>
                          </a:ln>
                        </pic:spPr>
                      </pic:pic>
                    </a:graphicData>
                  </a:graphic>
                </wp:inline>
              </w:drawing>
            </w:r>
          </w:p>
        </w:tc>
        <w:tc>
          <w:tcPr>
            <w:tcW w:w="1824"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121410" cy="142875"/>
                  <wp:effectExtent l="0" t="0" r="0" b="0"/>
                  <wp:docPr id="230"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121410" cy="142875"/>
                          </a:xfrm>
                          <a:prstGeom prst="rect">
                            <a:avLst/>
                          </a:prstGeom>
                          <a:noFill/>
                          <a:ln>
                            <a:noFill/>
                          </a:ln>
                        </pic:spPr>
                      </pic:pic>
                    </a:graphicData>
                  </a:graphic>
                </wp:inline>
              </w:drawing>
            </w:r>
          </w:p>
        </w:tc>
      </w:tr>
      <w:tr w:rsidR="00ED665B" w:rsidRPr="00907702" w:rsidTr="00BE6F5B">
        <w:trPr>
          <w:trHeight w:val="20"/>
        </w:trPr>
        <w:tc>
          <w:tcPr>
            <w:tcW w:w="1084" w:type="dxa"/>
            <w:tcBorders>
              <w:top w:val="nil"/>
              <w:left w:val="nil"/>
              <w:bottom w:val="nil"/>
              <w:right w:val="nil"/>
            </w:tcBorders>
            <w:shd w:val="clear" w:color="auto" w:fill="FFFFFF"/>
          </w:tcPr>
          <w:p w:rsidR="00ED665B" w:rsidRPr="00907702" w:rsidRDefault="006C7D2F" w:rsidP="0090323B">
            <w:pPr>
              <w:rPr>
                <w:rFonts w:ascii="Calibri" w:hAnsi="Calibri" w:cs="Calibri"/>
              </w:rPr>
            </w:pPr>
            <w:r>
              <w:rPr>
                <w:rFonts w:ascii="Calibri" w:hAnsi="Calibri"/>
                <w:color w:val="000000"/>
                <w:sz w:val="16"/>
              </w:rPr>
              <w:t>Sekiguchi</w:t>
            </w:r>
          </w:p>
        </w:tc>
        <w:tc>
          <w:tcPr>
            <w:tcW w:w="323"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30</w:t>
            </w:r>
          </w:p>
        </w:tc>
        <w:tc>
          <w:tcPr>
            <w:tcW w:w="331"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0</w:t>
            </w:r>
          </w:p>
        </w:tc>
        <w:tc>
          <w:tcPr>
            <w:tcW w:w="326"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0</w:t>
            </w:r>
          </w:p>
        </w:tc>
        <w:tc>
          <w:tcPr>
            <w:tcW w:w="422" w:type="dxa"/>
            <w:tcBorders>
              <w:top w:val="nil"/>
              <w:left w:val="nil"/>
              <w:bottom w:val="nil"/>
              <w:right w:val="nil"/>
            </w:tcBorders>
            <w:shd w:val="clear" w:color="auto" w:fill="FFFFFF"/>
          </w:tcPr>
          <w:p w:rsidR="00ED665B" w:rsidRPr="00907702" w:rsidRDefault="006C7D2F" w:rsidP="00F67926">
            <w:pPr>
              <w:jc w:val="right"/>
              <w:rPr>
                <w:rFonts w:ascii="Calibri" w:hAnsi="Calibri" w:cs="Calibri"/>
              </w:rPr>
            </w:pPr>
            <w:r>
              <w:rPr>
                <w:rFonts w:ascii="Calibri" w:hAnsi="Calibri"/>
                <w:color w:val="000000"/>
                <w:sz w:val="16"/>
              </w:rPr>
              <w:t>228</w:t>
            </w:r>
          </w:p>
        </w:tc>
        <w:tc>
          <w:tcPr>
            <w:tcW w:w="1433" w:type="dxa"/>
            <w:tcBorders>
              <w:top w:val="nil"/>
              <w:left w:val="nil"/>
              <w:bottom w:val="nil"/>
              <w:right w:val="nil"/>
            </w:tcBorders>
            <w:shd w:val="clear" w:color="auto" w:fill="FFFFFF"/>
          </w:tcPr>
          <w:p w:rsidR="00ED665B" w:rsidRPr="00907702" w:rsidRDefault="006C7D2F" w:rsidP="00DC2656">
            <w:pPr>
              <w:ind w:right="10"/>
              <w:jc w:val="right"/>
              <w:rPr>
                <w:rFonts w:ascii="Calibri" w:hAnsi="Calibri" w:cs="Calibri"/>
              </w:rPr>
            </w:pPr>
            <w:r>
              <w:rPr>
                <w:rFonts w:ascii="Calibri" w:hAnsi="Calibri"/>
                <w:color w:val="000000"/>
                <w:sz w:val="16"/>
              </w:rPr>
              <w:t>1,00 [0,88, 1,00]</w:t>
            </w:r>
          </w:p>
        </w:tc>
        <w:tc>
          <w:tcPr>
            <w:tcW w:w="1560" w:type="dxa"/>
            <w:tcBorders>
              <w:top w:val="nil"/>
              <w:left w:val="nil"/>
              <w:bottom w:val="nil"/>
              <w:right w:val="nil"/>
            </w:tcBorders>
            <w:shd w:val="clear" w:color="auto" w:fill="FFFFFF"/>
          </w:tcPr>
          <w:p w:rsidR="00ED665B" w:rsidRPr="00907702" w:rsidRDefault="006C7D2F" w:rsidP="00DC2656">
            <w:pPr>
              <w:jc w:val="right"/>
              <w:rPr>
                <w:rFonts w:ascii="Calibri" w:hAnsi="Calibri" w:cs="Calibri"/>
              </w:rPr>
            </w:pPr>
            <w:r>
              <w:rPr>
                <w:rFonts w:ascii="Calibri" w:hAnsi="Calibri"/>
                <w:color w:val="000000"/>
                <w:sz w:val="16"/>
              </w:rPr>
              <w:t>1,00 [0,98, 1,00]</w:t>
            </w:r>
          </w:p>
        </w:tc>
        <w:tc>
          <w:tcPr>
            <w:tcW w:w="1750"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073150" cy="270510"/>
                  <wp:effectExtent l="0" t="0" r="0" b="0"/>
                  <wp:docPr id="231"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073150" cy="270510"/>
                          </a:xfrm>
                          <a:prstGeom prst="rect">
                            <a:avLst/>
                          </a:prstGeom>
                          <a:noFill/>
                          <a:ln>
                            <a:noFill/>
                          </a:ln>
                        </pic:spPr>
                      </pic:pic>
                    </a:graphicData>
                  </a:graphic>
                </wp:inline>
              </w:drawing>
            </w:r>
          </w:p>
        </w:tc>
        <w:tc>
          <w:tcPr>
            <w:tcW w:w="1824" w:type="dxa"/>
            <w:tcBorders>
              <w:top w:val="nil"/>
              <w:left w:val="nil"/>
              <w:bottom w:val="nil"/>
              <w:right w:val="nil"/>
            </w:tcBorders>
            <w:shd w:val="clear" w:color="auto" w:fill="FFFFFF"/>
          </w:tcPr>
          <w:p w:rsidR="00ED665B" w:rsidRPr="00907702" w:rsidRDefault="00CD1F71" w:rsidP="00DC2656">
            <w:pPr>
              <w:rPr>
                <w:rFonts w:ascii="Calibri" w:hAnsi="Calibri" w:cs="Calibri"/>
              </w:rPr>
            </w:pPr>
            <w:r>
              <w:rPr>
                <w:rFonts w:ascii="Calibri" w:hAnsi="Calibri"/>
                <w:noProof/>
                <w:lang w:val="en-US" w:bidi="ar-SA"/>
              </w:rPr>
              <w:drawing>
                <wp:inline distT="0" distB="0" distL="0" distR="0">
                  <wp:extent cx="1121410" cy="270510"/>
                  <wp:effectExtent l="0" t="0" r="0" b="0"/>
                  <wp:docPr id="232"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121410" cy="270510"/>
                          </a:xfrm>
                          <a:prstGeom prst="rect">
                            <a:avLst/>
                          </a:prstGeom>
                          <a:noFill/>
                          <a:ln>
                            <a:noFill/>
                          </a:ln>
                        </pic:spPr>
                      </pic:pic>
                    </a:graphicData>
                  </a:graphic>
                </wp:inline>
              </w:drawing>
            </w:r>
          </w:p>
        </w:tc>
      </w:tr>
    </w:tbl>
    <w:p w:rsidR="00ED665B" w:rsidRPr="00907702" w:rsidRDefault="006C7D2F" w:rsidP="00DC2656">
      <w:pPr>
        <w:spacing w:before="62"/>
        <w:ind w:left="5"/>
        <w:jc w:val="both"/>
        <w:rPr>
          <w:rFonts w:ascii="Calibri" w:hAnsi="Calibri" w:cs="Calibri"/>
        </w:rPr>
      </w:pPr>
      <w:r>
        <w:rPr>
          <w:rFonts w:ascii="Calibri" w:hAnsi="Calibri"/>
          <w:color w:val="000000"/>
          <w:sz w:val="16"/>
        </w:rPr>
        <w:t>ДІ: довірчий інтервал; ТМЧ: тест медикаментозної чутливості; ХН: хибнонегативний; ХП: хибнопозитивний; ТБ: туберкульоз; ІН: істинно негативний; ІП: істинно позитивний.</w:t>
      </w:r>
    </w:p>
    <w:p w:rsidR="00ED665B" w:rsidRPr="00907702" w:rsidRDefault="006C7D2F" w:rsidP="00DC2656">
      <w:pPr>
        <w:spacing w:before="302"/>
        <w:ind w:left="5"/>
        <w:jc w:val="both"/>
        <w:rPr>
          <w:rFonts w:ascii="Calibri" w:hAnsi="Calibri" w:cs="Calibri"/>
        </w:rPr>
      </w:pPr>
      <w:r>
        <w:rPr>
          <w:rFonts w:ascii="Calibri" w:hAnsi="Calibri"/>
          <w:color w:val="000000"/>
          <w:sz w:val="22"/>
        </w:rPr>
        <w:t xml:space="preserve">Загальна чутливість щодо резистентності до ізоніазиду у цих семи дослідженнях коливалась від 36% до 100%, а специфічність – від 96% до 100%. </w:t>
      </w:r>
      <w:r>
        <w:rPr>
          <w:rFonts w:ascii="Calibri" w:hAnsi="Calibri"/>
          <w:b/>
          <w:color w:val="000000"/>
          <w:sz w:val="22"/>
        </w:rPr>
        <w:t>Об’єднана чутливість становила 81,2% (95% ДІ: 75,4-85,8%), а специфічність – 97,8% ( 95% ДІ: 96,5-98,6%).</w:t>
      </w:r>
    </w:p>
    <w:p w:rsidR="00ED665B" w:rsidRPr="00907702" w:rsidRDefault="00ED665B" w:rsidP="00DC2656">
      <w:pPr>
        <w:spacing w:before="302"/>
        <w:ind w:left="5"/>
        <w:jc w:val="both"/>
        <w:rPr>
          <w:rFonts w:ascii="Calibri" w:hAnsi="Calibri" w:cs="Calibri"/>
        </w:rPr>
        <w:sectPr w:rsidR="00ED665B" w:rsidRPr="00907702">
          <w:pgSz w:w="11904" w:h="16838"/>
          <w:pgMar w:top="1378" w:right="1416" w:bottom="1498" w:left="1411" w:header="720" w:footer="720" w:gutter="0"/>
          <w:cols w:space="60"/>
          <w:noEndnote/>
        </w:sectPr>
      </w:pPr>
    </w:p>
    <w:p w:rsidR="00ED665B" w:rsidRPr="00907702" w:rsidRDefault="006C7D2F" w:rsidP="00F43368">
      <w:pPr>
        <w:spacing w:line="216" w:lineRule="auto"/>
        <w:ind w:right="5"/>
        <w:jc w:val="both"/>
        <w:rPr>
          <w:rFonts w:ascii="Calibri" w:hAnsi="Calibri" w:cs="Calibri"/>
        </w:rPr>
      </w:pPr>
      <w:r>
        <w:rPr>
          <w:rFonts w:ascii="Calibri" w:hAnsi="Calibri"/>
          <w:color w:val="000000"/>
          <w:sz w:val="22"/>
        </w:rPr>
        <w:lastRenderedPageBreak/>
        <w:t xml:space="preserve">Детальну інформацію про діагностичну точність ТАНК високої складності на основі зворотної гібридизації, зокрема про порівняння з генотипічними та складеними референс стандартами, можна знайти у </w:t>
      </w:r>
      <w:r w:rsidR="0034777B">
        <w:rPr>
          <w:rFonts w:ascii="Calibri" w:hAnsi="Calibri"/>
          <w:b/>
          <w:color w:val="000000"/>
          <w:sz w:val="22"/>
        </w:rPr>
        <w:t>Вебдод</w:t>
      </w:r>
      <w:r>
        <w:rPr>
          <w:rFonts w:ascii="Calibri" w:hAnsi="Calibri"/>
          <w:b/>
          <w:color w:val="000000"/>
          <w:sz w:val="22"/>
        </w:rPr>
        <w:t>атку 4.17</w:t>
      </w:r>
      <w:r>
        <w:rPr>
          <w:rFonts w:ascii="Calibri" w:hAnsi="Calibri"/>
          <w:color w:val="000000"/>
          <w:sz w:val="22"/>
        </w:rPr>
        <w:t>: ТАНК високої складності на основі зворотної гібридизації: діагностична точність для виявлення резистентності до піразинаміду. Систематичний огляд».</w:t>
      </w:r>
    </w:p>
    <w:p w:rsidR="00ED665B" w:rsidRPr="00636128" w:rsidRDefault="006C7D2F" w:rsidP="00F43368">
      <w:pPr>
        <w:spacing w:before="230" w:line="216" w:lineRule="auto"/>
        <w:rPr>
          <w:rFonts w:ascii="Calibri" w:hAnsi="Calibri" w:cs="Calibri"/>
          <w:b/>
          <w:bCs/>
        </w:rPr>
      </w:pPr>
      <w:r>
        <w:rPr>
          <w:rFonts w:ascii="Calibri" w:hAnsi="Calibri"/>
          <w:b/>
          <w:color w:val="009649"/>
          <w:sz w:val="28"/>
        </w:rPr>
        <w:t>Аналіз співвідношення витрати / ефективність</w:t>
      </w:r>
    </w:p>
    <w:p w:rsidR="00ED665B" w:rsidRPr="00907702" w:rsidRDefault="006C7D2F" w:rsidP="00F43368">
      <w:pPr>
        <w:spacing w:before="216" w:line="216" w:lineRule="auto"/>
        <w:rPr>
          <w:rFonts w:ascii="Calibri" w:hAnsi="Calibri" w:cs="Calibri"/>
        </w:rPr>
      </w:pPr>
      <w:r>
        <w:rPr>
          <w:rFonts w:ascii="Calibri" w:hAnsi="Calibri"/>
          <w:color w:val="000000"/>
          <w:sz w:val="22"/>
        </w:rPr>
        <w:t>У цьому розділі дається відповідь на наступне додаткове питання:</w:t>
      </w:r>
    </w:p>
    <w:p w:rsidR="00ED665B" w:rsidRPr="00F67926" w:rsidRDefault="006C7D2F" w:rsidP="00F43368">
      <w:pPr>
        <w:spacing w:before="288" w:line="216" w:lineRule="auto"/>
        <w:ind w:right="5"/>
        <w:rPr>
          <w:rFonts w:ascii="Calibri" w:hAnsi="Calibri" w:cs="Calibri"/>
          <w:b/>
          <w:bCs/>
          <w:i/>
          <w:iCs/>
          <w:sz w:val="22"/>
        </w:rPr>
      </w:pPr>
      <w:r w:rsidRPr="00F67926">
        <w:rPr>
          <w:rFonts w:ascii="Calibri" w:hAnsi="Calibri"/>
          <w:b/>
          <w:i/>
          <w:color w:val="000000"/>
          <w:sz w:val="24"/>
        </w:rPr>
        <w:t>Які порівняльні витрати, доступність та співвідношення витрати / ефективність щодо впровадження автоматизованих ТАНК зворотної гібридизації високої складності?</w:t>
      </w:r>
    </w:p>
    <w:p w:rsidR="00ED665B" w:rsidRPr="00907702" w:rsidRDefault="006C7D2F" w:rsidP="00F43368">
      <w:pPr>
        <w:spacing w:before="173" w:line="216" w:lineRule="auto"/>
        <w:ind w:right="5"/>
        <w:jc w:val="both"/>
        <w:rPr>
          <w:rFonts w:ascii="Calibri" w:hAnsi="Calibri" w:cs="Calibri"/>
        </w:rPr>
      </w:pPr>
      <w:r>
        <w:rPr>
          <w:rFonts w:ascii="Calibri" w:hAnsi="Calibri"/>
          <w:color w:val="000000"/>
          <w:sz w:val="22"/>
        </w:rPr>
        <w:t>Було проведено систематичний огляд, зосереджений на економічних оцінках автоматизованих ТАНК високої складності на основі зворотної гібридизації. В чотирьох онлайн-базах даних (Embase, Medline, Web of Science та Scopus) було проведено пошук нових досліджень, опублікованих з 1 січня 2010 року по</w:t>
      </w:r>
      <w:r w:rsidR="00F67926" w:rsidRPr="00F67926">
        <w:rPr>
          <w:rFonts w:ascii="Calibri" w:hAnsi="Calibri"/>
          <w:color w:val="000000"/>
          <w:sz w:val="22"/>
        </w:rPr>
        <w:t xml:space="preserve"> </w:t>
      </w:r>
      <w:r>
        <w:rPr>
          <w:rFonts w:ascii="Calibri" w:hAnsi="Calibri"/>
          <w:color w:val="000000"/>
          <w:sz w:val="22"/>
        </w:rPr>
        <w:t>17 вересня 2020 р. Для додаткових досліджень було переглянуто цитати зі всіх статей, вказівок та оглядів, що відповідають необхідним критеріям. Також було встановлено зв’язок з експертами, а також виробниками тестів з метою виявлення будь-яких додаткових неопублікованих досліджень.</w:t>
      </w:r>
    </w:p>
    <w:p w:rsidR="00ED665B" w:rsidRPr="00907702" w:rsidRDefault="006C7D2F" w:rsidP="00F43368">
      <w:pPr>
        <w:spacing w:before="168" w:line="216" w:lineRule="auto"/>
        <w:jc w:val="both"/>
        <w:rPr>
          <w:rFonts w:ascii="Calibri" w:hAnsi="Calibri" w:cs="Calibri"/>
        </w:rPr>
      </w:pPr>
      <w:r>
        <w:rPr>
          <w:rFonts w:ascii="Calibri" w:hAnsi="Calibri"/>
          <w:color w:val="000000"/>
          <w:sz w:val="22"/>
        </w:rPr>
        <w:t>Мета цього огляду полягала в узагальненні поточних економічних даних та подальшому розумінні витрат, співвідношення витрати / ефективність та доступності автоматизованих ТАНК високої складності на основі зворотної гібридизації.</w:t>
      </w:r>
    </w:p>
    <w:p w:rsidR="00ED665B" w:rsidRPr="00907702" w:rsidRDefault="006C7D2F" w:rsidP="00F43368">
      <w:pPr>
        <w:spacing w:before="168" w:line="216" w:lineRule="auto"/>
        <w:ind w:right="10"/>
        <w:jc w:val="both"/>
        <w:rPr>
          <w:rFonts w:ascii="Calibri" w:hAnsi="Calibri" w:cs="Calibri"/>
        </w:rPr>
      </w:pPr>
      <w:r>
        <w:rPr>
          <w:rFonts w:ascii="Calibri" w:hAnsi="Calibri"/>
          <w:color w:val="000000"/>
          <w:sz w:val="22"/>
        </w:rPr>
        <w:t>Не було виявлено жодних опублікованих досліджень, які б оцінювали витрати чи співвідношення витрати / ефективність з використанням комерційно доступного ТАНК високої складності на основі гібридизації (Genoscholar PZA-TB II, Nipro, Японія). Непрямі докази поступали з кількох джерел. Було виявлено чотири дослідження, що вивчали інші комерційно доступні LPA (Genotype MTBDR</w:t>
      </w:r>
      <w:r w:rsidR="00BE6F5B" w:rsidRPr="00BE6F5B">
        <w:rPr>
          <w:rFonts w:ascii="Calibri" w:hAnsi="Calibri"/>
          <w:i/>
          <w:color w:val="000000"/>
          <w:sz w:val="22"/>
        </w:rPr>
        <w:t>sl</w:t>
      </w:r>
      <w:r>
        <w:rPr>
          <w:rFonts w:ascii="Calibri" w:hAnsi="Calibri"/>
          <w:color w:val="000000"/>
          <w:sz w:val="22"/>
        </w:rPr>
        <w:t xml:space="preserve"> та MTBDR</w:t>
      </w:r>
      <w:r w:rsidR="00BE6F5B" w:rsidRPr="00BE6F5B">
        <w:rPr>
          <w:rFonts w:ascii="Calibri" w:hAnsi="Calibri"/>
          <w:i/>
          <w:color w:val="000000"/>
          <w:sz w:val="22"/>
        </w:rPr>
        <w:t>plus</w:t>
      </w:r>
      <w:r>
        <w:rPr>
          <w:rFonts w:ascii="Calibri" w:hAnsi="Calibri"/>
          <w:color w:val="000000"/>
          <w:sz w:val="22"/>
        </w:rPr>
        <w:t>, Hain Lifescience).</w:t>
      </w:r>
    </w:p>
    <w:p w:rsidR="00ED665B" w:rsidRPr="00907702" w:rsidRDefault="006C7D2F" w:rsidP="00F43368">
      <w:pPr>
        <w:spacing w:before="168" w:line="216" w:lineRule="auto"/>
        <w:ind w:right="5"/>
        <w:jc w:val="both"/>
        <w:rPr>
          <w:rFonts w:ascii="Calibri" w:hAnsi="Calibri" w:cs="Calibri"/>
        </w:rPr>
      </w:pPr>
      <w:r>
        <w:rPr>
          <w:rFonts w:ascii="Calibri" w:hAnsi="Calibri"/>
          <w:color w:val="000000"/>
          <w:sz w:val="22"/>
        </w:rPr>
        <w:t>Genoscholar PZA LPA був розроблений для використання з автоматизованим MultiBlot від компанії Nipro; проте нещодавно неопубліковані результати випробування</w:t>
      </w:r>
      <w:r>
        <w:rPr>
          <w:rFonts w:ascii="Calibri" w:hAnsi="Calibri"/>
          <w:color w:val="000000"/>
          <w:sz w:val="22"/>
          <w:vertAlign w:val="superscript"/>
        </w:rPr>
        <w:t>18</w:t>
      </w:r>
      <w:r>
        <w:rPr>
          <w:rFonts w:ascii="Calibri" w:hAnsi="Calibri"/>
          <w:color w:val="000000"/>
          <w:sz w:val="22"/>
        </w:rPr>
        <w:t xml:space="preserve"> продемонстрували, що Twincubator від Hain Lifescience можна успішно використовувати з цим LPA. Це відкриття може спростити впровадження Genoscholar PZA LPA у вибраних умовах, у яких вже використовується обладнання Hain Lifescience.</w:t>
      </w:r>
    </w:p>
    <w:p w:rsidR="00ED665B" w:rsidRPr="00F67926" w:rsidRDefault="006C7D2F" w:rsidP="00F43368">
      <w:pPr>
        <w:spacing w:before="221" w:line="216" w:lineRule="auto"/>
        <w:rPr>
          <w:rFonts w:ascii="Calibri" w:hAnsi="Calibri" w:cs="Calibri"/>
          <w:i/>
        </w:rPr>
      </w:pPr>
      <w:r w:rsidRPr="00F67926">
        <w:rPr>
          <w:rFonts w:ascii="Calibri" w:hAnsi="Calibri"/>
          <w:i/>
          <w:color w:val="000000"/>
          <w:sz w:val="22"/>
        </w:rPr>
        <w:t>Наскільки високі вимоги до ресурсів (витрати)?</w:t>
      </w:r>
    </w:p>
    <w:p w:rsidR="00ED665B" w:rsidRPr="00907702" w:rsidRDefault="006C7D2F" w:rsidP="00F43368">
      <w:pPr>
        <w:spacing w:before="182" w:line="216" w:lineRule="auto"/>
        <w:ind w:right="5"/>
        <w:jc w:val="both"/>
        <w:rPr>
          <w:rFonts w:ascii="Calibri" w:hAnsi="Calibri" w:cs="Calibri"/>
        </w:rPr>
      </w:pPr>
      <w:r>
        <w:rPr>
          <w:rFonts w:ascii="Calibri" w:hAnsi="Calibri"/>
          <w:color w:val="000000"/>
          <w:sz w:val="22"/>
        </w:rPr>
        <w:t>Прямих даних щодо загальної кількості необхідних ресурсів в опублікованих дослідженнях не знайдено. Вимоги до ресурсів включатимуть закупівлю тестових наборів (Genoscholar PZA LPA: 16 доларів США / лише витратні матеріали для тестового набору) та обладнання, яке доступне за 14 000 доларів США. Операційні витрати часто в кілька разів перевищують витрати на тестовий комплект (і залежатимуть від налаштувань), але зазвичай вони не враховуються. Компанія Nipro сподівається, що подальше зниження витрат на тестування може бути досягнуто, якщо продукт Genoscholar PZA-TB II пошириться по всьому світу.</w:t>
      </w:r>
    </w:p>
    <w:p w:rsidR="00ED665B" w:rsidRPr="00907702" w:rsidRDefault="006C7D2F" w:rsidP="00F43368">
      <w:pPr>
        <w:spacing w:before="168" w:line="216" w:lineRule="auto"/>
        <w:ind w:right="5"/>
        <w:jc w:val="both"/>
        <w:rPr>
          <w:rFonts w:ascii="Calibri" w:hAnsi="Calibri" w:cs="Calibri"/>
        </w:rPr>
      </w:pPr>
      <w:r>
        <w:rPr>
          <w:rFonts w:ascii="Calibri" w:hAnsi="Calibri"/>
          <w:color w:val="000000"/>
          <w:sz w:val="22"/>
        </w:rPr>
        <w:t>Витрати на один тест для Genotype MTBDR</w:t>
      </w:r>
      <w:r w:rsidR="00BE6F5B" w:rsidRPr="00BE6F5B">
        <w:rPr>
          <w:rFonts w:ascii="Calibri" w:hAnsi="Calibri"/>
          <w:i/>
          <w:color w:val="000000"/>
          <w:sz w:val="22"/>
        </w:rPr>
        <w:t>sl</w:t>
      </w:r>
      <w:r>
        <w:rPr>
          <w:rFonts w:ascii="Calibri" w:hAnsi="Calibri"/>
          <w:color w:val="000000"/>
          <w:sz w:val="22"/>
        </w:rPr>
        <w:t xml:space="preserve"> та MTBDR</w:t>
      </w:r>
      <w:r w:rsidR="00BE6F5B" w:rsidRPr="00BE6F5B">
        <w:rPr>
          <w:rFonts w:ascii="Calibri" w:hAnsi="Calibri"/>
          <w:i/>
          <w:color w:val="000000"/>
          <w:sz w:val="22"/>
        </w:rPr>
        <w:t>plus</w:t>
      </w:r>
      <w:r>
        <w:rPr>
          <w:rFonts w:ascii="Calibri" w:hAnsi="Calibri"/>
          <w:color w:val="000000"/>
          <w:sz w:val="22"/>
        </w:rPr>
        <w:t xml:space="preserve"> коливалися від 23,46 до 108,70 доларів США (45–48), причому вищі витрати на один тест було виявлено в таких країнах, як Китай та Південно-Африканська Республіка, що значною мірою обумовлено зростанням рівня заробітної плати персоналу та операційних витрат. Екстраполяції з витрат на один тест з використанням різних LPA слід виконувати з обережністю, і вони не мають на меті бути безпосередньо переданими оцінками.</w:t>
      </w:r>
    </w:p>
    <w:p w:rsidR="00636128" w:rsidRPr="00636128" w:rsidRDefault="00636128" w:rsidP="00F43368">
      <w:pPr>
        <w:spacing w:before="586" w:line="216" w:lineRule="auto"/>
        <w:rPr>
          <w:rFonts w:ascii="Calibri" w:hAnsi="Calibri" w:cs="Calibri"/>
          <w:color w:val="000000"/>
          <w:sz w:val="16"/>
          <w:szCs w:val="16"/>
          <w:u w:val="single"/>
          <w:vertAlign w:val="superscript"/>
        </w:rPr>
      </w:pPr>
      <w:r>
        <w:rPr>
          <w:rFonts w:ascii="Calibri" w:hAnsi="Calibri"/>
          <w:color w:val="000000"/>
          <w:sz w:val="16"/>
          <w:u w:val="single"/>
          <w:vertAlign w:val="superscript"/>
        </w:rPr>
        <w:tab/>
      </w:r>
      <w:r>
        <w:rPr>
          <w:rFonts w:ascii="Calibri" w:hAnsi="Calibri"/>
          <w:color w:val="000000"/>
          <w:sz w:val="16"/>
          <w:u w:val="single"/>
          <w:vertAlign w:val="superscript"/>
        </w:rPr>
        <w:tab/>
      </w:r>
      <w:r>
        <w:rPr>
          <w:rFonts w:ascii="Calibri" w:hAnsi="Calibri"/>
          <w:color w:val="000000"/>
          <w:sz w:val="16"/>
          <w:u w:val="single"/>
          <w:vertAlign w:val="superscript"/>
        </w:rPr>
        <w:tab/>
      </w:r>
    </w:p>
    <w:p w:rsidR="00ED665B" w:rsidRPr="00907702" w:rsidRDefault="006C7D2F" w:rsidP="00F43368">
      <w:pPr>
        <w:tabs>
          <w:tab w:val="left" w:pos="221"/>
        </w:tabs>
        <w:spacing w:line="216" w:lineRule="auto"/>
        <w:rPr>
          <w:rFonts w:ascii="Calibri" w:hAnsi="Calibri" w:cs="Calibri"/>
        </w:rPr>
      </w:pPr>
      <w:r>
        <w:rPr>
          <w:rFonts w:ascii="Calibri" w:hAnsi="Calibri"/>
          <w:color w:val="000000"/>
          <w:sz w:val="16"/>
          <w:vertAlign w:val="superscript"/>
        </w:rPr>
        <w:t>18</w:t>
      </w:r>
      <w:r>
        <w:rPr>
          <w:rFonts w:ascii="Calibri" w:hAnsi="Calibri"/>
          <w:color w:val="000000"/>
          <w:sz w:val="16"/>
        </w:rPr>
        <w:tab/>
        <w:t>Leen Rigouts: Validation study of Genoscholar PZA LPA in three Supranational TB Reference Laboratories.</w:t>
      </w:r>
    </w:p>
    <w:p w:rsidR="00ED665B" w:rsidRPr="00907702" w:rsidRDefault="00ED665B" w:rsidP="00DC2656">
      <w:pPr>
        <w:tabs>
          <w:tab w:val="left" w:pos="221"/>
        </w:tabs>
        <w:spacing w:before="586"/>
        <w:rPr>
          <w:rFonts w:ascii="Calibri" w:hAnsi="Calibri" w:cs="Calibri"/>
        </w:rPr>
        <w:sectPr w:rsidR="00ED665B" w:rsidRPr="00907702" w:rsidSect="00F43368">
          <w:pgSz w:w="11904" w:h="16838"/>
          <w:pgMar w:top="1339" w:right="1411" w:bottom="48" w:left="1416" w:header="720" w:footer="720" w:gutter="0"/>
          <w:cols w:space="60"/>
          <w:noEndnote/>
        </w:sectPr>
      </w:pPr>
    </w:p>
    <w:p w:rsidR="00ED665B" w:rsidRPr="00907702" w:rsidRDefault="006C7D2F" w:rsidP="00F43368">
      <w:pPr>
        <w:spacing w:line="216" w:lineRule="auto"/>
        <w:ind w:right="5"/>
        <w:jc w:val="both"/>
        <w:rPr>
          <w:rFonts w:ascii="Calibri" w:hAnsi="Calibri" w:cs="Calibri"/>
        </w:rPr>
      </w:pPr>
      <w:r>
        <w:rPr>
          <w:rFonts w:ascii="Calibri" w:hAnsi="Calibri"/>
          <w:color w:val="000000"/>
          <w:sz w:val="22"/>
        </w:rPr>
        <w:lastRenderedPageBreak/>
        <w:t>Проте, ці непрямі дані дійсно свідчать про те, що загальна вартість одного тесту Genoscholar PZA-TB II, ймовірно, у кілька разів перевищує витрати на комплект одиничних тестів, що становлять 16 доларів США.</w:t>
      </w:r>
    </w:p>
    <w:p w:rsidR="00ED665B" w:rsidRPr="00907702" w:rsidRDefault="006C7D2F" w:rsidP="00F43368">
      <w:pPr>
        <w:spacing w:before="168" w:line="216" w:lineRule="auto"/>
        <w:ind w:right="5"/>
        <w:jc w:val="both"/>
        <w:rPr>
          <w:rFonts w:ascii="Calibri" w:hAnsi="Calibri" w:cs="Calibri"/>
        </w:rPr>
      </w:pPr>
      <w:r>
        <w:rPr>
          <w:rFonts w:ascii="Calibri" w:hAnsi="Calibri"/>
          <w:color w:val="000000"/>
          <w:sz w:val="22"/>
        </w:rPr>
        <w:t>Загальні витрати залежатимуть від обсягу тестування, кількості, що підлягає тестуванню, та поширеності резистентності до піразинаміду в популяції. Вплив на бюджет залежатиме від поточного стандарту лікування, діагностики та шляхів лікування та використання відповідних ресурсів.</w:t>
      </w:r>
    </w:p>
    <w:p w:rsidR="00ED665B" w:rsidRPr="00413839" w:rsidRDefault="006C7D2F" w:rsidP="00F43368">
      <w:pPr>
        <w:spacing w:before="216" w:line="216" w:lineRule="auto"/>
        <w:rPr>
          <w:rFonts w:ascii="Calibri" w:hAnsi="Calibri" w:cs="Calibri"/>
          <w:i/>
        </w:rPr>
      </w:pPr>
      <w:r w:rsidRPr="00413839">
        <w:rPr>
          <w:rFonts w:ascii="Calibri" w:hAnsi="Calibri"/>
          <w:i/>
          <w:color w:val="000000"/>
          <w:sz w:val="22"/>
        </w:rPr>
        <w:t>Яка якість доказових даних про потреби у ресурсах (витрати)?</w:t>
      </w:r>
    </w:p>
    <w:p w:rsidR="00ED665B" w:rsidRPr="00907702" w:rsidRDefault="006C7D2F" w:rsidP="00F43368">
      <w:pPr>
        <w:spacing w:before="182" w:line="216" w:lineRule="auto"/>
        <w:ind w:right="5"/>
        <w:jc w:val="both"/>
        <w:rPr>
          <w:rFonts w:ascii="Calibri" w:hAnsi="Calibri" w:cs="Calibri"/>
        </w:rPr>
      </w:pPr>
      <w:r>
        <w:rPr>
          <w:rFonts w:ascii="Calibri" w:hAnsi="Calibri"/>
          <w:color w:val="000000"/>
          <w:sz w:val="22"/>
        </w:rPr>
        <w:t>Доступні дані про прямі витрати, пов’язані з наборами для тестування та обладнанням, в той час як кілька важливих статей, пов’язаних із використанням ресурсів (наприклад, час персоналу, накладні та операційні витрати, пов’язані з впровадженням Genoscholar PZA-TB II), не досліджувалися. Різниця у використанні ресурсів між Genoscholar PZA-TB II та існуючими підходами буде відрізнятися в залежності від умов з використанням різних фенотипічних та генотипічних ТМЧ. Також, залежно від установи, буде проявлятися важлива різниця у витратах на час персоналу та операційних витратах (наприклад, обсязі тестування).</w:t>
      </w:r>
    </w:p>
    <w:p w:rsidR="00ED665B" w:rsidRPr="00413839" w:rsidRDefault="006C7D2F" w:rsidP="00F43368">
      <w:pPr>
        <w:spacing w:before="216" w:line="216" w:lineRule="auto"/>
        <w:rPr>
          <w:rFonts w:ascii="Calibri" w:hAnsi="Calibri" w:cs="Calibri"/>
          <w:i/>
        </w:rPr>
      </w:pPr>
      <w:r w:rsidRPr="00413839">
        <w:rPr>
          <w:rFonts w:ascii="Calibri" w:hAnsi="Calibri"/>
          <w:i/>
          <w:color w:val="000000"/>
          <w:sz w:val="22"/>
        </w:rPr>
        <w:t>Співвідношення витрати / ефективність втручання сприяє втручанню або порівнянню?</w:t>
      </w:r>
    </w:p>
    <w:p w:rsidR="00ED665B" w:rsidRPr="00907702" w:rsidRDefault="006C7D2F" w:rsidP="00F43368">
      <w:pPr>
        <w:spacing w:before="182" w:line="216" w:lineRule="auto"/>
        <w:ind w:right="5"/>
        <w:jc w:val="both"/>
        <w:rPr>
          <w:rFonts w:ascii="Calibri" w:hAnsi="Calibri" w:cs="Calibri"/>
        </w:rPr>
      </w:pPr>
      <w:r>
        <w:rPr>
          <w:rFonts w:ascii="Calibri" w:hAnsi="Calibri"/>
          <w:color w:val="000000"/>
          <w:sz w:val="22"/>
        </w:rPr>
        <w:t>Жодних досліджень співвідношення витрати / ефективність використання Genoscholar PZA-TB II виявлено не було. Екстраполяція даних щодо співвідношення витрати / ефективність з інших лінійних зонд-аналізів не рекомендується через відмінності в точності діагностики, поширеність резистентності, та каскади лікування і тестування.</w:t>
      </w:r>
    </w:p>
    <w:p w:rsidR="00ED665B" w:rsidRPr="00907702" w:rsidRDefault="006C7D2F" w:rsidP="00F43368">
      <w:pPr>
        <w:spacing w:before="163" w:line="216" w:lineRule="auto"/>
        <w:ind w:right="5"/>
        <w:jc w:val="both"/>
        <w:rPr>
          <w:rFonts w:ascii="Calibri" w:hAnsi="Calibri" w:cs="Calibri"/>
        </w:rPr>
      </w:pPr>
      <w:r>
        <w:rPr>
          <w:rFonts w:ascii="Calibri" w:hAnsi="Calibri"/>
          <w:color w:val="000000"/>
          <w:sz w:val="22"/>
        </w:rPr>
        <w:t xml:space="preserve">Більше інформації про синтез та аналіз економічних даних наведено у </w:t>
      </w:r>
      <w:r>
        <w:rPr>
          <w:rFonts w:ascii="Calibri" w:hAnsi="Calibri"/>
          <w:b/>
          <w:color w:val="000000"/>
          <w:sz w:val="22"/>
        </w:rPr>
        <w:t>Вебдодатку 4.9</w:t>
      </w:r>
      <w:r>
        <w:rPr>
          <w:rFonts w:ascii="Calibri" w:hAnsi="Calibri"/>
          <w:color w:val="000000"/>
          <w:sz w:val="22"/>
        </w:rPr>
        <w:t>: «Систематичний огляд літератури стосовно економічних даних для тестів на ампліфікацію нуклеїнової кислоти (ТАНК) для виявлення ТБ та резистентного ТБ у дорослих та дітей».</w:t>
      </w:r>
    </w:p>
    <w:p w:rsidR="00ED665B" w:rsidRPr="00636128" w:rsidRDefault="006C7D2F" w:rsidP="00F43368">
      <w:pPr>
        <w:spacing w:before="230" w:line="216" w:lineRule="auto"/>
        <w:jc w:val="both"/>
        <w:rPr>
          <w:rFonts w:ascii="Calibri" w:hAnsi="Calibri" w:cs="Calibri"/>
          <w:b/>
          <w:bCs/>
        </w:rPr>
      </w:pPr>
      <w:r>
        <w:rPr>
          <w:rFonts w:ascii="Calibri" w:hAnsi="Calibri"/>
          <w:b/>
          <w:color w:val="009649"/>
          <w:sz w:val="28"/>
        </w:rPr>
        <w:t>Перспективи тестування</w:t>
      </w:r>
    </w:p>
    <w:p w:rsidR="00ED665B" w:rsidRPr="00907702" w:rsidRDefault="006C7D2F" w:rsidP="00F43368">
      <w:pPr>
        <w:spacing w:before="163" w:line="216" w:lineRule="auto"/>
        <w:ind w:right="5"/>
        <w:jc w:val="both"/>
        <w:rPr>
          <w:rFonts w:ascii="Calibri" w:hAnsi="Calibri" w:cs="Calibri"/>
        </w:rPr>
      </w:pPr>
      <w:r>
        <w:rPr>
          <w:rFonts w:ascii="Calibri" w:hAnsi="Calibri"/>
          <w:color w:val="000000"/>
          <w:sz w:val="22"/>
        </w:rPr>
        <w:t xml:space="preserve">У цьому розділі даються відповіді на наступні запитання про </w:t>
      </w:r>
      <w:r>
        <w:rPr>
          <w:rFonts w:ascii="Calibri" w:hAnsi="Calibri"/>
          <w:b/>
          <w:color w:val="000000"/>
          <w:sz w:val="22"/>
        </w:rPr>
        <w:t>погляди та перспективи, представлені ключовими інформаторами, на використання ТАНК високої складності на основі зворотної гібридизації:</w:t>
      </w:r>
    </w:p>
    <w:p w:rsidR="00ED665B" w:rsidRPr="00907702" w:rsidRDefault="006C7D2F" w:rsidP="00F43368">
      <w:pPr>
        <w:numPr>
          <w:ilvl w:val="0"/>
          <w:numId w:val="2"/>
        </w:numPr>
        <w:tabs>
          <w:tab w:val="left" w:pos="240"/>
        </w:tabs>
        <w:spacing w:before="77" w:line="216" w:lineRule="auto"/>
        <w:ind w:left="240" w:hanging="240"/>
        <w:jc w:val="both"/>
        <w:rPr>
          <w:rFonts w:ascii="Calibri" w:hAnsi="Calibri" w:cs="Calibri"/>
          <w:color w:val="009649"/>
          <w:sz w:val="22"/>
          <w:szCs w:val="22"/>
        </w:rPr>
      </w:pPr>
      <w:r>
        <w:rPr>
          <w:rFonts w:ascii="Calibri" w:hAnsi="Calibri"/>
          <w:color w:val="000000"/>
          <w:sz w:val="22"/>
        </w:rPr>
        <w:t>Чи є важлива невизначеність або різниця в тому, наскільки кінцеві користувачі оцінюють основні результати?</w:t>
      </w:r>
    </w:p>
    <w:p w:rsidR="00ED665B" w:rsidRPr="00907702" w:rsidRDefault="006C7D2F" w:rsidP="00F43368">
      <w:pPr>
        <w:numPr>
          <w:ilvl w:val="0"/>
          <w:numId w:val="2"/>
        </w:numPr>
        <w:tabs>
          <w:tab w:val="left" w:pos="240"/>
        </w:tabs>
        <w:spacing w:line="216" w:lineRule="auto"/>
        <w:jc w:val="both"/>
        <w:rPr>
          <w:rFonts w:ascii="Calibri" w:hAnsi="Calibri" w:cs="Calibri"/>
          <w:color w:val="009649"/>
          <w:sz w:val="22"/>
          <w:szCs w:val="22"/>
        </w:rPr>
      </w:pPr>
      <w:r>
        <w:rPr>
          <w:rFonts w:ascii="Calibri" w:hAnsi="Calibri"/>
          <w:color w:val="000000"/>
          <w:sz w:val="22"/>
        </w:rPr>
        <w:t>Яким би був вплив на рівність у питанні надання послуг у сфері охорони здоров’я?</w:t>
      </w:r>
    </w:p>
    <w:p w:rsidR="00ED665B" w:rsidRPr="00907702" w:rsidRDefault="006C7D2F" w:rsidP="00F43368">
      <w:pPr>
        <w:numPr>
          <w:ilvl w:val="0"/>
          <w:numId w:val="2"/>
        </w:numPr>
        <w:tabs>
          <w:tab w:val="left" w:pos="240"/>
        </w:tabs>
        <w:spacing w:line="216" w:lineRule="auto"/>
        <w:jc w:val="both"/>
        <w:rPr>
          <w:rFonts w:ascii="Calibri" w:hAnsi="Calibri" w:cs="Calibri"/>
          <w:color w:val="009649"/>
          <w:sz w:val="22"/>
          <w:szCs w:val="22"/>
        </w:rPr>
      </w:pPr>
      <w:r>
        <w:rPr>
          <w:rFonts w:ascii="Calibri" w:hAnsi="Calibri"/>
          <w:color w:val="000000"/>
          <w:sz w:val="22"/>
        </w:rPr>
        <w:t>Чи є втручання прийнятним для ключових зацікавлених сторін?</w:t>
      </w:r>
    </w:p>
    <w:p w:rsidR="00ED665B" w:rsidRPr="00907702" w:rsidRDefault="006C7D2F" w:rsidP="00F43368">
      <w:pPr>
        <w:numPr>
          <w:ilvl w:val="0"/>
          <w:numId w:val="2"/>
        </w:numPr>
        <w:tabs>
          <w:tab w:val="left" w:pos="240"/>
        </w:tabs>
        <w:spacing w:line="216" w:lineRule="auto"/>
        <w:jc w:val="both"/>
        <w:rPr>
          <w:rFonts w:ascii="Calibri" w:hAnsi="Calibri" w:cs="Calibri"/>
          <w:color w:val="009649"/>
          <w:sz w:val="22"/>
          <w:szCs w:val="22"/>
        </w:rPr>
      </w:pPr>
      <w:r>
        <w:rPr>
          <w:rFonts w:ascii="Calibri" w:hAnsi="Calibri"/>
          <w:color w:val="000000"/>
          <w:sz w:val="22"/>
        </w:rPr>
        <w:t>Чи можливо реалізувати втручання?</w:t>
      </w:r>
    </w:p>
    <w:p w:rsidR="00ED665B" w:rsidRPr="00907702" w:rsidRDefault="006C7D2F" w:rsidP="00F43368">
      <w:pPr>
        <w:spacing w:before="168" w:line="216" w:lineRule="auto"/>
        <w:ind w:right="10"/>
        <w:jc w:val="both"/>
        <w:rPr>
          <w:rFonts w:ascii="Calibri" w:hAnsi="Calibri" w:cs="Calibri"/>
        </w:rPr>
      </w:pPr>
      <w:r>
        <w:rPr>
          <w:rFonts w:ascii="Calibri" w:hAnsi="Calibri"/>
          <w:color w:val="000000"/>
          <w:sz w:val="22"/>
        </w:rPr>
        <w:t>Синтез та аналіз якісних доказових даних щодо перспектив кінцевих користувачів обговорюються вище у розділі “Перспектива користувачів” для автоматизованих ТАНК помірної складності (стор. 73–77).</w:t>
      </w:r>
    </w:p>
    <w:p w:rsidR="00ED665B" w:rsidRPr="00636128" w:rsidRDefault="006C7D2F" w:rsidP="00F43368">
      <w:pPr>
        <w:spacing w:before="235" w:line="216" w:lineRule="auto"/>
        <w:jc w:val="both"/>
        <w:rPr>
          <w:rFonts w:ascii="Calibri" w:hAnsi="Calibri" w:cs="Calibri"/>
          <w:b/>
          <w:bCs/>
        </w:rPr>
      </w:pPr>
      <w:r>
        <w:rPr>
          <w:rFonts w:ascii="Calibri" w:hAnsi="Calibri"/>
          <w:b/>
          <w:color w:val="009649"/>
          <w:sz w:val="28"/>
        </w:rPr>
        <w:t>Висновки огляду та опитування</w:t>
      </w:r>
    </w:p>
    <w:p w:rsidR="00ED665B" w:rsidRPr="00907702" w:rsidRDefault="006C7D2F" w:rsidP="00F43368">
      <w:pPr>
        <w:spacing w:before="168" w:line="216" w:lineRule="auto"/>
        <w:ind w:right="5"/>
        <w:jc w:val="both"/>
        <w:rPr>
          <w:rFonts w:ascii="Calibri" w:hAnsi="Calibri" w:cs="Calibri"/>
        </w:rPr>
      </w:pPr>
      <w:r>
        <w:rPr>
          <w:rFonts w:ascii="Calibri" w:hAnsi="Calibri"/>
          <w:color w:val="000000"/>
          <w:sz w:val="22"/>
        </w:rPr>
        <w:t>Нижче наведені основні висновки систематичного огляду та опитування. Якщо є інформація щодо огляду, надається рівень достовірності у синтезі якісних доказів (СЯК); якщо інформацію отримано з опитувань, вказується «опитування».</w:t>
      </w:r>
    </w:p>
    <w:p w:rsidR="00ED665B" w:rsidRPr="00636128" w:rsidRDefault="006C7D2F" w:rsidP="00F43368">
      <w:pPr>
        <w:spacing w:before="163" w:line="216" w:lineRule="auto"/>
        <w:ind w:right="14"/>
        <w:jc w:val="both"/>
        <w:rPr>
          <w:rFonts w:ascii="Calibri" w:hAnsi="Calibri" w:cs="Calibri"/>
          <w:b/>
          <w:bCs/>
        </w:rPr>
      </w:pPr>
      <w:r>
        <w:rPr>
          <w:rFonts w:ascii="Calibri" w:hAnsi="Calibri"/>
          <w:b/>
          <w:color w:val="000000"/>
          <w:sz w:val="22"/>
        </w:rPr>
        <w:t>Чи є важлива невизначеність або різниця в тому, наскільки кінцеві користувачі оцінюють основні результати?</w:t>
      </w:r>
    </w:p>
    <w:p w:rsidR="00ED665B" w:rsidRPr="00907702" w:rsidRDefault="006C7D2F" w:rsidP="00F43368">
      <w:pPr>
        <w:tabs>
          <w:tab w:val="left" w:pos="240"/>
        </w:tabs>
        <w:spacing w:before="211" w:line="216" w:lineRule="auto"/>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b/>
          <w:color w:val="000000"/>
          <w:sz w:val="22"/>
        </w:rPr>
        <w:t>Пацієнти</w:t>
      </w:r>
      <w:r>
        <w:rPr>
          <w:rFonts w:ascii="Calibri" w:hAnsi="Calibri"/>
          <w:color w:val="000000"/>
          <w:sz w:val="22"/>
        </w:rPr>
        <w:t xml:space="preserve"> в умовах з високим тягарем ТБ:</w:t>
      </w:r>
    </w:p>
    <w:p w:rsidR="00ED665B" w:rsidRPr="00907702" w:rsidRDefault="00ED665B" w:rsidP="00DC2656">
      <w:pPr>
        <w:tabs>
          <w:tab w:val="left" w:pos="240"/>
        </w:tabs>
        <w:spacing w:before="211"/>
        <w:rPr>
          <w:rFonts w:ascii="Calibri" w:hAnsi="Calibri" w:cs="Calibri"/>
        </w:rPr>
        <w:sectPr w:rsidR="00ED665B" w:rsidRPr="00907702" w:rsidSect="00F43368">
          <w:pgSz w:w="11904" w:h="16838"/>
          <w:pgMar w:top="1334" w:right="1411" w:bottom="53" w:left="1416" w:header="720" w:footer="720" w:gutter="0"/>
          <w:cols w:space="60"/>
          <w:noEndnote/>
        </w:sectPr>
      </w:pPr>
    </w:p>
    <w:p w:rsidR="00636128" w:rsidRDefault="006C7D2F" w:rsidP="00636128">
      <w:pPr>
        <w:ind w:left="567" w:hanging="283"/>
        <w:rPr>
          <w:rFonts w:ascii="Calibri" w:hAnsi="Calibri" w:cs="Calibri"/>
          <w:color w:val="000000"/>
          <w:sz w:val="22"/>
          <w:szCs w:val="22"/>
        </w:rPr>
      </w:pPr>
      <w:r>
        <w:rPr>
          <w:rFonts w:ascii="Calibri" w:hAnsi="Calibri"/>
          <w:color w:val="009649"/>
          <w:sz w:val="22"/>
        </w:rPr>
        <w:lastRenderedPageBreak/>
        <w:t xml:space="preserve">– </w:t>
      </w:r>
      <w:r>
        <w:rPr>
          <w:rFonts w:ascii="Calibri" w:hAnsi="Calibri"/>
          <w:color w:val="009649"/>
          <w:sz w:val="22"/>
        </w:rPr>
        <w:tab/>
      </w:r>
      <w:r>
        <w:rPr>
          <w:rFonts w:ascii="Calibri" w:hAnsi="Calibri"/>
          <w:color w:val="000000"/>
          <w:sz w:val="22"/>
        </w:rPr>
        <w:t xml:space="preserve">встановлення точного діагнозу та завершення діагностики (нарешті поінформованість щодо питання: «що зі мною не так»); </w:t>
      </w:r>
    </w:p>
    <w:p w:rsidR="00636128" w:rsidRDefault="006C7D2F" w:rsidP="00636128">
      <w:pPr>
        <w:ind w:left="567" w:hanging="283"/>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уникнення діагностичних затримок, оскільки вони посилюють наявні фінансові труднощі та емоційні та фізичні страждання, а також викликають у пацієнтів почуття провини за зараження інших (особливо дітей); </w:t>
      </w:r>
    </w:p>
    <w:p w:rsidR="00636128" w:rsidRDefault="006C7D2F" w:rsidP="00636128">
      <w:pPr>
        <w:ind w:left="567" w:hanging="283"/>
        <w:rPr>
          <w:rFonts w:ascii="Calibri" w:hAnsi="Calibri" w:cs="Calibri"/>
          <w:color w:val="000000"/>
          <w:sz w:val="22"/>
          <w:szCs w:val="22"/>
        </w:rPr>
      </w:pPr>
      <w:r>
        <w:rPr>
          <w:rFonts w:ascii="Calibri" w:hAnsi="Calibri"/>
          <w:color w:val="009649"/>
          <w:sz w:val="22"/>
        </w:rPr>
        <w:t>–</w:t>
      </w:r>
      <w:r>
        <w:rPr>
          <w:rFonts w:ascii="Calibri" w:hAnsi="Calibri"/>
          <w:color w:val="009649"/>
          <w:sz w:val="22"/>
        </w:rPr>
        <w:tab/>
      </w:r>
      <w:r>
        <w:rPr>
          <w:rFonts w:ascii="Calibri" w:hAnsi="Calibri"/>
          <w:color w:val="000000"/>
          <w:sz w:val="22"/>
        </w:rPr>
        <w:t xml:space="preserve">наявність доступних приміщень; та </w:t>
      </w:r>
    </w:p>
    <w:p w:rsidR="00ED665B" w:rsidRPr="00907702" w:rsidRDefault="006C7D2F" w:rsidP="00636128">
      <w:pPr>
        <w:ind w:left="567" w:hanging="283"/>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зменшення витрат, пов’язаних з діагностикою (наприклад, подорожі, відсутність роботи), як важливих результатів діагностики.</w:t>
      </w:r>
    </w:p>
    <w:p w:rsidR="00ED665B" w:rsidRPr="00413839" w:rsidRDefault="006C7D2F" w:rsidP="00DC2656">
      <w:pPr>
        <w:ind w:left="542"/>
        <w:rPr>
          <w:rFonts w:ascii="Calibri" w:hAnsi="Calibri" w:cs="Calibri"/>
          <w:i/>
        </w:rPr>
      </w:pPr>
      <w:r w:rsidRPr="00413839">
        <w:rPr>
          <w:rFonts w:ascii="Calibri" w:hAnsi="Calibri"/>
          <w:i/>
          <w:color w:val="000000"/>
          <w:sz w:val="22"/>
        </w:rPr>
        <w:t>СЯК: помірна достовірність</w:t>
      </w:r>
    </w:p>
    <w:p w:rsidR="00ED665B" w:rsidRPr="00907702" w:rsidRDefault="006C7D2F" w:rsidP="00DC2656">
      <w:pPr>
        <w:tabs>
          <w:tab w:val="left" w:pos="240"/>
        </w:tabs>
        <w:ind w:left="240" w:right="5"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 xml:space="preserve">ТАНК високої складності на основі зворотної гібридизації відповідають деяким перевагам та цінностям </w:t>
      </w:r>
      <w:r>
        <w:rPr>
          <w:rFonts w:ascii="Calibri" w:hAnsi="Calibri"/>
          <w:b/>
          <w:color w:val="000000"/>
          <w:sz w:val="22"/>
        </w:rPr>
        <w:t>лабораторного</w:t>
      </w:r>
      <w:r>
        <w:rPr>
          <w:rFonts w:ascii="Calibri" w:hAnsi="Calibri"/>
          <w:color w:val="000000"/>
          <w:sz w:val="22"/>
        </w:rPr>
        <w:t xml:space="preserve"> </w:t>
      </w:r>
      <w:r>
        <w:rPr>
          <w:rFonts w:ascii="Calibri" w:hAnsi="Calibri"/>
          <w:b/>
          <w:color w:val="000000"/>
          <w:sz w:val="22"/>
        </w:rPr>
        <w:t>персоналу</w:t>
      </w:r>
      <w:r>
        <w:rPr>
          <w:rFonts w:ascii="Calibri" w:hAnsi="Calibri"/>
          <w:color w:val="000000"/>
          <w:sz w:val="22"/>
        </w:rPr>
        <w:t xml:space="preserve"> та </w:t>
      </w:r>
      <w:r>
        <w:rPr>
          <w:rFonts w:ascii="Calibri" w:hAnsi="Calibri"/>
          <w:b/>
          <w:color w:val="000000"/>
          <w:sz w:val="22"/>
        </w:rPr>
        <w:t>лікарів</w:t>
      </w:r>
      <w:r>
        <w:rPr>
          <w:rFonts w:ascii="Calibri" w:hAnsi="Calibri"/>
          <w:color w:val="000000"/>
          <w:sz w:val="22"/>
        </w:rPr>
        <w:t>, оскільки поточний тест:</w:t>
      </w:r>
    </w:p>
    <w:p w:rsidR="00636128" w:rsidRDefault="006C7D2F" w:rsidP="00636128">
      <w:pPr>
        <w:ind w:left="567" w:hanging="284"/>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дає більш швидкі результати щодо резистентності до піразинаміду, ніж інші доступні методи (наприклад, культуральний ТМЧ); </w:t>
      </w:r>
    </w:p>
    <w:p w:rsidR="00636128" w:rsidRDefault="006C7D2F" w:rsidP="00636128">
      <w:pPr>
        <w:ind w:left="567" w:hanging="284"/>
        <w:rPr>
          <w:rFonts w:ascii="Calibri" w:hAnsi="Calibri" w:cs="Calibri"/>
          <w:color w:val="000000"/>
          <w:sz w:val="22"/>
          <w:szCs w:val="22"/>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 xml:space="preserve">може надавати інформацію про різні рівні концентрації; та </w:t>
      </w:r>
    </w:p>
    <w:p w:rsidR="00ED665B" w:rsidRPr="00907702" w:rsidRDefault="006C7D2F" w:rsidP="00636128">
      <w:pPr>
        <w:ind w:left="567" w:hanging="284"/>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націлений на лікарський засіб, який широко використовується для лікування туберкульозу препаратами першого ряду.</w:t>
      </w:r>
    </w:p>
    <w:p w:rsidR="00ED665B" w:rsidRPr="00413839" w:rsidRDefault="006C7D2F" w:rsidP="00DC2656">
      <w:pPr>
        <w:ind w:left="542"/>
        <w:rPr>
          <w:rFonts w:ascii="Calibri" w:hAnsi="Calibri" w:cs="Calibri"/>
          <w:i/>
        </w:rPr>
      </w:pPr>
      <w:r w:rsidRPr="00413839">
        <w:rPr>
          <w:rFonts w:ascii="Calibri" w:hAnsi="Calibri"/>
          <w:i/>
          <w:color w:val="000000"/>
          <w:sz w:val="22"/>
        </w:rPr>
        <w:t>Опитування</w:t>
      </w:r>
    </w:p>
    <w:p w:rsidR="00ED665B" w:rsidRPr="00636128" w:rsidRDefault="006C7D2F" w:rsidP="00DC2656">
      <w:pPr>
        <w:spacing w:before="216"/>
        <w:rPr>
          <w:rFonts w:ascii="Calibri" w:hAnsi="Calibri" w:cs="Calibri"/>
          <w:b/>
          <w:bCs/>
        </w:rPr>
      </w:pPr>
      <w:r>
        <w:rPr>
          <w:rFonts w:ascii="Calibri" w:hAnsi="Calibri"/>
          <w:b/>
          <w:color w:val="000000"/>
          <w:sz w:val="22"/>
        </w:rPr>
        <w:t>Яким би був вплив на рівність у питанні надання послуг у сфері охорони здоров’я?</w:t>
      </w:r>
    </w:p>
    <w:p w:rsidR="00ED665B" w:rsidRPr="00907702" w:rsidRDefault="006C7D2F" w:rsidP="00DC2656">
      <w:pPr>
        <w:spacing w:before="178"/>
        <w:rPr>
          <w:rFonts w:ascii="Calibri" w:hAnsi="Calibri" w:cs="Calibri"/>
        </w:rPr>
      </w:pPr>
      <w:r>
        <w:rPr>
          <w:rFonts w:ascii="Calibri" w:hAnsi="Calibri"/>
          <w:color w:val="000000"/>
          <w:sz w:val="22"/>
        </w:rPr>
        <w:t>Вплив на рівність у питанні надання послуг у сфері охорони здоров’я буде подібним до впливу автоматизованих ТАНК помірної складності (Розділ 2.5.3), а також:</w:t>
      </w:r>
    </w:p>
    <w:p w:rsidR="00ED665B" w:rsidRPr="00907702" w:rsidRDefault="006C7D2F" w:rsidP="00DC2656">
      <w:pPr>
        <w:tabs>
          <w:tab w:val="left" w:pos="240"/>
        </w:tabs>
        <w:spacing w:before="77"/>
        <w:ind w:left="240" w:right="5"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Тривалі затримки з діагностикою, недостатнє використання можливостей діагностики, відсутність засобів діагностики туберкульозу на нижчих рівнях та занадто багато обмежень щодо відповідності вимогам перешкоджають доступу до оперативного та точного обстеження та лікування, особливо для вразливих груп.</w:t>
      </w:r>
    </w:p>
    <w:p w:rsidR="00ED665B" w:rsidRPr="00413839" w:rsidRDefault="006C7D2F" w:rsidP="00DC2656">
      <w:pPr>
        <w:ind w:left="240"/>
        <w:rPr>
          <w:rFonts w:ascii="Calibri" w:hAnsi="Calibri" w:cs="Calibri"/>
          <w:i/>
        </w:rPr>
      </w:pPr>
      <w:r w:rsidRPr="00413839">
        <w:rPr>
          <w:rFonts w:ascii="Calibri" w:hAnsi="Calibri"/>
          <w:i/>
          <w:color w:val="000000"/>
          <w:sz w:val="22"/>
        </w:rPr>
        <w:t>СЯК: висока достовірність</w:t>
      </w:r>
    </w:p>
    <w:p w:rsidR="00ED665B" w:rsidRPr="00907702" w:rsidRDefault="006C7D2F" w:rsidP="00DC2656">
      <w:pPr>
        <w:ind w:left="240"/>
        <w:rPr>
          <w:rFonts w:ascii="Calibri" w:hAnsi="Calibri" w:cs="Calibri"/>
        </w:rPr>
      </w:pPr>
      <w:r>
        <w:rPr>
          <w:rFonts w:ascii="Calibri" w:hAnsi="Calibri"/>
          <w:color w:val="000000"/>
          <w:sz w:val="22"/>
        </w:rPr>
        <w:t>Застосування трьох індексних тестів також підтверджено в ході опитування</w:t>
      </w:r>
    </w:p>
    <w:p w:rsidR="00413839" w:rsidRPr="00413839" w:rsidRDefault="00640824"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 xml:space="preserve">Персонал та менеджери висловили стурбованість щодо сталості фінансування та обслуговування, складний конфлікт інтересів між донорами та виконавцями, а також стратегічне та справедливе використання ресурсів, що ускладнює забезпечення справедливого доступу до діагностики тестами на основі картриджів. </w:t>
      </w:r>
    </w:p>
    <w:p w:rsidR="00ED665B" w:rsidRPr="00413839" w:rsidRDefault="00640824" w:rsidP="00413839">
      <w:pPr>
        <w:tabs>
          <w:tab w:val="left" w:pos="240"/>
        </w:tabs>
        <w:ind w:left="240" w:right="5"/>
        <w:jc w:val="both"/>
        <w:rPr>
          <w:rFonts w:ascii="Calibri" w:hAnsi="Calibri" w:cs="Calibri"/>
          <w:i/>
          <w:color w:val="009649"/>
          <w:sz w:val="22"/>
          <w:szCs w:val="22"/>
        </w:rPr>
      </w:pPr>
      <w:r w:rsidRPr="00413839">
        <w:rPr>
          <w:rFonts w:ascii="Calibri" w:hAnsi="Calibri"/>
          <w:i/>
          <w:color w:val="000000"/>
          <w:sz w:val="22"/>
        </w:rPr>
        <w:t>СЯК: висока достовірність</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Для пацієнтів доступ до чіткої, зрозумілої та надійної інформації щодо того, які засоби діагностики туберкульозу доступні для них та того, як інтерпретувати результати, є життєво важливою складовою рівності, а відсутність такого доступу є серйозним бар’єром.</w:t>
      </w:r>
    </w:p>
    <w:p w:rsidR="00ED665B" w:rsidRPr="00413839" w:rsidRDefault="006C7D2F" w:rsidP="00DC2656">
      <w:pPr>
        <w:ind w:left="240"/>
        <w:rPr>
          <w:rFonts w:ascii="Calibri" w:hAnsi="Calibri" w:cs="Calibri"/>
          <w:i/>
        </w:rPr>
      </w:pPr>
      <w:r w:rsidRPr="00413839">
        <w:rPr>
          <w:rFonts w:ascii="Calibri" w:hAnsi="Calibri"/>
          <w:i/>
          <w:color w:val="000000"/>
          <w:sz w:val="22"/>
        </w:rPr>
        <w:t>Опитування</w:t>
      </w:r>
    </w:p>
    <w:p w:rsidR="00ED665B" w:rsidRPr="00907702" w:rsidRDefault="006C7D2F" w:rsidP="00DC2656">
      <w:pPr>
        <w:tabs>
          <w:tab w:val="left" w:pos="240"/>
        </w:tabs>
        <w:ind w:left="240" w:right="5"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Нові варіанти лікування повинні узгоджуватися з новою діагностикою: важливо покращити доступ до лікування на основі нової діагностики та покращити доступ до діагностики для нових варіантів лікування.</w:t>
      </w:r>
    </w:p>
    <w:p w:rsidR="00ED665B" w:rsidRPr="00413839" w:rsidRDefault="006C7D2F" w:rsidP="00DC2656">
      <w:pPr>
        <w:ind w:left="240"/>
        <w:rPr>
          <w:rFonts w:ascii="Calibri" w:hAnsi="Calibri" w:cs="Calibri"/>
          <w:i/>
        </w:rPr>
      </w:pPr>
      <w:r w:rsidRPr="00413839">
        <w:rPr>
          <w:rFonts w:ascii="Calibri" w:hAnsi="Calibri"/>
          <w:i/>
          <w:color w:val="000000"/>
          <w:sz w:val="22"/>
        </w:rPr>
        <w:t>Опитування</w:t>
      </w:r>
    </w:p>
    <w:p w:rsidR="00ED665B" w:rsidRPr="00907702" w:rsidRDefault="006C7D2F" w:rsidP="00DC2656">
      <w:pPr>
        <w:tabs>
          <w:tab w:val="left" w:pos="240"/>
        </w:tabs>
        <w:ind w:left="240" w:right="5" w:hanging="240"/>
        <w:jc w:val="both"/>
        <w:rPr>
          <w:rFonts w:ascii="Calibri" w:hAnsi="Calibri" w:cs="Calibri"/>
        </w:rPr>
      </w:pPr>
      <w:r>
        <w:rPr>
          <w:rFonts w:ascii="Calibri" w:hAnsi="Calibri"/>
          <w:color w:val="009649"/>
          <w:sz w:val="22"/>
        </w:rPr>
        <w:t>•</w:t>
      </w:r>
      <w:r>
        <w:rPr>
          <w:rFonts w:ascii="Calibri" w:hAnsi="Calibri"/>
          <w:color w:val="009649"/>
          <w:sz w:val="22"/>
        </w:rPr>
        <w:tab/>
      </w:r>
      <w:r>
        <w:rPr>
          <w:rFonts w:ascii="Calibri" w:hAnsi="Calibri"/>
          <w:color w:val="000000"/>
          <w:sz w:val="22"/>
        </w:rPr>
        <w:t>Швидкість, з якою змінюються настанови ВООЗ, не відповідають швидкості, з якою багато національних програм можуть реалізувати такі настанови. Це означає різний доступ до нової діагностики та лікування туберкульозу:</w:t>
      </w:r>
    </w:p>
    <w:p w:rsidR="00ED665B" w:rsidRPr="00907702" w:rsidRDefault="006C7D2F" w:rsidP="00DC2656">
      <w:pPr>
        <w:ind w:left="542" w:hanging="259"/>
        <w:rPr>
          <w:rFonts w:ascii="Calibri" w:hAnsi="Calibri" w:cs="Calibri"/>
        </w:rPr>
      </w:pPr>
      <w:r>
        <w:rPr>
          <w:rFonts w:ascii="Calibri" w:hAnsi="Calibri"/>
          <w:color w:val="009649"/>
          <w:sz w:val="22"/>
        </w:rPr>
        <w:t xml:space="preserve">– </w:t>
      </w:r>
      <w:r>
        <w:rPr>
          <w:rFonts w:ascii="Calibri" w:hAnsi="Calibri"/>
          <w:color w:val="009649"/>
          <w:sz w:val="22"/>
        </w:rPr>
        <w:tab/>
      </w:r>
      <w:r>
        <w:rPr>
          <w:rFonts w:ascii="Calibri" w:hAnsi="Calibri"/>
          <w:color w:val="000000"/>
          <w:sz w:val="22"/>
        </w:rPr>
        <w:t>між країнами (тобто між тими, які можуть і тими, які не можуть швидко відреагувати на швидко мінливі умови діагностики туберкульозу); та</w:t>
      </w:r>
    </w:p>
    <w:p w:rsidR="00ED665B" w:rsidRPr="00907702" w:rsidRDefault="00ED665B" w:rsidP="00DC2656">
      <w:pPr>
        <w:ind w:left="542" w:hanging="259"/>
        <w:rPr>
          <w:rFonts w:ascii="Calibri" w:hAnsi="Calibri" w:cs="Calibri"/>
        </w:rPr>
        <w:sectPr w:rsidR="00ED665B" w:rsidRPr="00907702">
          <w:pgSz w:w="11904" w:h="16838"/>
          <w:pgMar w:top="1339" w:right="1411" w:bottom="1954" w:left="1416" w:header="720" w:footer="720" w:gutter="0"/>
          <w:cols w:space="60"/>
          <w:noEndnote/>
        </w:sectPr>
      </w:pPr>
    </w:p>
    <w:p w:rsidR="00413839" w:rsidRDefault="006C7D2F" w:rsidP="00BE6F5B">
      <w:pPr>
        <w:spacing w:line="216" w:lineRule="auto"/>
        <w:ind w:left="542" w:hanging="259"/>
        <w:jc w:val="both"/>
        <w:rPr>
          <w:rFonts w:ascii="Calibri" w:hAnsi="Calibri"/>
          <w:color w:val="000000"/>
          <w:sz w:val="22"/>
        </w:rPr>
      </w:pPr>
      <w:r>
        <w:rPr>
          <w:rFonts w:ascii="Calibri" w:hAnsi="Calibri"/>
          <w:color w:val="009649"/>
          <w:sz w:val="22"/>
        </w:rPr>
        <w:lastRenderedPageBreak/>
        <w:t xml:space="preserve">– </w:t>
      </w:r>
      <w:r>
        <w:rPr>
          <w:rFonts w:ascii="Calibri" w:hAnsi="Calibri"/>
          <w:color w:val="009649"/>
          <w:sz w:val="22"/>
        </w:rPr>
        <w:tab/>
      </w:r>
      <w:r>
        <w:rPr>
          <w:rFonts w:ascii="Calibri" w:hAnsi="Calibri"/>
          <w:color w:val="000000"/>
          <w:sz w:val="22"/>
        </w:rPr>
        <w:t xml:space="preserve">у межах країн (тобто між пацієнтами, які можуть і не можуть отримати доступ до приватної системи охорони здоров’я, яка краще обладнана для швидкого впровадження нової діагностики та політик). </w:t>
      </w:r>
    </w:p>
    <w:p w:rsidR="00ED665B" w:rsidRPr="00413839" w:rsidRDefault="006C7D2F" w:rsidP="00413839">
      <w:pPr>
        <w:spacing w:line="216" w:lineRule="auto"/>
        <w:ind w:left="510" w:firstLine="25"/>
        <w:rPr>
          <w:rFonts w:ascii="Calibri" w:hAnsi="Calibri" w:cs="Calibri"/>
          <w:i/>
        </w:rPr>
      </w:pPr>
      <w:r w:rsidRPr="00413839">
        <w:rPr>
          <w:rFonts w:ascii="Calibri" w:hAnsi="Calibri"/>
          <w:i/>
          <w:color w:val="000000"/>
          <w:sz w:val="22"/>
        </w:rPr>
        <w:t>Опитування</w:t>
      </w:r>
    </w:p>
    <w:p w:rsidR="00ED665B" w:rsidRPr="00636128" w:rsidRDefault="006C7D2F" w:rsidP="00413839">
      <w:pPr>
        <w:spacing w:before="216" w:line="216" w:lineRule="auto"/>
        <w:rPr>
          <w:rFonts w:ascii="Calibri" w:hAnsi="Calibri" w:cs="Calibri"/>
          <w:b/>
          <w:bCs/>
        </w:rPr>
      </w:pPr>
      <w:r>
        <w:rPr>
          <w:rFonts w:ascii="Calibri" w:hAnsi="Calibri"/>
          <w:b/>
          <w:color w:val="000000"/>
          <w:sz w:val="22"/>
        </w:rPr>
        <w:t>Чи є втручання прийнятним для ключових зацікавлених сторін?</w:t>
      </w:r>
    </w:p>
    <w:p w:rsidR="00ED665B" w:rsidRPr="00907702" w:rsidRDefault="006C7D2F" w:rsidP="00413839">
      <w:pPr>
        <w:numPr>
          <w:ilvl w:val="0"/>
          <w:numId w:val="2"/>
        </w:numPr>
        <w:tabs>
          <w:tab w:val="left" w:pos="240"/>
        </w:tabs>
        <w:spacing w:before="182" w:line="216" w:lineRule="auto"/>
        <w:ind w:left="240" w:right="5" w:hanging="240"/>
        <w:jc w:val="both"/>
        <w:rPr>
          <w:rFonts w:ascii="Calibri" w:hAnsi="Calibri" w:cs="Calibri"/>
          <w:color w:val="009649"/>
          <w:sz w:val="22"/>
          <w:szCs w:val="22"/>
        </w:rPr>
      </w:pPr>
      <w:r>
        <w:rPr>
          <w:rFonts w:ascii="Calibri" w:hAnsi="Calibri"/>
          <w:color w:val="000000"/>
          <w:sz w:val="22"/>
        </w:rPr>
        <w:t>Прийнятність ТАНК високої складності на основі зворотної гібридизації залежить від того, наскільки гарні результати демонструє тест на різних зразках, оскільки співробітники лабораторії ставлять під сумнів, наскільки добре методи LPA працюють на зразках, мазок яких виявився негативним. Якщо перед початком LPA на піразинамід зразки потрібно культивувати, це може підірвати переваги більш швидкого періоду реалізації цього методу порівняно з фенотипічним ТМЧ до піразинаміду. Прийнятність також залежить від того, наскільки добре тест дійсно виявляє мутації, специфічні для резистентності до піразинаміду; у деяких ситуаціях клініцисти та лабораторний персонал можуть вимагати додаткових роз’яснень та обґрунтування, чому цьому конкретному тесту медикаментозної чутливості надається пріоритет, враховуючи, що наразі він не є елементом звичайного ТМЧ.</w:t>
      </w:r>
    </w:p>
    <w:p w:rsidR="00413839" w:rsidRPr="00413839" w:rsidRDefault="00907702" w:rsidP="00413839">
      <w:pPr>
        <w:numPr>
          <w:ilvl w:val="0"/>
          <w:numId w:val="2"/>
        </w:numPr>
        <w:tabs>
          <w:tab w:val="left" w:pos="240"/>
        </w:tabs>
        <w:spacing w:line="216" w:lineRule="auto"/>
        <w:ind w:left="240" w:hanging="240"/>
        <w:jc w:val="both"/>
        <w:rPr>
          <w:rFonts w:ascii="Calibri" w:hAnsi="Calibri" w:cs="Calibri"/>
          <w:color w:val="009649"/>
          <w:sz w:val="22"/>
          <w:szCs w:val="22"/>
        </w:rPr>
      </w:pPr>
      <w:r>
        <w:rPr>
          <w:rFonts w:ascii="Calibri" w:hAnsi="Calibri"/>
          <w:color w:val="000000"/>
          <w:sz w:val="22"/>
        </w:rPr>
        <w:t xml:space="preserve">Конкретні техніко-економічні обставини (вимоги щодо підготовки та інфраструктури, система інтерпретації якісних результатів тестування зразків), загальні техніко-економічні проблеми (як визначено у дослідженні під час опитування та СЯК відповідно) та накопичені затримки можуть становити ризик щодо скасування додаткових плюсів та переваг, визначених користувачами (наприклад, уникнення затримок та інформації про </w:t>
      </w:r>
      <w:r w:rsidR="00413839">
        <w:rPr>
          <w:rFonts w:ascii="Calibri" w:hAnsi="Calibri"/>
          <w:color w:val="000000"/>
          <w:sz w:val="22"/>
        </w:rPr>
        <w:t>медикаментозну резистентність).</w:t>
      </w:r>
    </w:p>
    <w:p w:rsidR="00ED665B" w:rsidRPr="00413839" w:rsidRDefault="00907702" w:rsidP="00413839">
      <w:pPr>
        <w:tabs>
          <w:tab w:val="left" w:pos="240"/>
        </w:tabs>
        <w:spacing w:line="216" w:lineRule="auto"/>
        <w:ind w:left="240"/>
        <w:jc w:val="both"/>
        <w:rPr>
          <w:rFonts w:ascii="Calibri" w:hAnsi="Calibri" w:cs="Calibri"/>
          <w:i/>
          <w:color w:val="009649"/>
          <w:sz w:val="22"/>
          <w:szCs w:val="22"/>
        </w:rPr>
      </w:pPr>
      <w:r w:rsidRPr="00413839">
        <w:rPr>
          <w:rFonts w:ascii="Calibri" w:hAnsi="Calibri"/>
          <w:i/>
          <w:color w:val="000000"/>
          <w:sz w:val="22"/>
        </w:rPr>
        <w:t>СЯК: висока достовірність та опитування</w:t>
      </w:r>
    </w:p>
    <w:p w:rsidR="00ED665B" w:rsidRPr="00636128" w:rsidRDefault="006C7D2F" w:rsidP="00413839">
      <w:pPr>
        <w:spacing w:before="221" w:line="216" w:lineRule="auto"/>
        <w:rPr>
          <w:rFonts w:ascii="Calibri" w:hAnsi="Calibri" w:cs="Calibri"/>
          <w:b/>
          <w:bCs/>
        </w:rPr>
      </w:pPr>
      <w:r>
        <w:rPr>
          <w:rFonts w:ascii="Calibri" w:hAnsi="Calibri"/>
          <w:b/>
          <w:color w:val="000000"/>
          <w:sz w:val="22"/>
        </w:rPr>
        <w:t>Чи можливо реалізувати втручання?</w:t>
      </w:r>
    </w:p>
    <w:p w:rsidR="00413839" w:rsidRDefault="006C7D2F" w:rsidP="00413839">
      <w:pPr>
        <w:tabs>
          <w:tab w:val="left" w:pos="240"/>
        </w:tabs>
        <w:spacing w:before="182" w:line="216" w:lineRule="auto"/>
        <w:ind w:left="240" w:right="10" w:hanging="240"/>
        <w:jc w:val="both"/>
        <w:rPr>
          <w:rFonts w:ascii="Calibri" w:hAnsi="Calibri"/>
          <w:color w:val="000000"/>
          <w:sz w:val="22"/>
        </w:rPr>
      </w:pPr>
      <w:r>
        <w:rPr>
          <w:rFonts w:ascii="Calibri" w:hAnsi="Calibri"/>
          <w:color w:val="009649"/>
          <w:sz w:val="22"/>
        </w:rPr>
        <w:t>•</w:t>
      </w:r>
      <w:r>
        <w:rPr>
          <w:rFonts w:ascii="Calibri" w:hAnsi="Calibri"/>
          <w:color w:val="009649"/>
          <w:sz w:val="22"/>
        </w:rPr>
        <w:tab/>
      </w:r>
      <w:r>
        <w:rPr>
          <w:rFonts w:ascii="Calibri" w:hAnsi="Calibri"/>
          <w:color w:val="000000"/>
          <w:sz w:val="22"/>
        </w:rPr>
        <w:t xml:space="preserve">Доцільність впровадження LPA на піразинамід ставиться під сумнів через потреби у значній підготовці та лабораторній інфраструктурі, необхідної для впровадження цього методу. Доцільність також залежить від наявності автоматизованої системи інтерпретації, оскільки результат важко інтерпретувати. </w:t>
      </w:r>
    </w:p>
    <w:p w:rsidR="00ED665B" w:rsidRPr="00413839" w:rsidRDefault="006C7D2F" w:rsidP="00413839">
      <w:pPr>
        <w:tabs>
          <w:tab w:val="left" w:pos="240"/>
        </w:tabs>
        <w:spacing w:line="216" w:lineRule="auto"/>
        <w:ind w:left="240" w:right="10" w:firstLine="12"/>
        <w:jc w:val="both"/>
        <w:rPr>
          <w:rFonts w:ascii="Calibri" w:hAnsi="Calibri" w:cs="Calibri"/>
          <w:i/>
        </w:rPr>
      </w:pPr>
      <w:r w:rsidRPr="00413839">
        <w:rPr>
          <w:rFonts w:ascii="Calibri" w:hAnsi="Calibri"/>
          <w:i/>
          <w:color w:val="000000"/>
          <w:sz w:val="22"/>
        </w:rPr>
        <w:t>Опитування</w:t>
      </w:r>
    </w:p>
    <w:p w:rsidR="00ED665B" w:rsidRPr="00636128" w:rsidRDefault="006C7D2F" w:rsidP="00413839">
      <w:pPr>
        <w:spacing w:before="230" w:line="216" w:lineRule="auto"/>
        <w:rPr>
          <w:rFonts w:ascii="Calibri" w:hAnsi="Calibri" w:cs="Calibri"/>
          <w:b/>
          <w:bCs/>
        </w:rPr>
      </w:pPr>
      <w:r>
        <w:rPr>
          <w:rFonts w:ascii="Calibri" w:hAnsi="Calibri"/>
          <w:b/>
          <w:color w:val="009649"/>
          <w:sz w:val="28"/>
        </w:rPr>
        <w:t>Рекомендації щодо впровадження</w:t>
      </w:r>
    </w:p>
    <w:p w:rsidR="00ED665B" w:rsidRPr="00907702" w:rsidRDefault="006C7D2F" w:rsidP="00413839">
      <w:pPr>
        <w:spacing w:before="163" w:line="216" w:lineRule="auto"/>
        <w:rPr>
          <w:rFonts w:ascii="Calibri" w:hAnsi="Calibri" w:cs="Calibri"/>
        </w:rPr>
      </w:pPr>
      <w:r>
        <w:rPr>
          <w:rFonts w:ascii="Calibri" w:hAnsi="Calibri"/>
          <w:color w:val="000000"/>
          <w:sz w:val="22"/>
        </w:rPr>
        <w:t>Фактори, які слід враховувати при впровадженні ТАНК високої складності на основі гібридизації для виявлення резистентності до піразинаміду:</w:t>
      </w:r>
    </w:p>
    <w:p w:rsidR="00ED665B" w:rsidRPr="00907702" w:rsidRDefault="006C7D2F" w:rsidP="00413839">
      <w:pPr>
        <w:numPr>
          <w:ilvl w:val="0"/>
          <w:numId w:val="2"/>
        </w:numPr>
        <w:tabs>
          <w:tab w:val="left" w:pos="240"/>
        </w:tabs>
        <w:spacing w:before="82" w:line="216" w:lineRule="auto"/>
        <w:ind w:left="240" w:right="5" w:hanging="240"/>
        <w:jc w:val="both"/>
        <w:rPr>
          <w:rFonts w:ascii="Calibri" w:hAnsi="Calibri" w:cs="Calibri"/>
          <w:color w:val="009649"/>
          <w:sz w:val="22"/>
          <w:szCs w:val="22"/>
        </w:rPr>
      </w:pPr>
      <w:r>
        <w:rPr>
          <w:rFonts w:ascii="Calibri" w:hAnsi="Calibri"/>
          <w:color w:val="000000"/>
          <w:sz w:val="22"/>
        </w:rPr>
        <w:t>Важко зчитати результат методу ТАНК високої складності на основі зворотної гібридизації. Велика кількість діапазонів ускладнює зчитування результатів ТАНК високої складності на основі гібридизації.</w:t>
      </w:r>
    </w:p>
    <w:p w:rsidR="00ED665B" w:rsidRPr="00907702" w:rsidRDefault="006C7D2F" w:rsidP="00413839">
      <w:pPr>
        <w:numPr>
          <w:ilvl w:val="0"/>
          <w:numId w:val="2"/>
        </w:numPr>
        <w:tabs>
          <w:tab w:val="left" w:pos="240"/>
        </w:tabs>
        <w:spacing w:line="216" w:lineRule="auto"/>
        <w:ind w:left="240" w:right="5" w:hanging="240"/>
        <w:jc w:val="both"/>
        <w:rPr>
          <w:rFonts w:ascii="Calibri" w:hAnsi="Calibri" w:cs="Calibri"/>
          <w:color w:val="009649"/>
          <w:sz w:val="22"/>
          <w:szCs w:val="22"/>
        </w:rPr>
      </w:pPr>
      <w:r>
        <w:rPr>
          <w:rFonts w:ascii="Calibri" w:hAnsi="Calibri"/>
          <w:color w:val="000000"/>
          <w:sz w:val="22"/>
        </w:rPr>
        <w:t>Місцеві епідеміологічні дані щодо поширеності резистентності повинні засновуватись на алгоритмах місцевого тестування, в той час як ймовірність попереднього тестування важлива для клінічної інтерпретації результатів випробувань.</w:t>
      </w:r>
    </w:p>
    <w:p w:rsidR="00ED665B" w:rsidRPr="00907702" w:rsidRDefault="006C7D2F" w:rsidP="00413839">
      <w:pPr>
        <w:numPr>
          <w:ilvl w:val="0"/>
          <w:numId w:val="2"/>
        </w:numPr>
        <w:tabs>
          <w:tab w:val="left" w:pos="240"/>
        </w:tabs>
        <w:spacing w:line="216" w:lineRule="auto"/>
        <w:ind w:left="240" w:right="5" w:hanging="240"/>
        <w:jc w:val="both"/>
        <w:rPr>
          <w:rFonts w:ascii="Calibri" w:hAnsi="Calibri" w:cs="Calibri"/>
          <w:color w:val="009649"/>
          <w:sz w:val="22"/>
          <w:szCs w:val="22"/>
        </w:rPr>
      </w:pPr>
      <w:r>
        <w:rPr>
          <w:rFonts w:ascii="Calibri" w:hAnsi="Calibri"/>
          <w:color w:val="000000"/>
          <w:sz w:val="22"/>
        </w:rPr>
        <w:t>Вартість тесту змінюється в залежності від кількості зразків у партії, часу роботи персоналу та інших параметрів, що вимагають виконання місцевих операцій з визначення витрат.</w:t>
      </w:r>
    </w:p>
    <w:p w:rsidR="00ED665B" w:rsidRPr="00907702" w:rsidRDefault="006C7D2F" w:rsidP="00413839">
      <w:pPr>
        <w:numPr>
          <w:ilvl w:val="0"/>
          <w:numId w:val="2"/>
        </w:numPr>
        <w:tabs>
          <w:tab w:val="left" w:pos="240"/>
        </w:tabs>
        <w:spacing w:line="216" w:lineRule="auto"/>
        <w:ind w:left="240" w:right="14" w:hanging="240"/>
        <w:jc w:val="both"/>
        <w:rPr>
          <w:rFonts w:ascii="Calibri" w:hAnsi="Calibri" w:cs="Calibri"/>
          <w:color w:val="009649"/>
          <w:sz w:val="22"/>
          <w:szCs w:val="22"/>
        </w:rPr>
      </w:pPr>
      <w:r>
        <w:rPr>
          <w:rFonts w:ascii="Calibri" w:hAnsi="Calibri"/>
          <w:color w:val="000000"/>
          <w:sz w:val="22"/>
        </w:rPr>
        <w:t>Тести низької, помірної та високої складності демонструють послідовне збільшення потреб щодо технічної компетентності (кваліфікації та навичок) та часу персоналу, що впливає на планування та складання бюджету.</w:t>
      </w:r>
    </w:p>
    <w:p w:rsidR="00ED665B" w:rsidRPr="00907702" w:rsidRDefault="006C7D2F" w:rsidP="00413839">
      <w:pPr>
        <w:numPr>
          <w:ilvl w:val="0"/>
          <w:numId w:val="2"/>
        </w:numPr>
        <w:tabs>
          <w:tab w:val="left" w:pos="240"/>
        </w:tabs>
        <w:spacing w:line="216" w:lineRule="auto"/>
        <w:ind w:left="240" w:right="5" w:hanging="240"/>
        <w:jc w:val="both"/>
        <w:rPr>
          <w:rFonts w:ascii="Calibri" w:hAnsi="Calibri" w:cs="Calibri"/>
          <w:color w:val="009649"/>
          <w:sz w:val="22"/>
          <w:szCs w:val="22"/>
        </w:rPr>
      </w:pPr>
      <w:r>
        <w:rPr>
          <w:rFonts w:ascii="Calibri" w:hAnsi="Calibri"/>
          <w:color w:val="000000"/>
          <w:sz w:val="22"/>
        </w:rPr>
        <w:t>При виборі медичного закладу слід враховувати наявність, а також своєчасність послуг місцевих служб підтримки та технічного обслуговування.</w:t>
      </w:r>
    </w:p>
    <w:p w:rsidR="00ED665B" w:rsidRPr="00907702" w:rsidRDefault="006C7D2F" w:rsidP="00413839">
      <w:pPr>
        <w:numPr>
          <w:ilvl w:val="0"/>
          <w:numId w:val="2"/>
        </w:numPr>
        <w:tabs>
          <w:tab w:val="left" w:pos="240"/>
        </w:tabs>
        <w:spacing w:line="216" w:lineRule="auto"/>
        <w:ind w:left="240" w:right="5" w:hanging="240"/>
        <w:jc w:val="both"/>
        <w:rPr>
          <w:rFonts w:ascii="Calibri" w:hAnsi="Calibri" w:cs="Calibri"/>
          <w:color w:val="009649"/>
          <w:sz w:val="22"/>
          <w:szCs w:val="22"/>
        </w:rPr>
      </w:pPr>
      <w:r>
        <w:rPr>
          <w:rFonts w:ascii="Calibri" w:hAnsi="Calibri"/>
          <w:color w:val="000000"/>
          <w:sz w:val="22"/>
        </w:rPr>
        <w:t>Акредитація лабораторії та відповідність надійній системі управління якістю (зокрема відповідний контроль якості) мають важливе значення для постійної досконалості та довіри до послуг.</w:t>
      </w:r>
    </w:p>
    <w:p w:rsidR="00ED665B" w:rsidRPr="00907702" w:rsidRDefault="006C7D2F" w:rsidP="00413839">
      <w:pPr>
        <w:numPr>
          <w:ilvl w:val="0"/>
          <w:numId w:val="2"/>
        </w:numPr>
        <w:tabs>
          <w:tab w:val="left" w:pos="240"/>
        </w:tabs>
        <w:spacing w:line="216" w:lineRule="auto"/>
        <w:ind w:left="240" w:right="14" w:hanging="240"/>
        <w:jc w:val="both"/>
        <w:rPr>
          <w:rFonts w:ascii="Calibri" w:hAnsi="Calibri" w:cs="Calibri"/>
          <w:color w:val="009649"/>
          <w:sz w:val="22"/>
          <w:szCs w:val="22"/>
        </w:rPr>
      </w:pPr>
      <w:r>
        <w:rPr>
          <w:rFonts w:ascii="Calibri" w:hAnsi="Calibri"/>
          <w:color w:val="000000"/>
          <w:sz w:val="22"/>
        </w:rPr>
        <w:t>Необхідність навчання як лабораторного, так і клінічного персоналу для забезпечення ефективного надання послуг та клінічного впливу.</w:t>
      </w:r>
    </w:p>
    <w:p w:rsidR="00ED665B" w:rsidRPr="00907702" w:rsidRDefault="00ED665B" w:rsidP="00DC2656">
      <w:pPr>
        <w:numPr>
          <w:ilvl w:val="0"/>
          <w:numId w:val="2"/>
        </w:numPr>
        <w:tabs>
          <w:tab w:val="left" w:pos="240"/>
        </w:tabs>
        <w:ind w:left="240" w:right="14" w:hanging="240"/>
        <w:jc w:val="both"/>
        <w:rPr>
          <w:rFonts w:ascii="Calibri" w:hAnsi="Calibri" w:cs="Calibri"/>
          <w:color w:val="009649"/>
          <w:sz w:val="22"/>
          <w:szCs w:val="22"/>
        </w:rPr>
        <w:sectPr w:rsidR="00ED665B" w:rsidRPr="00907702">
          <w:pgSz w:w="11904" w:h="16838"/>
          <w:pgMar w:top="1339" w:right="1411" w:bottom="1522" w:left="1416" w:header="720" w:footer="720" w:gutter="0"/>
          <w:cols w:space="60"/>
          <w:noEndnote/>
        </w:sectPr>
      </w:pP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lastRenderedPageBreak/>
        <w:t>Заохочується використання рішень для зв’язку для передачі результатів, для підвищення ефективності надання послуг та скорочення часу до початку лікування.</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 xml:space="preserve">За даними багатонаціонального популяційного дослідження, рівень резистентності до піразинаміду сильно змінювався в обстежених умовах (3,0–42,1%). За всіх умов резистентність до піразинаміду була значною мірою пов’язана з резистентністю до рифампіцину </w:t>
      </w:r>
      <w:r w:rsidRPr="00413839">
        <w:rPr>
          <w:rFonts w:ascii="Calibri" w:hAnsi="Calibri"/>
          <w:i/>
          <w:color w:val="000000"/>
          <w:sz w:val="22"/>
        </w:rPr>
        <w:t>(49)</w:t>
      </w:r>
      <w:r>
        <w:rPr>
          <w:rFonts w:ascii="Calibri" w:hAnsi="Calibri"/>
          <w:color w:val="000000"/>
          <w:sz w:val="22"/>
        </w:rPr>
        <w:t>.</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Для впровадження ТАНК високої складності потрібні лабораторії з необхідною інфраструктурою, простором та ефективними системами транспортування зразків.</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Оскільки декілька кроків потрібно робити вручну, існує потреба у добре навченому персоналі для проведення аналізів та обслуговування інструментів. Для читання патернів на смужці потрібна спеціальна підготовка та досвід.</w:t>
      </w:r>
    </w:p>
    <w:p w:rsidR="00ED665B" w:rsidRPr="00636128" w:rsidRDefault="006C7D2F" w:rsidP="00DC2656">
      <w:pPr>
        <w:spacing w:before="230"/>
        <w:rPr>
          <w:rFonts w:ascii="Calibri" w:hAnsi="Calibri" w:cs="Calibri"/>
          <w:b/>
          <w:bCs/>
        </w:rPr>
      </w:pPr>
      <w:r>
        <w:rPr>
          <w:rFonts w:ascii="Calibri" w:hAnsi="Calibri"/>
          <w:b/>
          <w:color w:val="009649"/>
          <w:sz w:val="28"/>
        </w:rPr>
        <w:t>Пріоритети наукових досліджень</w:t>
      </w:r>
    </w:p>
    <w:p w:rsidR="00ED665B" w:rsidRPr="00907702" w:rsidRDefault="006C7D2F" w:rsidP="00DC2656">
      <w:pPr>
        <w:spacing w:before="163"/>
        <w:rPr>
          <w:rFonts w:ascii="Calibri" w:hAnsi="Calibri" w:cs="Calibri"/>
        </w:rPr>
      </w:pPr>
      <w:r>
        <w:rPr>
          <w:rFonts w:ascii="Calibri" w:hAnsi="Calibri"/>
          <w:color w:val="000000"/>
          <w:sz w:val="22"/>
        </w:rPr>
        <w:t>Пріоритети дослідження при впровадженні ТАНК високої складності на основі гібридизації для виявлення резистентності до піразинаміду:</w:t>
      </w:r>
    </w:p>
    <w:p w:rsidR="00ED665B" w:rsidRPr="00907702" w:rsidRDefault="006C7D2F" w:rsidP="00DC2656">
      <w:pPr>
        <w:numPr>
          <w:ilvl w:val="0"/>
          <w:numId w:val="2"/>
        </w:numPr>
        <w:tabs>
          <w:tab w:val="left" w:pos="240"/>
        </w:tabs>
        <w:spacing w:before="77"/>
        <w:ind w:left="240" w:right="5" w:hanging="240"/>
        <w:jc w:val="both"/>
        <w:rPr>
          <w:rFonts w:ascii="Calibri" w:hAnsi="Calibri" w:cs="Calibri"/>
          <w:color w:val="009649"/>
          <w:sz w:val="22"/>
          <w:szCs w:val="22"/>
        </w:rPr>
      </w:pPr>
      <w:r>
        <w:rPr>
          <w:rFonts w:ascii="Calibri" w:hAnsi="Calibri"/>
          <w:color w:val="000000"/>
          <w:sz w:val="22"/>
        </w:rPr>
        <w:t>діагностична точність непрямого тестування ТАНК на основі гібридизації на зразках мокротиння та зразках, відмінних від мокротиння, у людей з ознаками та симптомами туберкульозу, з резистентністю до рифампіцину або без неї;</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вплив діагностичних технологій на прийняття клінічних рішень та результати, важливі для пацієнтів (наприклад, лікування, смертність, час до встановлення діагнозу та час початку лікування) у всіх популяціях пацієнтів;</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вплив специфічних мутацій на результати лікування серед людей з ЛС-ТБ;</w:t>
      </w:r>
    </w:p>
    <w:p w:rsidR="00ED665B" w:rsidRPr="00907702" w:rsidRDefault="006C7D2F" w:rsidP="00DC2656">
      <w:pPr>
        <w:numPr>
          <w:ilvl w:val="0"/>
          <w:numId w:val="2"/>
        </w:numPr>
        <w:tabs>
          <w:tab w:val="left" w:pos="240"/>
        </w:tabs>
        <w:ind w:left="240" w:right="10" w:hanging="240"/>
        <w:jc w:val="both"/>
        <w:rPr>
          <w:rFonts w:ascii="Calibri" w:hAnsi="Calibri" w:cs="Calibri"/>
          <w:color w:val="009649"/>
          <w:sz w:val="22"/>
          <w:szCs w:val="22"/>
        </w:rPr>
      </w:pPr>
      <w:r>
        <w:rPr>
          <w:rFonts w:ascii="Calibri" w:hAnsi="Calibri"/>
          <w:color w:val="000000"/>
          <w:sz w:val="22"/>
        </w:rPr>
        <w:t>використання, інтеграція та оптимізація діагностичних технологій у загальному ландшафті тестування та догляду, а також діагностичних шляхів та алгоритмів;</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економічні дослідження, що оцінюють витрати, співвідношення витрати / ефективність та економічну доцільність діагностичних технологій;</w:t>
      </w:r>
    </w:p>
    <w:p w:rsidR="00ED665B" w:rsidRPr="00907702" w:rsidRDefault="006C7D2F" w:rsidP="00DC2656">
      <w:pPr>
        <w:numPr>
          <w:ilvl w:val="0"/>
          <w:numId w:val="2"/>
        </w:numPr>
        <w:tabs>
          <w:tab w:val="left" w:pos="240"/>
        </w:tabs>
        <w:ind w:left="240" w:hanging="240"/>
        <w:jc w:val="both"/>
        <w:rPr>
          <w:rFonts w:ascii="Calibri" w:hAnsi="Calibri" w:cs="Calibri"/>
          <w:color w:val="009649"/>
          <w:sz w:val="22"/>
          <w:szCs w:val="22"/>
        </w:rPr>
      </w:pPr>
      <w:r>
        <w:rPr>
          <w:rFonts w:ascii="Calibri" w:hAnsi="Calibri"/>
          <w:color w:val="000000"/>
          <w:sz w:val="22"/>
        </w:rPr>
        <w:t>якісні дослідження, що оцінюють рівність, прийнятність, доцільність та значення кінцевого споживача діагностичних технологій; та</w:t>
      </w:r>
    </w:p>
    <w:p w:rsidR="00ED665B" w:rsidRPr="00907702" w:rsidRDefault="006C7D2F" w:rsidP="00DC2656">
      <w:pPr>
        <w:numPr>
          <w:ilvl w:val="0"/>
          <w:numId w:val="2"/>
        </w:numPr>
        <w:tabs>
          <w:tab w:val="left" w:pos="240"/>
        </w:tabs>
        <w:ind w:left="240" w:right="5" w:hanging="240"/>
        <w:jc w:val="both"/>
        <w:rPr>
          <w:rFonts w:ascii="Calibri" w:hAnsi="Calibri" w:cs="Calibri"/>
          <w:color w:val="009649"/>
          <w:sz w:val="22"/>
          <w:szCs w:val="22"/>
        </w:rPr>
      </w:pPr>
      <w:r>
        <w:rPr>
          <w:rFonts w:ascii="Calibri" w:hAnsi="Calibri"/>
          <w:color w:val="000000"/>
          <w:sz w:val="22"/>
        </w:rPr>
        <w:t>інтерпретація результатів ТАНК високої складності на основі гібридизації порівняно з секвенуванням та новішими доказами генотипічних та фенотипічних асоціацій.</w:t>
      </w:r>
    </w:p>
    <w:p w:rsidR="00ED665B" w:rsidRPr="00907702" w:rsidRDefault="00ED665B" w:rsidP="00DC2656">
      <w:pPr>
        <w:numPr>
          <w:ilvl w:val="0"/>
          <w:numId w:val="2"/>
        </w:numPr>
        <w:tabs>
          <w:tab w:val="left" w:pos="240"/>
        </w:tabs>
        <w:ind w:left="240" w:right="5" w:hanging="240"/>
        <w:jc w:val="both"/>
        <w:rPr>
          <w:rFonts w:ascii="Calibri" w:hAnsi="Calibri" w:cs="Calibri"/>
          <w:color w:val="009649"/>
          <w:sz w:val="22"/>
          <w:szCs w:val="22"/>
        </w:rPr>
        <w:sectPr w:rsidR="00ED665B" w:rsidRPr="00907702">
          <w:pgSz w:w="11904" w:h="16838"/>
          <w:pgMar w:top="1339" w:right="1411" w:bottom="6038" w:left="1416" w:header="720" w:footer="720" w:gutter="0"/>
          <w:cols w:space="60"/>
          <w:noEndnote/>
        </w:sectPr>
      </w:pPr>
    </w:p>
    <w:p w:rsidR="00ED665B" w:rsidRPr="00907702" w:rsidRDefault="00ED665B" w:rsidP="00DC2656">
      <w:pPr>
        <w:rPr>
          <w:rFonts w:ascii="Calibri" w:hAnsi="Calibri" w:cs="Calibri"/>
        </w:rPr>
      </w:pPr>
    </w:p>
    <w:p w:rsidR="00ED665B" w:rsidRPr="00907702" w:rsidRDefault="00ED665B" w:rsidP="00DC2656">
      <w:pPr>
        <w:rPr>
          <w:rFonts w:ascii="Calibri" w:hAnsi="Calibri" w:cs="Calibri"/>
        </w:rPr>
        <w:sectPr w:rsidR="00ED665B" w:rsidRPr="00907702">
          <w:pgSz w:w="11904" w:h="16838"/>
          <w:pgMar w:top="1142" w:right="1061" w:bottom="15014" w:left="1181" w:header="720" w:footer="720" w:gutter="0"/>
          <w:cols w:space="60"/>
          <w:noEndnote/>
        </w:sectPr>
      </w:pPr>
    </w:p>
    <w:p w:rsidR="00ED665B" w:rsidRPr="00413839" w:rsidRDefault="00B32E34" w:rsidP="00DC2656">
      <w:pPr>
        <w:rPr>
          <w:rFonts w:ascii="Calibri" w:hAnsi="Calibri" w:cs="Calibri"/>
          <w:bCs/>
        </w:rPr>
      </w:pPr>
      <w:bookmarkStart w:id="31" w:name="bookmark36"/>
      <w:r w:rsidRPr="00413839">
        <w:rPr>
          <w:rFonts w:ascii="Calibri" w:hAnsi="Calibri"/>
          <w:noProof/>
          <w:color w:val="009649"/>
          <w:sz w:val="64"/>
          <w:lang w:val="en-US" w:bidi="ar-SA"/>
        </w:rPr>
        <w:lastRenderedPageBreak/>
        <w:drawing>
          <wp:anchor distT="0" distB="0" distL="6400800" distR="6400800" simplePos="0" relativeHeight="251760640" behindDoc="1" locked="0" layoutInCell="0" allowOverlap="1">
            <wp:simplePos x="0" y="0"/>
            <wp:positionH relativeFrom="page">
              <wp:align>left</wp:align>
            </wp:positionH>
            <wp:positionV relativeFrom="page">
              <wp:posOffset>0</wp:posOffset>
            </wp:positionV>
            <wp:extent cx="7560000" cy="1742400"/>
            <wp:effectExtent l="0" t="0" r="3175" b="0"/>
            <wp:wrapNone/>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000" cy="174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839">
        <w:rPr>
          <w:rFonts w:ascii="Calibri" w:hAnsi="Calibri"/>
          <w:color w:val="009649"/>
          <w:sz w:val="64"/>
        </w:rPr>
        <w:t>С</w:t>
      </w:r>
      <w:bookmarkEnd w:id="31"/>
      <w:r w:rsidRPr="00413839">
        <w:rPr>
          <w:rFonts w:ascii="Calibri" w:hAnsi="Calibri"/>
          <w:color w:val="009649"/>
          <w:sz w:val="64"/>
        </w:rPr>
        <w:t>писок літератури</w:t>
      </w:r>
    </w:p>
    <w:p w:rsidR="00ED665B" w:rsidRPr="00413839" w:rsidRDefault="006C7D2F" w:rsidP="00DC2656">
      <w:pPr>
        <w:numPr>
          <w:ilvl w:val="0"/>
          <w:numId w:val="26"/>
        </w:numPr>
        <w:tabs>
          <w:tab w:val="left" w:pos="360"/>
        </w:tabs>
        <w:spacing w:before="696"/>
        <w:ind w:left="360" w:right="5" w:hanging="360"/>
        <w:jc w:val="both"/>
        <w:rPr>
          <w:rFonts w:ascii="Calibri" w:hAnsi="Calibri" w:cs="Calibri"/>
        </w:rPr>
      </w:pPr>
      <w:r w:rsidRPr="00413839">
        <w:rPr>
          <w:rFonts w:ascii="Calibri" w:hAnsi="Calibri"/>
        </w:rPr>
        <w:t>Global tuberculosis report 2020. WHO/HTM/TB/2020.22, Geneva: World Health Organization; 2020 (https://www.who.int/publications/i/item/9789240013131).</w:t>
      </w:r>
    </w:p>
    <w:p w:rsidR="00ED665B" w:rsidRPr="00413839" w:rsidRDefault="006C7D2F" w:rsidP="00DC2656">
      <w:pPr>
        <w:numPr>
          <w:ilvl w:val="0"/>
          <w:numId w:val="26"/>
        </w:numPr>
        <w:tabs>
          <w:tab w:val="left" w:pos="360"/>
        </w:tabs>
        <w:spacing w:before="82"/>
        <w:ind w:left="360" w:right="10" w:hanging="360"/>
        <w:jc w:val="both"/>
        <w:rPr>
          <w:rFonts w:ascii="Calibri" w:hAnsi="Calibri" w:cs="Calibri"/>
        </w:rPr>
      </w:pPr>
      <w:r w:rsidRPr="00413839">
        <w:rPr>
          <w:rFonts w:ascii="Calibri" w:hAnsi="Calibri"/>
        </w:rPr>
        <w:t>Implementing the End TB strategy: the essentials. Geneva: World Health Organization; 2015 (https:// www.who.int/tb/publications/2015/end_tb_essential.pdf, accessed 26 May 2020).</w:t>
      </w:r>
    </w:p>
    <w:p w:rsidR="00ED665B" w:rsidRPr="00413839" w:rsidRDefault="006C7D2F" w:rsidP="00DC2656">
      <w:pPr>
        <w:numPr>
          <w:ilvl w:val="0"/>
          <w:numId w:val="26"/>
        </w:numPr>
        <w:tabs>
          <w:tab w:val="left" w:pos="360"/>
        </w:tabs>
        <w:spacing w:before="77"/>
        <w:ind w:left="360" w:right="5" w:hanging="360"/>
        <w:jc w:val="both"/>
        <w:rPr>
          <w:rFonts w:ascii="Calibri" w:hAnsi="Calibri" w:cs="Calibri"/>
        </w:rPr>
      </w:pPr>
      <w:r w:rsidRPr="00413839">
        <w:rPr>
          <w:rFonts w:ascii="Calibri" w:hAnsi="Calibri"/>
        </w:rPr>
        <w:t>American Red Cross. What is the nucleic acid test (NAT)? [website]. ShareCare; (https://www. sharecare.com/health/blood-basics/what-is-the-nucleic-acid-test-n-a-t).</w:t>
      </w:r>
    </w:p>
    <w:p w:rsidR="00ED665B" w:rsidRPr="00413839" w:rsidRDefault="006C7D2F" w:rsidP="00DC2656">
      <w:pPr>
        <w:numPr>
          <w:ilvl w:val="0"/>
          <w:numId w:val="26"/>
        </w:numPr>
        <w:tabs>
          <w:tab w:val="left" w:pos="360"/>
        </w:tabs>
        <w:spacing w:before="82"/>
        <w:ind w:left="360" w:right="5" w:hanging="360"/>
        <w:jc w:val="both"/>
        <w:rPr>
          <w:rFonts w:ascii="Calibri" w:hAnsi="Calibri" w:cs="Calibri"/>
        </w:rPr>
      </w:pPr>
      <w:r w:rsidRPr="00413839">
        <w:rPr>
          <w:rFonts w:ascii="Calibri" w:hAnsi="Calibri"/>
        </w:rPr>
        <w:t>Line probe assays for drug-resistant tuberculosis detection: interpretation and reporting guide for laboratory staff and clinicians. Geneva: Global Laboratory Initiative; 2018 (http://www.stoptb.org/ wg/gli/assets/documents/LPA_test_web_ready.pdf, accessed 26 May 2020).</w:t>
      </w:r>
    </w:p>
    <w:p w:rsidR="00ED665B" w:rsidRPr="00413839" w:rsidRDefault="006C7D2F" w:rsidP="00DC2656">
      <w:pPr>
        <w:numPr>
          <w:ilvl w:val="0"/>
          <w:numId w:val="26"/>
        </w:numPr>
        <w:tabs>
          <w:tab w:val="left" w:pos="360"/>
        </w:tabs>
        <w:spacing w:before="82"/>
        <w:ind w:left="360" w:right="5" w:hanging="360"/>
        <w:jc w:val="both"/>
        <w:rPr>
          <w:rFonts w:ascii="Calibri" w:hAnsi="Calibri" w:cs="Calibri"/>
        </w:rPr>
      </w:pPr>
      <w:r w:rsidRPr="00413839">
        <w:rPr>
          <w:rFonts w:ascii="Calibri" w:hAnsi="Calibri"/>
        </w:rPr>
        <w:t>Report for WHO: non-inferiority evaluation of Nipro NTM+MDRTB and Hain GenoType MTBDR</w:t>
      </w:r>
      <w:r w:rsidR="00BE6F5B" w:rsidRPr="00BE6F5B">
        <w:rPr>
          <w:rFonts w:ascii="Calibri" w:hAnsi="Calibri"/>
          <w:i/>
        </w:rPr>
        <w:t>plus</w:t>
      </w:r>
      <w:r w:rsidRPr="00413839">
        <w:rPr>
          <w:rFonts w:ascii="Calibri" w:hAnsi="Calibri"/>
        </w:rPr>
        <w:t xml:space="preserve"> V2 line probe assays. Geneva: Foundation for Innovative New Diagnostics; 2015 (http://www.finddx. org/wp-content/uploads/2016/04/LPA-report_noninferiority-study_oct2015.pdf, accessed 26 May 2020).</w:t>
      </w:r>
    </w:p>
    <w:p w:rsidR="00ED665B" w:rsidRPr="00413839" w:rsidRDefault="006C7D2F" w:rsidP="00DC2656">
      <w:pPr>
        <w:numPr>
          <w:ilvl w:val="0"/>
          <w:numId w:val="26"/>
        </w:numPr>
        <w:tabs>
          <w:tab w:val="left" w:pos="360"/>
        </w:tabs>
        <w:spacing w:before="86"/>
        <w:ind w:left="360" w:right="5" w:hanging="360"/>
        <w:jc w:val="both"/>
        <w:rPr>
          <w:rFonts w:ascii="Calibri" w:hAnsi="Calibri" w:cs="Calibri"/>
        </w:rPr>
      </w:pPr>
      <w:r w:rsidRPr="00413839">
        <w:rPr>
          <w:rFonts w:ascii="Calibri" w:hAnsi="Calibri"/>
          <w:lang w:val="es-ES"/>
        </w:rPr>
        <w:t xml:space="preserve">Feasey NA, Banada PP, Howson W, Sloan DJ, Mdolo A, Boehme C et al. </w:t>
      </w:r>
      <w:r w:rsidRPr="00413839">
        <w:rPr>
          <w:rFonts w:ascii="Calibri" w:hAnsi="Calibri"/>
        </w:rPr>
        <w:t>Evaluation of Xpert MTB/RIF for detection of tuberculosis from blood samples of HIV-infected adults confrms Mycobacterium tuberculosis bacteremia as an indicator of poor prognosis. J Clin Microbiol. 2013;51(7):2311–6 (https://pubmed.ncbi.nlm.nih.gov/23678061/, accessed 26 May 2020).</w:t>
      </w:r>
    </w:p>
    <w:p w:rsidR="00ED665B" w:rsidRPr="00413839" w:rsidRDefault="006C7D2F" w:rsidP="00DC2656">
      <w:pPr>
        <w:numPr>
          <w:ilvl w:val="0"/>
          <w:numId w:val="26"/>
        </w:numPr>
        <w:tabs>
          <w:tab w:val="left" w:pos="360"/>
        </w:tabs>
        <w:spacing w:before="82"/>
        <w:ind w:left="360" w:right="5" w:hanging="360"/>
        <w:jc w:val="both"/>
        <w:rPr>
          <w:rFonts w:ascii="Calibri" w:hAnsi="Calibri" w:cs="Calibri"/>
        </w:rPr>
      </w:pPr>
      <w:r w:rsidRPr="00413839">
        <w:rPr>
          <w:rFonts w:ascii="Calibri" w:hAnsi="Calibri"/>
        </w:rPr>
        <w:t>Automated real-time nucleic acid amplification technology for rapid and simultaneous detection of tuberculosis and rifampicin resistance: Xpert MTB. Geneva: World Health Organization; 2013 (https://apps.who.int/iris/handle/10665/112472, accessed 1 June 2020).</w:t>
      </w:r>
    </w:p>
    <w:p w:rsidR="00ED665B" w:rsidRPr="00413839" w:rsidRDefault="006C7D2F" w:rsidP="00DC2656">
      <w:pPr>
        <w:numPr>
          <w:ilvl w:val="0"/>
          <w:numId w:val="26"/>
        </w:numPr>
        <w:tabs>
          <w:tab w:val="left" w:pos="360"/>
        </w:tabs>
        <w:spacing w:before="82"/>
        <w:ind w:left="360" w:hanging="360"/>
        <w:jc w:val="both"/>
        <w:rPr>
          <w:rFonts w:ascii="Calibri" w:hAnsi="Calibri" w:cs="Calibri"/>
        </w:rPr>
      </w:pPr>
      <w:r w:rsidRPr="00413839">
        <w:rPr>
          <w:rFonts w:ascii="Calibri" w:hAnsi="Calibri"/>
        </w:rPr>
        <w:t>Rapid implementation of the Xpert MTB/RIF diagnostic test: technical and operational ‘How-to’; practical considerations. Geneva: World Health Organization; 2011 (https://apps.who.int/iris/ bitstream/handle/10665/44593/9789241501569_eng.pdf?sequence=1, accessed 1 June 2020).</w:t>
      </w:r>
    </w:p>
    <w:p w:rsidR="00ED665B" w:rsidRPr="00413839" w:rsidRDefault="006C7D2F" w:rsidP="00DC2656">
      <w:pPr>
        <w:numPr>
          <w:ilvl w:val="0"/>
          <w:numId w:val="26"/>
        </w:numPr>
        <w:tabs>
          <w:tab w:val="left" w:pos="360"/>
        </w:tabs>
        <w:spacing w:before="82"/>
        <w:ind w:left="360" w:right="5" w:hanging="360"/>
        <w:jc w:val="both"/>
        <w:rPr>
          <w:rFonts w:ascii="Calibri" w:hAnsi="Calibri" w:cs="Calibri"/>
        </w:rPr>
      </w:pPr>
      <w:r w:rsidRPr="00413839">
        <w:rPr>
          <w:rFonts w:ascii="Calibri" w:hAnsi="Calibri"/>
        </w:rPr>
        <w:t>WHO meeting report of a technical expert consultation: non-inferiority analysis of Xpert MTB/RIF Ultra compared to Xpert MTB/RIF (WHO/HTM/TB/2017.04). Geneva: World Health Organization; 2017 (https://apps.who.int/iris/bitstream/handle/10665/254792/WHO-HTM-TB-20;jsessionid=5 2D5C956DADE369AE677BE443C4DF574?sequence=1, accessed 15 December 2019).</w:t>
      </w:r>
    </w:p>
    <w:p w:rsidR="00ED665B" w:rsidRPr="00413839" w:rsidRDefault="006C7D2F" w:rsidP="00DC2656">
      <w:pPr>
        <w:numPr>
          <w:ilvl w:val="0"/>
          <w:numId w:val="26"/>
        </w:numPr>
        <w:tabs>
          <w:tab w:val="left" w:pos="360"/>
        </w:tabs>
        <w:spacing w:before="82"/>
        <w:ind w:left="360" w:right="5" w:hanging="360"/>
        <w:jc w:val="both"/>
        <w:rPr>
          <w:rFonts w:ascii="Calibri" w:hAnsi="Calibri" w:cs="Calibri"/>
        </w:rPr>
      </w:pPr>
      <w:r w:rsidRPr="00413839">
        <w:rPr>
          <w:rFonts w:ascii="Calibri" w:hAnsi="Calibri"/>
        </w:rPr>
        <w:t>Schünemann HJ, Oxman AD, Brozek J, Glasziou P, Jaeschke R, Vist GE et al. Grading quality of evidence and strength of recommendations for diagnostic tests and strategies. Bmj. 2008;336(7653):1106– 10 (https://pubmed.ncbi.nlm.nih.gov/18483053/, accessed 1 June 2020).</w:t>
      </w:r>
    </w:p>
    <w:p w:rsidR="00ED665B" w:rsidRPr="00413839" w:rsidRDefault="006C7D2F" w:rsidP="00DC2656">
      <w:pPr>
        <w:numPr>
          <w:ilvl w:val="0"/>
          <w:numId w:val="26"/>
        </w:numPr>
        <w:tabs>
          <w:tab w:val="left" w:pos="360"/>
        </w:tabs>
        <w:spacing w:before="82"/>
        <w:ind w:left="360" w:right="5" w:hanging="360"/>
        <w:jc w:val="both"/>
        <w:rPr>
          <w:rFonts w:ascii="Calibri" w:hAnsi="Calibri" w:cs="Calibri"/>
        </w:rPr>
      </w:pPr>
      <w:r w:rsidRPr="00413839">
        <w:rPr>
          <w:rFonts w:ascii="Calibri" w:hAnsi="Calibri"/>
        </w:rPr>
        <w:t>Xpert MTB/RIF assay for the diagnosis of pulmonary and extrapulmonary TB in adults and children. Policy update. Geneva, World Health Organization: 2013 (https://www.who.int/tb/publications/ xpert-mtb-rif-assay-diagnosis-policy-update/en/, accessed 5 June 2020).</w:t>
      </w:r>
    </w:p>
    <w:p w:rsidR="00ED665B" w:rsidRPr="00413839" w:rsidRDefault="006C7D2F" w:rsidP="00DC2656">
      <w:pPr>
        <w:numPr>
          <w:ilvl w:val="0"/>
          <w:numId w:val="26"/>
        </w:numPr>
        <w:tabs>
          <w:tab w:val="left" w:pos="360"/>
        </w:tabs>
        <w:spacing w:before="82"/>
        <w:ind w:left="360" w:right="5" w:hanging="360"/>
        <w:jc w:val="both"/>
        <w:rPr>
          <w:rFonts w:ascii="Calibri" w:hAnsi="Calibri" w:cs="Calibri"/>
        </w:rPr>
      </w:pPr>
      <w:r w:rsidRPr="00413839">
        <w:rPr>
          <w:rFonts w:ascii="Calibri" w:hAnsi="Calibri"/>
        </w:rPr>
        <w:t>Molecular assays intended as initial tests for the diagnosis of pulmonary and extrapulmonary TB and rifampicin resistance in adults and children: rapid communication. Geneva: World Health Organization; 2020 (https://apps.who.int/iris/bitstream/handle/10665/330395/9789240000339-eng.pdf, accessed 5 June 2020).</w:t>
      </w:r>
    </w:p>
    <w:p w:rsidR="00ED665B" w:rsidRPr="00F03F89" w:rsidRDefault="00ED665B" w:rsidP="00DC2656">
      <w:pPr>
        <w:numPr>
          <w:ilvl w:val="0"/>
          <w:numId w:val="26"/>
        </w:numPr>
        <w:tabs>
          <w:tab w:val="left" w:pos="360"/>
        </w:tabs>
        <w:spacing w:before="82"/>
        <w:ind w:left="360" w:right="5" w:hanging="360"/>
        <w:jc w:val="both"/>
        <w:rPr>
          <w:rFonts w:ascii="Calibri" w:hAnsi="Calibri" w:cs="Calibri"/>
          <w:vanish/>
          <w:color w:val="000000"/>
        </w:rPr>
        <w:sectPr w:rsidR="00ED665B" w:rsidRPr="00F03F89">
          <w:footerReference w:type="default" r:id="rId302"/>
          <w:pgSz w:w="11904" w:h="16838"/>
          <w:pgMar w:top="2227" w:right="1411" w:bottom="1858" w:left="1416" w:header="720" w:footer="720" w:gutter="0"/>
          <w:cols w:space="60"/>
          <w:noEndnote/>
        </w:sectPr>
      </w:pPr>
    </w:p>
    <w:p w:rsidR="00ED665B" w:rsidRPr="00D9219B" w:rsidRDefault="006C7D2F" w:rsidP="00DC2656">
      <w:pPr>
        <w:numPr>
          <w:ilvl w:val="0"/>
          <w:numId w:val="27"/>
        </w:numPr>
        <w:tabs>
          <w:tab w:val="left" w:pos="360"/>
        </w:tabs>
        <w:ind w:left="360" w:right="5" w:hanging="360"/>
        <w:jc w:val="both"/>
        <w:rPr>
          <w:rFonts w:ascii="Calibri" w:hAnsi="Calibri" w:cs="Calibri"/>
        </w:rPr>
      </w:pPr>
      <w:r w:rsidRPr="00D9219B">
        <w:rPr>
          <w:rFonts w:ascii="Calibri" w:hAnsi="Calibri"/>
        </w:rPr>
        <w:lastRenderedPageBreak/>
        <w:t>Molbio: Our products [website]. (http://www.molbiodiagnostics.com/products-listing.php, accessed 11 June 2020).</w:t>
      </w:r>
    </w:p>
    <w:p w:rsidR="00ED665B" w:rsidRPr="00D9219B" w:rsidRDefault="006C7D2F" w:rsidP="00DC2656">
      <w:pPr>
        <w:numPr>
          <w:ilvl w:val="0"/>
          <w:numId w:val="27"/>
        </w:numPr>
        <w:tabs>
          <w:tab w:val="left" w:pos="360"/>
        </w:tabs>
        <w:spacing w:before="82"/>
        <w:ind w:left="360" w:hanging="360"/>
        <w:jc w:val="both"/>
        <w:rPr>
          <w:rFonts w:ascii="Calibri" w:hAnsi="Calibri" w:cs="Calibri"/>
        </w:rPr>
      </w:pPr>
      <w:r w:rsidRPr="00D9219B">
        <w:rPr>
          <w:rFonts w:ascii="Calibri" w:hAnsi="Calibri"/>
        </w:rPr>
        <w:t>Tuberculosis: diagnostics technology landscape. Geneva: Unitaid; 2017 (https://unitaid.org/ assets/2017-Unitaid-TB-Diagnostics-Technology-Landscape.pdf).</w:t>
      </w:r>
    </w:p>
    <w:p w:rsidR="00ED665B" w:rsidRPr="00D9219B" w:rsidRDefault="006C7D2F" w:rsidP="00DC2656">
      <w:pPr>
        <w:numPr>
          <w:ilvl w:val="0"/>
          <w:numId w:val="27"/>
        </w:numPr>
        <w:tabs>
          <w:tab w:val="left" w:pos="360"/>
        </w:tabs>
        <w:spacing w:before="77"/>
        <w:ind w:left="360" w:right="5" w:hanging="360"/>
        <w:jc w:val="both"/>
        <w:rPr>
          <w:rFonts w:ascii="Calibri" w:hAnsi="Calibri" w:cs="Calibri"/>
        </w:rPr>
      </w:pPr>
      <w:r w:rsidRPr="00D9219B">
        <w:rPr>
          <w:rFonts w:ascii="Calibri" w:hAnsi="Calibri"/>
        </w:rPr>
        <w:t>Abbott RealTime MTB [website]. Illinois: Abbott; 2019 (https://www.molecular.abbott/int/en/ products/infectious-disease/realtime-mtb).</w:t>
      </w:r>
    </w:p>
    <w:p w:rsidR="00ED665B" w:rsidRPr="00D9219B" w:rsidRDefault="006C7D2F" w:rsidP="00DC2656">
      <w:pPr>
        <w:numPr>
          <w:ilvl w:val="0"/>
          <w:numId w:val="27"/>
        </w:numPr>
        <w:tabs>
          <w:tab w:val="left" w:pos="360"/>
        </w:tabs>
        <w:spacing w:before="82"/>
        <w:ind w:left="360" w:right="5" w:hanging="360"/>
        <w:jc w:val="both"/>
        <w:rPr>
          <w:rFonts w:ascii="Calibri" w:hAnsi="Calibri" w:cs="Calibri"/>
        </w:rPr>
      </w:pPr>
      <w:r w:rsidRPr="00D9219B">
        <w:rPr>
          <w:rFonts w:ascii="Calibri" w:hAnsi="Calibri"/>
        </w:rPr>
        <w:t>Abbott RealTime RIF/INH resistance [website]. Illinois: Abbott; 2019 (https://www.molecular.abbott/ int/en/products/infectious-disease/realtime-mtb-rif-inh-resistance).</w:t>
      </w:r>
    </w:p>
    <w:p w:rsidR="00ED665B" w:rsidRPr="00D9219B" w:rsidRDefault="006C7D2F" w:rsidP="00DC2656">
      <w:pPr>
        <w:numPr>
          <w:ilvl w:val="0"/>
          <w:numId w:val="27"/>
        </w:numPr>
        <w:tabs>
          <w:tab w:val="left" w:pos="360"/>
        </w:tabs>
        <w:spacing w:before="82"/>
        <w:ind w:left="360" w:hanging="360"/>
        <w:jc w:val="both"/>
        <w:rPr>
          <w:rFonts w:ascii="Calibri" w:hAnsi="Calibri" w:cs="Calibri"/>
        </w:rPr>
      </w:pPr>
      <w:r w:rsidRPr="00D9219B">
        <w:rPr>
          <w:rFonts w:ascii="Calibri" w:hAnsi="Calibri"/>
        </w:rPr>
        <w:t>FluoroType® MDRTB: the direct detection test for innovative labs [website]. Massachusetts: Bruker-Hain Diagnostics; 2019 (https://www.hain-lifescience.de/en/products/microbiology/mycobacteria/ tuberculosis/fuorotype-mtbdr.html 2019).</w:t>
      </w:r>
    </w:p>
    <w:p w:rsidR="00ED665B" w:rsidRPr="00D9219B" w:rsidRDefault="006C7D2F" w:rsidP="00DC2656">
      <w:pPr>
        <w:numPr>
          <w:ilvl w:val="0"/>
          <w:numId w:val="27"/>
        </w:numPr>
        <w:tabs>
          <w:tab w:val="left" w:pos="360"/>
        </w:tabs>
        <w:spacing w:before="82"/>
        <w:ind w:left="360" w:right="5" w:hanging="360"/>
        <w:jc w:val="both"/>
        <w:rPr>
          <w:rFonts w:ascii="Calibri" w:hAnsi="Calibri" w:cs="Calibri"/>
        </w:rPr>
      </w:pPr>
      <w:r w:rsidRPr="00D9219B">
        <w:rPr>
          <w:rFonts w:ascii="Calibri" w:hAnsi="Calibri"/>
        </w:rPr>
        <w:t>FluoroType® MTB: the direct detection test for innovative labs [website]. Massachusetts: Bruker-Hain Diagnostics; 2019 (https://www.hain-lifescience.de/en/products/microbiology/mycobacteria/ tuberculosis/fuorotype-mtb.html).</w:t>
      </w:r>
    </w:p>
    <w:p w:rsidR="00ED665B" w:rsidRPr="00D9219B" w:rsidRDefault="006C7D2F" w:rsidP="00DC2656">
      <w:pPr>
        <w:numPr>
          <w:ilvl w:val="0"/>
          <w:numId w:val="27"/>
        </w:numPr>
        <w:tabs>
          <w:tab w:val="left" w:pos="360"/>
        </w:tabs>
        <w:spacing w:before="115"/>
        <w:rPr>
          <w:rFonts w:ascii="Calibri" w:hAnsi="Calibri" w:cs="Calibri"/>
        </w:rPr>
      </w:pPr>
      <w:r w:rsidRPr="00D9219B">
        <w:rPr>
          <w:rFonts w:ascii="Calibri" w:hAnsi="Calibri"/>
        </w:rPr>
        <w:t>McMaster University. GRADEpro GDT [website]. 2020 (https://gradepro.org/).</w:t>
      </w:r>
    </w:p>
    <w:p w:rsidR="00ED665B" w:rsidRPr="00D9219B" w:rsidRDefault="006C7D2F" w:rsidP="00DC2656">
      <w:pPr>
        <w:numPr>
          <w:ilvl w:val="0"/>
          <w:numId w:val="27"/>
        </w:numPr>
        <w:tabs>
          <w:tab w:val="left" w:pos="360"/>
        </w:tabs>
        <w:spacing w:before="91"/>
        <w:ind w:left="360" w:hanging="360"/>
        <w:jc w:val="both"/>
        <w:rPr>
          <w:rFonts w:ascii="Calibri" w:hAnsi="Calibri" w:cs="Calibri"/>
        </w:rPr>
      </w:pPr>
      <w:r w:rsidRPr="00D9219B">
        <w:rPr>
          <w:rFonts w:ascii="Calibri" w:hAnsi="Calibri"/>
        </w:rPr>
        <w:t>Boyer S, March L, Kouanfack C, Laborde-Balen G, Marino P, Aghokeng AF et al. Monitoring of HIV viral load, CD4 cell count, and clinical assessment versus clinical monitoring alone for antiretroviral therapy in low-resource settings (Stratall ANRS 12110/ESTHER): a cost-effectiveness analysis. Lancet Infect Dis. 2013;13(7):577–86.</w:t>
      </w:r>
    </w:p>
    <w:p w:rsidR="00ED665B" w:rsidRPr="00D9219B" w:rsidRDefault="006C7D2F" w:rsidP="00DC2656">
      <w:pPr>
        <w:numPr>
          <w:ilvl w:val="0"/>
          <w:numId w:val="27"/>
        </w:numPr>
        <w:tabs>
          <w:tab w:val="left" w:pos="360"/>
        </w:tabs>
        <w:spacing w:before="82"/>
        <w:ind w:left="360" w:hanging="360"/>
        <w:jc w:val="both"/>
        <w:rPr>
          <w:rFonts w:ascii="Calibri" w:hAnsi="Calibri" w:cs="Calibri"/>
        </w:rPr>
      </w:pPr>
      <w:r w:rsidRPr="00D9219B">
        <w:rPr>
          <w:rFonts w:ascii="Calibri" w:hAnsi="Calibri"/>
        </w:rPr>
        <w:t>Eckman MH, Ward JW, Sherman KE. Cost effectiveness of universal screening for hepatitis C virus infection in the era of direct-acting, pangenotypic treatment regimens. Clin Gastroenterol Hepatol. 2019;17(5):930–9. e9.</w:t>
      </w:r>
    </w:p>
    <w:p w:rsidR="00ED665B" w:rsidRPr="00D9219B" w:rsidRDefault="006C7D2F" w:rsidP="00DC2656">
      <w:pPr>
        <w:numPr>
          <w:ilvl w:val="0"/>
          <w:numId w:val="27"/>
        </w:numPr>
        <w:tabs>
          <w:tab w:val="left" w:pos="360"/>
        </w:tabs>
        <w:spacing w:before="82"/>
        <w:ind w:left="360" w:hanging="360"/>
        <w:jc w:val="both"/>
        <w:rPr>
          <w:rFonts w:ascii="Calibri" w:hAnsi="Calibri" w:cs="Calibri"/>
        </w:rPr>
      </w:pPr>
      <w:r w:rsidRPr="00D9219B">
        <w:rPr>
          <w:rFonts w:ascii="Calibri" w:hAnsi="Calibri"/>
          <w:lang w:val="en-US"/>
        </w:rPr>
        <w:t xml:space="preserve">Wang J-H, Chen C-H, Chang C-M, Feng W-C, Lee C-Y, Lu S-N. </w:t>
      </w:r>
      <w:r w:rsidRPr="00D9219B">
        <w:rPr>
          <w:rFonts w:ascii="Calibri" w:hAnsi="Calibri"/>
        </w:rPr>
        <w:t>Hepatitis C virus core antigen is cost-effective in community-based screening of active hepatitis C infection in Taiwan. J Formos Med Assoc. 2020;119(1):504–8.</w:t>
      </w:r>
    </w:p>
    <w:p w:rsidR="00ED665B" w:rsidRPr="00D9219B" w:rsidRDefault="006C7D2F" w:rsidP="00DC2656">
      <w:pPr>
        <w:numPr>
          <w:ilvl w:val="0"/>
          <w:numId w:val="27"/>
        </w:numPr>
        <w:tabs>
          <w:tab w:val="left" w:pos="360"/>
        </w:tabs>
        <w:spacing w:before="82"/>
        <w:ind w:left="360" w:right="5" w:hanging="360"/>
        <w:jc w:val="both"/>
        <w:rPr>
          <w:rFonts w:ascii="Calibri" w:hAnsi="Calibri" w:cs="Calibri"/>
        </w:rPr>
      </w:pPr>
      <w:r w:rsidRPr="00D9219B">
        <w:rPr>
          <w:rFonts w:ascii="Calibri" w:hAnsi="Calibri"/>
        </w:rPr>
        <w:t>Equator etwork. Enhancing the QUAlity and Transparency Of health Research. http://www.equator-network.org/reporting-guidelines/stard/.</w:t>
      </w:r>
    </w:p>
    <w:p w:rsidR="00ED665B" w:rsidRPr="00D9219B" w:rsidRDefault="006C7D2F" w:rsidP="00DC2656">
      <w:pPr>
        <w:numPr>
          <w:ilvl w:val="0"/>
          <w:numId w:val="27"/>
        </w:numPr>
        <w:tabs>
          <w:tab w:val="left" w:pos="360"/>
        </w:tabs>
        <w:spacing w:before="77"/>
        <w:ind w:left="360" w:hanging="360"/>
        <w:jc w:val="both"/>
        <w:rPr>
          <w:rFonts w:ascii="Calibri" w:hAnsi="Calibri" w:cs="Calibri"/>
        </w:rPr>
      </w:pPr>
      <w:r w:rsidRPr="00D9219B">
        <w:rPr>
          <w:rFonts w:ascii="Calibri" w:hAnsi="Calibri"/>
        </w:rPr>
        <w:t>Alere Determine™ TB LAM Ag: Rapid rule-in TB-HIV co-infection [website]. Abbott; 2019 (https:// www.alere.com/en/home/product-details/determine-tb-lam.html, accessed 26 May 2020).</w:t>
      </w:r>
    </w:p>
    <w:p w:rsidR="00ED665B" w:rsidRPr="00D9219B" w:rsidRDefault="006C7D2F" w:rsidP="00DC2656">
      <w:pPr>
        <w:numPr>
          <w:ilvl w:val="0"/>
          <w:numId w:val="27"/>
        </w:numPr>
        <w:tabs>
          <w:tab w:val="left" w:pos="360"/>
        </w:tabs>
        <w:spacing w:before="82"/>
        <w:ind w:left="360" w:hanging="360"/>
        <w:jc w:val="both"/>
        <w:rPr>
          <w:rFonts w:ascii="Calibri" w:hAnsi="Calibri" w:cs="Calibri"/>
        </w:rPr>
      </w:pPr>
      <w:r w:rsidRPr="00D9219B">
        <w:rPr>
          <w:rFonts w:ascii="Calibri" w:hAnsi="Calibri"/>
        </w:rPr>
        <w:t>Brennan PJ. Structure, function, and biogenesis of the cell wall of Mycobacterium tuberculosis. Tuberculosis. 2003;83(1–3):91–7 (https://pubmed.ncbi.nlm.nih.gov/12758196/, accessed 26 May 2020).</w:t>
      </w:r>
    </w:p>
    <w:p w:rsidR="00ED665B" w:rsidRPr="00D9219B" w:rsidRDefault="006C7D2F" w:rsidP="00DC2656">
      <w:pPr>
        <w:numPr>
          <w:ilvl w:val="0"/>
          <w:numId w:val="27"/>
        </w:numPr>
        <w:tabs>
          <w:tab w:val="left" w:pos="360"/>
        </w:tabs>
        <w:spacing w:before="82"/>
        <w:ind w:left="360" w:hanging="360"/>
        <w:jc w:val="both"/>
        <w:rPr>
          <w:rFonts w:ascii="Calibri" w:hAnsi="Calibri" w:cs="Calibri"/>
        </w:rPr>
      </w:pPr>
      <w:r w:rsidRPr="00D9219B">
        <w:rPr>
          <w:rFonts w:ascii="Calibri" w:hAnsi="Calibri"/>
        </w:rPr>
        <w:t>Shah M, Hanrahan C, Wang ZY, Dendukuri N, Lawn SD, Denkinger CM et al. Lateral flow urine lipoarabinomannan assay for detecting active tuberculosis in HIV‐positive adults. Cochrane Database of Syst Rev. 2016;(5)(https://pubmed.ncbi.nlm.nih.gov/27163343/, accessed 26 May 2020).</w:t>
      </w:r>
    </w:p>
    <w:p w:rsidR="00ED665B" w:rsidRPr="00D9219B" w:rsidRDefault="006C7D2F" w:rsidP="00DC2656">
      <w:pPr>
        <w:numPr>
          <w:ilvl w:val="0"/>
          <w:numId w:val="27"/>
        </w:numPr>
        <w:tabs>
          <w:tab w:val="left" w:pos="360"/>
        </w:tabs>
        <w:spacing w:before="82"/>
        <w:ind w:left="360" w:hanging="360"/>
        <w:jc w:val="both"/>
        <w:rPr>
          <w:rFonts w:ascii="Calibri" w:hAnsi="Calibri" w:cs="Calibri"/>
        </w:rPr>
      </w:pPr>
      <w:r w:rsidRPr="00D9219B">
        <w:rPr>
          <w:rFonts w:ascii="Calibri" w:hAnsi="Calibri"/>
        </w:rPr>
        <w:t>The use of lateral flow urine lipoarabinomannan assay (LF-LAM) for the diagnosis and screening of active tuberculosis in people living with HIV: policy guidance. Geneva: World Health Organization; 2015 (https://www.who.int/tb/publications/use-of-lf-lam-tb-hiv/en/, accessed 26 May 2020).</w:t>
      </w:r>
    </w:p>
    <w:p w:rsidR="00ED665B" w:rsidRPr="00D9219B" w:rsidRDefault="006C7D2F" w:rsidP="00DC2656">
      <w:pPr>
        <w:numPr>
          <w:ilvl w:val="0"/>
          <w:numId w:val="27"/>
        </w:numPr>
        <w:tabs>
          <w:tab w:val="left" w:pos="360"/>
        </w:tabs>
        <w:spacing w:before="82"/>
        <w:ind w:left="360" w:hanging="360"/>
        <w:jc w:val="both"/>
        <w:rPr>
          <w:rFonts w:ascii="Calibri" w:hAnsi="Calibri" w:cs="Calibri"/>
        </w:rPr>
      </w:pPr>
      <w:r w:rsidRPr="00D9219B">
        <w:rPr>
          <w:rFonts w:ascii="Calibri" w:hAnsi="Calibri"/>
        </w:rPr>
        <w:t>Peter J, Theron G, Chanda D, Clowes P, Rachow A, Lesosky M et al. Test characteristics and potential impact of the urine LAM lateral flow assay in HIV- infected outpatients under investigation for TB and able to self-expectorate sputum for diagnostic testing. BMC Infect Dis. 2015;15(1) (https:// bmcinfectdis.biomedcentral.com/articles/10.1186/s12879-015-0967-z, accessed 26 May 2020).</w:t>
      </w:r>
    </w:p>
    <w:p w:rsidR="00ED665B" w:rsidRPr="00D9219B" w:rsidRDefault="006C7D2F" w:rsidP="00DC2656">
      <w:pPr>
        <w:numPr>
          <w:ilvl w:val="0"/>
          <w:numId w:val="27"/>
        </w:numPr>
        <w:tabs>
          <w:tab w:val="left" w:pos="360"/>
        </w:tabs>
        <w:spacing w:before="82"/>
        <w:ind w:left="360" w:hanging="360"/>
        <w:jc w:val="both"/>
        <w:rPr>
          <w:rFonts w:ascii="Calibri" w:hAnsi="Calibri" w:cs="Calibri"/>
        </w:rPr>
      </w:pPr>
      <w:r w:rsidRPr="00D9219B">
        <w:rPr>
          <w:rFonts w:ascii="Calibri" w:hAnsi="Calibri"/>
        </w:rPr>
        <w:t>Peter JG, Theron G, van Zyl-Smit R, Haripersad A, Mottay L, Kraus S et al. Diagnostic accuracy of a urine lipoarabinomannan strip-test for TB detection in HIV-infected hospitalised patients. Eur Respir J. 2012;40(5):1211–20 (https://erj.ersjournals.com/content/40/5/1211, accessed 26 May 2020).</w:t>
      </w:r>
    </w:p>
    <w:p w:rsidR="00ED665B" w:rsidRPr="00F03F89" w:rsidRDefault="00ED665B" w:rsidP="00DC2656">
      <w:pPr>
        <w:numPr>
          <w:ilvl w:val="0"/>
          <w:numId w:val="27"/>
        </w:numPr>
        <w:tabs>
          <w:tab w:val="left" w:pos="360"/>
        </w:tabs>
        <w:spacing w:before="82"/>
        <w:ind w:left="360" w:hanging="360"/>
        <w:jc w:val="both"/>
        <w:rPr>
          <w:rFonts w:ascii="Calibri" w:hAnsi="Calibri" w:cs="Calibri"/>
          <w:vanish/>
          <w:color w:val="000000"/>
        </w:rPr>
        <w:sectPr w:rsidR="00ED665B" w:rsidRPr="00F03F89">
          <w:pgSz w:w="11904" w:h="16838"/>
          <w:pgMar w:top="1354" w:right="1416" w:bottom="1522" w:left="1416" w:header="720" w:footer="720" w:gutter="0"/>
          <w:cols w:space="60"/>
          <w:noEndnote/>
        </w:sectPr>
      </w:pPr>
    </w:p>
    <w:p w:rsidR="00ED665B" w:rsidRPr="00D9219B" w:rsidRDefault="006C7D2F" w:rsidP="00DC2656">
      <w:pPr>
        <w:numPr>
          <w:ilvl w:val="0"/>
          <w:numId w:val="28"/>
        </w:numPr>
        <w:tabs>
          <w:tab w:val="left" w:pos="360"/>
        </w:tabs>
        <w:ind w:left="360" w:hanging="360"/>
        <w:jc w:val="both"/>
        <w:rPr>
          <w:rFonts w:ascii="Calibri" w:hAnsi="Calibri" w:cs="Calibri"/>
        </w:rPr>
      </w:pPr>
      <w:r w:rsidRPr="00D9219B">
        <w:rPr>
          <w:rFonts w:ascii="Calibri" w:hAnsi="Calibri"/>
        </w:rPr>
        <w:lastRenderedPageBreak/>
        <w:t>Peter JG, Zijenah LS, Chanda D, Clowes P, Lesosky M, Gina P et al. Efect on mortality of point-of-care, urine-based lipoarabinomannan testing to guide tuberculosis treatment initiation in HIV-positive hospital inpatients: a pragmatic, parallel-group, multicountry, open-label, randomised controlled trial. Lancet. 2016;387(10024):1187–97 (http://dx.doi.org/10.1016/s0140-6736(15)01092-2, accessed 26 May 2020).</w:t>
      </w:r>
    </w:p>
    <w:p w:rsidR="00ED665B" w:rsidRPr="00D9219B" w:rsidRDefault="006C7D2F" w:rsidP="00DC2656">
      <w:pPr>
        <w:numPr>
          <w:ilvl w:val="0"/>
          <w:numId w:val="28"/>
        </w:numPr>
        <w:tabs>
          <w:tab w:val="left" w:pos="360"/>
        </w:tabs>
        <w:spacing w:before="82"/>
        <w:ind w:left="360" w:hanging="360"/>
        <w:jc w:val="both"/>
        <w:rPr>
          <w:rFonts w:ascii="Calibri" w:hAnsi="Calibri" w:cs="Calibri"/>
        </w:rPr>
      </w:pPr>
      <w:r w:rsidRPr="00D9219B">
        <w:rPr>
          <w:rFonts w:ascii="Calibri" w:hAnsi="Calibri"/>
        </w:rPr>
        <w:t>The use of lateral flow urine lipoarabinomannan assay (LF-LAM) for the diagnosis and screening of active tuberculosis in people living with HIV. Policy guidance. Geneva: World Health Organization; 2015 (https://www.who.int/tb/publications/use-of-lf-lam-tb-hiv/en/, accessed 5 June 2020)</w:t>
      </w:r>
    </w:p>
    <w:p w:rsidR="00ED665B" w:rsidRPr="00D9219B" w:rsidRDefault="006C7D2F" w:rsidP="00DC2656">
      <w:pPr>
        <w:numPr>
          <w:ilvl w:val="0"/>
          <w:numId w:val="28"/>
        </w:numPr>
        <w:tabs>
          <w:tab w:val="left" w:pos="360"/>
        </w:tabs>
        <w:spacing w:before="82"/>
        <w:ind w:left="360" w:hanging="360"/>
        <w:jc w:val="both"/>
        <w:rPr>
          <w:rFonts w:ascii="Calibri" w:hAnsi="Calibri" w:cs="Calibri"/>
        </w:rPr>
      </w:pPr>
      <w:r w:rsidRPr="00D9219B">
        <w:rPr>
          <w:rFonts w:ascii="Calibri" w:hAnsi="Calibri"/>
        </w:rPr>
        <w:t>Lateral flow urine lipoarabinomannan assay (LF-LAM) for the diagnosis of active tuberculosis in people living with HIV. Policy update. Geneva: World Health Organization; 2019 (https://www.who. int/tb/publications/2019/diagnose_tb_hiv/en/, accessed 5 June 2020).</w:t>
      </w:r>
    </w:p>
    <w:p w:rsidR="00ED665B" w:rsidRPr="00D9219B" w:rsidRDefault="006C7D2F" w:rsidP="00DC2656">
      <w:pPr>
        <w:numPr>
          <w:ilvl w:val="0"/>
          <w:numId w:val="28"/>
        </w:numPr>
        <w:tabs>
          <w:tab w:val="left" w:pos="360"/>
        </w:tabs>
        <w:spacing w:before="82"/>
        <w:ind w:left="360" w:hanging="360"/>
        <w:jc w:val="both"/>
        <w:rPr>
          <w:rFonts w:ascii="Calibri" w:hAnsi="Calibri" w:cs="Calibri"/>
        </w:rPr>
      </w:pPr>
      <w:r w:rsidRPr="00D9219B">
        <w:rPr>
          <w:rFonts w:ascii="Calibri" w:hAnsi="Calibri"/>
        </w:rPr>
        <w:t>WHO consolidated guidelines on tuberculosis, module 4: treatment – drug-resistant tuberculosis treatment. Geneva: World Health Organization; 2020 (https://www.who.int/publications/i/ item/9789240007048).</w:t>
      </w:r>
    </w:p>
    <w:p w:rsidR="00ED665B" w:rsidRPr="00D9219B" w:rsidRDefault="006C7D2F" w:rsidP="00DC2656">
      <w:pPr>
        <w:numPr>
          <w:ilvl w:val="0"/>
          <w:numId w:val="28"/>
        </w:numPr>
        <w:tabs>
          <w:tab w:val="left" w:pos="360"/>
        </w:tabs>
        <w:spacing w:before="82"/>
        <w:ind w:left="360" w:hanging="360"/>
        <w:jc w:val="both"/>
        <w:rPr>
          <w:rFonts w:ascii="Calibri" w:hAnsi="Calibri" w:cs="Calibri"/>
        </w:rPr>
      </w:pPr>
      <w:r w:rsidRPr="00D9219B">
        <w:rPr>
          <w:rFonts w:ascii="Calibri" w:hAnsi="Calibri"/>
        </w:rPr>
        <w:t xml:space="preserve">Chakravorty S, Simmons AM, Rowneki M, Parmar H, Cao Y, Ryan J et al. The new Xpert MTB/RIF Ultra: improving detection of </w:t>
      </w:r>
      <w:r w:rsidRPr="00D9219B">
        <w:rPr>
          <w:rFonts w:ascii="Calibri" w:hAnsi="Calibri"/>
          <w:i/>
        </w:rPr>
        <w:t>Mycobacterium tuberculosis</w:t>
      </w:r>
      <w:r w:rsidRPr="00D9219B">
        <w:rPr>
          <w:rFonts w:ascii="Calibri" w:hAnsi="Calibri"/>
        </w:rPr>
        <w:t xml:space="preserve"> and resistance to rifampin in an assay suitable for point-of-care testing. mBio. 2017;8(4) (https://pubmed.ncbi.nlm.nih.gov/28851844/).</w:t>
      </w:r>
    </w:p>
    <w:p w:rsidR="00ED665B" w:rsidRPr="00D9219B" w:rsidRDefault="006C7D2F" w:rsidP="00DC2656">
      <w:pPr>
        <w:numPr>
          <w:ilvl w:val="0"/>
          <w:numId w:val="28"/>
        </w:numPr>
        <w:tabs>
          <w:tab w:val="left" w:pos="360"/>
        </w:tabs>
        <w:spacing w:before="82"/>
        <w:ind w:left="360" w:hanging="360"/>
        <w:jc w:val="both"/>
        <w:rPr>
          <w:rFonts w:ascii="Calibri" w:hAnsi="Calibri" w:cs="Calibri"/>
        </w:rPr>
      </w:pPr>
      <w:r w:rsidRPr="00D9219B">
        <w:rPr>
          <w:rFonts w:ascii="Calibri" w:hAnsi="Calibri"/>
        </w:rPr>
        <w:t>Xpert MTB/XDR clinical evaluation trial (ClinicalTrials.gov Identifer: NCT03728725). 2021 (https:// clinicaltrials.gov/ct2/show/NCT03728725).</w:t>
      </w:r>
    </w:p>
    <w:p w:rsidR="00ED665B" w:rsidRPr="00D9219B" w:rsidRDefault="006C7D2F" w:rsidP="00DC2656">
      <w:pPr>
        <w:numPr>
          <w:ilvl w:val="0"/>
          <w:numId w:val="28"/>
        </w:numPr>
        <w:tabs>
          <w:tab w:val="left" w:pos="360"/>
        </w:tabs>
        <w:spacing w:before="77"/>
        <w:ind w:left="360" w:right="5" w:hanging="360"/>
        <w:jc w:val="both"/>
        <w:rPr>
          <w:rFonts w:ascii="Calibri" w:hAnsi="Calibri" w:cs="Calibri"/>
        </w:rPr>
      </w:pPr>
      <w:r w:rsidRPr="00D9219B">
        <w:rPr>
          <w:rFonts w:ascii="Calibri" w:hAnsi="Calibri"/>
        </w:rPr>
        <w:t>Camus J-C, Pryor MJ, Médigue C, Cole ST. Re-annotation of the genome sequence of Mycobacterium tuberculosis H37Rv. Microbiology. 2002;148(10):2967–73.</w:t>
      </w:r>
    </w:p>
    <w:p w:rsidR="00ED665B" w:rsidRPr="00D9219B" w:rsidRDefault="006C7D2F" w:rsidP="00DC2656">
      <w:pPr>
        <w:numPr>
          <w:ilvl w:val="0"/>
          <w:numId w:val="28"/>
        </w:numPr>
        <w:tabs>
          <w:tab w:val="left" w:pos="360"/>
        </w:tabs>
        <w:spacing w:before="82"/>
        <w:ind w:left="360" w:hanging="360"/>
        <w:jc w:val="both"/>
        <w:rPr>
          <w:rFonts w:ascii="Calibri" w:hAnsi="Calibri" w:cs="Calibri"/>
        </w:rPr>
      </w:pPr>
      <w:r w:rsidRPr="00D9219B">
        <w:rPr>
          <w:rFonts w:ascii="Calibri" w:hAnsi="Calibri"/>
        </w:rPr>
        <w:t>Ling DI, Zwerling AA, Pai M. GenoType MTBDR assays for the diagnosis of multidrug-resistant tuberculosis: a meta-analysis. Eur Respir J. 2008;32(5):1165–74 (https://erj.ersjournals.com/ content/32/5/1165, accessed 1 June 2020).</w:t>
      </w:r>
    </w:p>
    <w:p w:rsidR="00ED665B" w:rsidRPr="00D9219B" w:rsidRDefault="006C7D2F" w:rsidP="00DC2656">
      <w:pPr>
        <w:numPr>
          <w:ilvl w:val="0"/>
          <w:numId w:val="28"/>
        </w:numPr>
        <w:tabs>
          <w:tab w:val="left" w:pos="360"/>
        </w:tabs>
        <w:spacing w:before="82"/>
        <w:ind w:left="360" w:hanging="360"/>
        <w:jc w:val="both"/>
        <w:rPr>
          <w:rFonts w:ascii="Calibri" w:hAnsi="Calibri" w:cs="Calibri"/>
        </w:rPr>
      </w:pPr>
      <w:r w:rsidRPr="00D9219B">
        <w:rPr>
          <w:rFonts w:ascii="Calibri" w:hAnsi="Calibri"/>
        </w:rPr>
        <w:t>Molecular line probe assays for rapid screening of patients at risk of multidrug-resistant tuberculosis (MDR-TB): policy statement. Geneva: World Health Organization; 2011 (https://www.who.int/tb/ laboratory/line_probe_assays/en/, accessed 1 June 2020).</w:t>
      </w:r>
    </w:p>
    <w:p w:rsidR="00ED665B" w:rsidRPr="00D9219B" w:rsidRDefault="006C7D2F" w:rsidP="00DC2656">
      <w:pPr>
        <w:numPr>
          <w:ilvl w:val="0"/>
          <w:numId w:val="28"/>
        </w:numPr>
        <w:tabs>
          <w:tab w:val="left" w:pos="360"/>
        </w:tabs>
        <w:spacing w:before="82"/>
        <w:ind w:left="360" w:hanging="360"/>
        <w:jc w:val="both"/>
        <w:rPr>
          <w:rFonts w:ascii="Calibri" w:hAnsi="Calibri" w:cs="Calibri"/>
        </w:rPr>
      </w:pPr>
      <w:r w:rsidRPr="00D9219B">
        <w:rPr>
          <w:rFonts w:ascii="Calibri" w:hAnsi="Calibri"/>
        </w:rPr>
        <w:t>Nathavitharana RR, Cudahy PG, Schumacher SG, Steingart KR, Pai M, Denkinger CM. Accuracy of line probe assays for the diagnosis of pulmonary and multidrug-resistant tuberculosis: a systematic review and meta-analysis. Eur Respir J. 2017;49(1):1601075.</w:t>
      </w:r>
    </w:p>
    <w:p w:rsidR="00ED665B" w:rsidRPr="00D9219B" w:rsidRDefault="006C7D2F" w:rsidP="00DC2656">
      <w:pPr>
        <w:numPr>
          <w:ilvl w:val="0"/>
          <w:numId w:val="28"/>
        </w:numPr>
        <w:tabs>
          <w:tab w:val="left" w:pos="360"/>
        </w:tabs>
        <w:spacing w:before="82"/>
        <w:ind w:left="360" w:hanging="360"/>
        <w:jc w:val="both"/>
        <w:rPr>
          <w:rFonts w:ascii="Calibri" w:hAnsi="Calibri" w:cs="Calibri"/>
        </w:rPr>
      </w:pPr>
      <w:r w:rsidRPr="00D9219B">
        <w:rPr>
          <w:rFonts w:ascii="Calibri" w:hAnsi="Calibri"/>
        </w:rPr>
        <w:t>Rapid diagnosis of tuberculosis brochure. Nehren, Germany: Hain Lifescience; 2015 (http://www. hain-lifescience.de/uploadfles/fle/produkte/mikrobiologie/mykobakterien/tb_eng.pdf, accessed 1 June 2020).</w:t>
      </w:r>
    </w:p>
    <w:p w:rsidR="00ED665B" w:rsidRPr="00D9219B" w:rsidRDefault="006C7D2F" w:rsidP="00DC2656">
      <w:pPr>
        <w:numPr>
          <w:ilvl w:val="0"/>
          <w:numId w:val="28"/>
        </w:numPr>
        <w:tabs>
          <w:tab w:val="left" w:pos="360"/>
        </w:tabs>
        <w:spacing w:before="82"/>
        <w:ind w:left="360" w:hanging="360"/>
        <w:jc w:val="both"/>
        <w:rPr>
          <w:rFonts w:ascii="Calibri" w:hAnsi="Calibri" w:cs="Calibri"/>
        </w:rPr>
      </w:pPr>
      <w:r w:rsidRPr="00D9219B">
        <w:rPr>
          <w:rFonts w:ascii="Calibri" w:hAnsi="Calibri"/>
        </w:rPr>
        <w:t xml:space="preserve">Gikalo MB, Nosova EY, Krylova LY, Moroz AM. The role of </w:t>
      </w:r>
      <w:r w:rsidRPr="00D9219B">
        <w:rPr>
          <w:rFonts w:ascii="Calibri" w:hAnsi="Calibri"/>
          <w:i/>
        </w:rPr>
        <w:t>eis</w:t>
      </w:r>
      <w:r w:rsidRPr="00D9219B">
        <w:rPr>
          <w:rFonts w:ascii="Calibri" w:hAnsi="Calibri"/>
        </w:rPr>
        <w:t xml:space="preserve"> mutations in the development of kanamycin resistance in Mycobacterium tuberculosis isolates from the Moscow region. J Antimicrob Chemother. 2012;67(9):2107–9.</w:t>
      </w:r>
    </w:p>
    <w:p w:rsidR="00ED665B" w:rsidRPr="00D9219B" w:rsidRDefault="006C7D2F" w:rsidP="00DC2656">
      <w:pPr>
        <w:numPr>
          <w:ilvl w:val="0"/>
          <w:numId w:val="28"/>
        </w:numPr>
        <w:tabs>
          <w:tab w:val="left" w:pos="360"/>
        </w:tabs>
        <w:spacing w:before="77"/>
        <w:ind w:left="360" w:hanging="360"/>
        <w:jc w:val="both"/>
        <w:rPr>
          <w:rFonts w:ascii="Calibri" w:hAnsi="Calibri" w:cs="Calibri"/>
        </w:rPr>
      </w:pPr>
      <w:r w:rsidRPr="00D9219B">
        <w:rPr>
          <w:rFonts w:ascii="Calibri" w:hAnsi="Calibri"/>
        </w:rPr>
        <w:t>Bossuyt P, Reitsma J, Bruns D, Gatsonis C, Glasziou P, Irwig L et al. STARD 2015: an updated list of essential items for reporting diagnostic accuracy studies. BMJ 351: h5527. 2015.</w:t>
      </w:r>
    </w:p>
    <w:p w:rsidR="00ED665B" w:rsidRPr="00D9219B" w:rsidRDefault="006C7D2F" w:rsidP="00DC2656">
      <w:pPr>
        <w:numPr>
          <w:ilvl w:val="0"/>
          <w:numId w:val="28"/>
        </w:numPr>
        <w:tabs>
          <w:tab w:val="left" w:pos="360"/>
        </w:tabs>
        <w:spacing w:before="82"/>
        <w:ind w:left="360" w:hanging="360"/>
        <w:jc w:val="both"/>
        <w:rPr>
          <w:rFonts w:ascii="Calibri" w:hAnsi="Calibri" w:cs="Calibri"/>
        </w:rPr>
      </w:pPr>
      <w:r w:rsidRPr="00D9219B">
        <w:rPr>
          <w:rFonts w:ascii="Calibri" w:hAnsi="Calibri"/>
        </w:rPr>
        <w:t xml:space="preserve">Sekiguchi J, Nakamura T, Miyoshi-Akiyama T, Kirikae F, Kobayashi I, Augustynowicz-Kopec E et al. Development and evaluation of a line probe assay for rapid identifcation of pncA mutations in pyrazinamide-resistant </w:t>
      </w:r>
      <w:r w:rsidRPr="00D9219B">
        <w:rPr>
          <w:rFonts w:ascii="Calibri" w:hAnsi="Calibri"/>
          <w:i/>
        </w:rPr>
        <w:t>Mycobacterium tuberculosis</w:t>
      </w:r>
      <w:r w:rsidRPr="00D9219B">
        <w:rPr>
          <w:rFonts w:ascii="Calibri" w:hAnsi="Calibri"/>
        </w:rPr>
        <w:t xml:space="preserve"> strains. J Clin Microbiol. 2007;45(9):2802–7 (https://pubmed.ncbi.nlm.nih.gov/17596354/).</w:t>
      </w:r>
    </w:p>
    <w:p w:rsidR="00ED665B" w:rsidRPr="00D9219B" w:rsidRDefault="006C7D2F" w:rsidP="00DC2656">
      <w:pPr>
        <w:numPr>
          <w:ilvl w:val="0"/>
          <w:numId w:val="28"/>
        </w:numPr>
        <w:tabs>
          <w:tab w:val="left" w:pos="360"/>
        </w:tabs>
        <w:spacing w:before="82"/>
        <w:ind w:left="360" w:right="5" w:hanging="360"/>
        <w:jc w:val="both"/>
        <w:rPr>
          <w:rFonts w:ascii="Calibri" w:hAnsi="Calibri" w:cs="Calibri"/>
        </w:rPr>
      </w:pPr>
      <w:r w:rsidRPr="00D9219B">
        <w:rPr>
          <w:rFonts w:ascii="Calibri" w:hAnsi="Calibri"/>
        </w:rPr>
        <w:t>Köser CU, Cirillo DM, Miotto P. How to optimally combine genotypic and phenotypic drug susceptibility testing methods for pyrazinamide. Antimicrob Agents Chemother. 2020;64(9):e01003–20 (https:// pubmed.ncbi.nlm.nih.gov/32571824).</w:t>
      </w:r>
    </w:p>
    <w:p w:rsidR="00ED665B" w:rsidRPr="00F03F89" w:rsidRDefault="00ED665B" w:rsidP="00DC2656">
      <w:pPr>
        <w:numPr>
          <w:ilvl w:val="0"/>
          <w:numId w:val="28"/>
        </w:numPr>
        <w:tabs>
          <w:tab w:val="left" w:pos="360"/>
        </w:tabs>
        <w:spacing w:before="82"/>
        <w:ind w:left="360" w:right="5" w:hanging="360"/>
        <w:jc w:val="both"/>
        <w:rPr>
          <w:rFonts w:ascii="Calibri" w:hAnsi="Calibri" w:cs="Calibri"/>
          <w:vanish/>
          <w:color w:val="000000"/>
        </w:rPr>
        <w:sectPr w:rsidR="00ED665B" w:rsidRPr="00F03F89">
          <w:footerReference w:type="default" r:id="rId303"/>
          <w:pgSz w:w="11904" w:h="16838"/>
          <w:pgMar w:top="1354" w:right="1416" w:bottom="1694" w:left="1416" w:header="720" w:footer="720" w:gutter="0"/>
          <w:cols w:space="60"/>
          <w:noEndnote/>
        </w:sectPr>
      </w:pPr>
    </w:p>
    <w:p w:rsidR="00ED665B" w:rsidRPr="00D9219B" w:rsidRDefault="006C7D2F" w:rsidP="00DC2656">
      <w:pPr>
        <w:numPr>
          <w:ilvl w:val="0"/>
          <w:numId w:val="29"/>
        </w:numPr>
        <w:tabs>
          <w:tab w:val="left" w:pos="360"/>
        </w:tabs>
        <w:ind w:left="360" w:hanging="360"/>
        <w:jc w:val="both"/>
        <w:rPr>
          <w:rFonts w:ascii="Calibri" w:hAnsi="Calibri" w:cs="Calibri"/>
        </w:rPr>
      </w:pPr>
      <w:r w:rsidRPr="00D9219B">
        <w:rPr>
          <w:rFonts w:ascii="Calibri" w:hAnsi="Calibri"/>
        </w:rPr>
        <w:lastRenderedPageBreak/>
        <w:t>Shah M, Chihota V, Coetzee G, Churchyard G, Dorman SE. Comparison of laboratory costs of rapid molecular tests and conventional diagnostics for detection of tuberculosis and drug-resistant tuberculosis in South Africa. BMC Infect Dis. 2013;13:352 (https://pubmed.ncbi.nlm.nih. gov/23895665/).</w:t>
      </w:r>
    </w:p>
    <w:p w:rsidR="00ED665B" w:rsidRPr="00D9219B" w:rsidRDefault="006C7D2F" w:rsidP="00DC2656">
      <w:pPr>
        <w:numPr>
          <w:ilvl w:val="0"/>
          <w:numId w:val="29"/>
        </w:numPr>
        <w:tabs>
          <w:tab w:val="left" w:pos="360"/>
        </w:tabs>
        <w:spacing w:before="82"/>
        <w:ind w:left="360" w:right="5" w:hanging="360"/>
        <w:jc w:val="both"/>
        <w:rPr>
          <w:rFonts w:ascii="Calibri" w:hAnsi="Calibri" w:cs="Calibri"/>
        </w:rPr>
      </w:pPr>
      <w:r w:rsidRPr="00D9219B">
        <w:rPr>
          <w:rFonts w:ascii="Calibri" w:hAnsi="Calibri"/>
        </w:rPr>
        <w:t>Groessl EJ, Ganiats TG, Hillery N, Trollip A, Jackson RL, Catanzaro DG et al. Cost analysis of rapid diagnostics for drug-resistant tuberculosis. BMC Infect Dis. 2018;18(1):102 (https://pubmed.ncbi. nlm.nih.gov/29499645/).</w:t>
      </w:r>
    </w:p>
    <w:p w:rsidR="00ED665B" w:rsidRPr="00D9219B" w:rsidRDefault="006C7D2F" w:rsidP="00DC2656">
      <w:pPr>
        <w:numPr>
          <w:ilvl w:val="0"/>
          <w:numId w:val="29"/>
        </w:numPr>
        <w:tabs>
          <w:tab w:val="left" w:pos="360"/>
        </w:tabs>
        <w:spacing w:before="82"/>
        <w:ind w:left="360" w:right="5" w:hanging="360"/>
        <w:jc w:val="both"/>
        <w:rPr>
          <w:rFonts w:ascii="Calibri" w:hAnsi="Calibri" w:cs="Calibri"/>
        </w:rPr>
      </w:pPr>
      <w:r w:rsidRPr="00D9219B">
        <w:rPr>
          <w:rFonts w:ascii="Calibri" w:hAnsi="Calibri"/>
          <w:lang w:val="nl-NL"/>
        </w:rPr>
        <w:t xml:space="preserve">Li X, Deng Y, Wang J, Jing H, Shu W, Qin J et al. </w:t>
      </w:r>
      <w:r w:rsidRPr="00D9219B">
        <w:rPr>
          <w:rFonts w:ascii="Calibri" w:hAnsi="Calibri"/>
        </w:rPr>
        <w:t>Rapid diagnosis of multidrug-resistant tuberculosis impacts expenditures prior to appropriate treatment: a performance and diagnostic cost analysis. Infect Drug Resist. 2019;12:3549–55 (https://pubmed.ncbi.nlm.nih.gov/31814743/).</w:t>
      </w:r>
    </w:p>
    <w:p w:rsidR="00ED665B" w:rsidRPr="00D9219B" w:rsidRDefault="006C7D2F" w:rsidP="00DC2656">
      <w:pPr>
        <w:numPr>
          <w:ilvl w:val="0"/>
          <w:numId w:val="29"/>
        </w:numPr>
        <w:tabs>
          <w:tab w:val="left" w:pos="360"/>
        </w:tabs>
        <w:spacing w:before="82"/>
        <w:ind w:left="360" w:right="5" w:hanging="360"/>
        <w:jc w:val="both"/>
        <w:rPr>
          <w:rFonts w:ascii="Calibri" w:hAnsi="Calibri" w:cs="Calibri"/>
        </w:rPr>
      </w:pPr>
      <w:r w:rsidRPr="00D9219B">
        <w:rPr>
          <w:rFonts w:ascii="Calibri" w:hAnsi="Calibri"/>
        </w:rPr>
        <w:t>Pooran A, Pieterson E, Davids M, Theron G, Dheda K. What is the cost of diagnosis and management of drug resistant tuberculosis in South Africa? PLoS One. 2013;8(1):e54587 (https://pubmed.ncbi. nlm.nih.gov/23349933/).</w:t>
      </w:r>
    </w:p>
    <w:p w:rsidR="00ED665B" w:rsidRPr="00D9219B" w:rsidRDefault="006C7D2F" w:rsidP="00DC2656">
      <w:pPr>
        <w:numPr>
          <w:ilvl w:val="0"/>
          <w:numId w:val="29"/>
        </w:numPr>
        <w:tabs>
          <w:tab w:val="left" w:pos="360"/>
        </w:tabs>
        <w:spacing w:before="82"/>
        <w:ind w:left="360" w:right="5" w:hanging="360"/>
        <w:jc w:val="both"/>
        <w:rPr>
          <w:rFonts w:ascii="Calibri" w:hAnsi="Calibri" w:cs="Calibri"/>
        </w:rPr>
      </w:pPr>
      <w:r w:rsidRPr="00D9219B">
        <w:rPr>
          <w:rFonts w:ascii="Calibri" w:hAnsi="Calibri"/>
        </w:rPr>
        <w:t xml:space="preserve">Zignol M, Dean AS, Alikhanova N, Andres S, Cabibbe AM, Cirillo DM et al. Population-based resistance of </w:t>
      </w:r>
      <w:r w:rsidRPr="00D9219B">
        <w:rPr>
          <w:rFonts w:ascii="Calibri" w:hAnsi="Calibri"/>
          <w:i/>
        </w:rPr>
        <w:t>Mycobacterium tuberculosis</w:t>
      </w:r>
      <w:r w:rsidRPr="00D9219B">
        <w:rPr>
          <w:rFonts w:ascii="Calibri" w:hAnsi="Calibri"/>
        </w:rPr>
        <w:t xml:space="preserve"> isolates to pyrazinamide and fuoroquinolones: results from a multicountry surveillance project. Lancet Infect Dis. 2016;16(10):1185–92 (https://pubmed.ncbi. nlm.nih.gov/27397590/).</w:t>
      </w:r>
    </w:p>
    <w:p w:rsidR="00ED665B" w:rsidRPr="00907702" w:rsidRDefault="00ED665B" w:rsidP="00DC2656">
      <w:pPr>
        <w:numPr>
          <w:ilvl w:val="0"/>
          <w:numId w:val="29"/>
        </w:numPr>
        <w:tabs>
          <w:tab w:val="left" w:pos="360"/>
        </w:tabs>
        <w:spacing w:before="82"/>
        <w:ind w:left="360" w:right="5" w:hanging="360"/>
        <w:jc w:val="both"/>
        <w:rPr>
          <w:rFonts w:ascii="Calibri" w:hAnsi="Calibri" w:cs="Calibri"/>
          <w:color w:val="000000"/>
        </w:rPr>
        <w:sectPr w:rsidR="00ED665B" w:rsidRPr="00907702" w:rsidSect="00D9219B">
          <w:pgSz w:w="11904" w:h="16838"/>
          <w:pgMar w:top="1354" w:right="1411" w:bottom="6663" w:left="1416" w:header="720" w:footer="720" w:gutter="0"/>
          <w:cols w:space="60"/>
          <w:noEndnote/>
        </w:sectPr>
      </w:pPr>
    </w:p>
    <w:p w:rsidR="00ED665B" w:rsidRPr="00D9219B" w:rsidRDefault="00B32E34" w:rsidP="00DC2656">
      <w:pPr>
        <w:ind w:right="1306"/>
        <w:rPr>
          <w:rFonts w:ascii="Calibri" w:hAnsi="Calibri" w:cs="Calibri"/>
          <w:bCs/>
        </w:rPr>
      </w:pPr>
      <w:bookmarkStart w:id="32" w:name="bookmark37"/>
      <w:r w:rsidRPr="00D9219B">
        <w:rPr>
          <w:rFonts w:ascii="Calibri" w:hAnsi="Calibri"/>
          <w:noProof/>
          <w:color w:val="009649"/>
          <w:sz w:val="64"/>
          <w:lang w:val="en-US" w:bidi="ar-SA"/>
        </w:rPr>
        <w:lastRenderedPageBreak/>
        <w:drawing>
          <wp:anchor distT="0" distB="0" distL="6400800" distR="6400800" simplePos="0" relativeHeight="251762688" behindDoc="1" locked="0" layoutInCell="0" allowOverlap="1" wp14:anchorId="0DD7F68D" wp14:editId="311A2E34">
            <wp:simplePos x="0" y="0"/>
            <wp:positionH relativeFrom="page">
              <wp:align>left</wp:align>
            </wp:positionH>
            <wp:positionV relativeFrom="page">
              <wp:posOffset>15432</wp:posOffset>
            </wp:positionV>
            <wp:extent cx="7560000" cy="1742400"/>
            <wp:effectExtent l="0" t="0" r="3175" b="0"/>
            <wp:wrapNone/>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000" cy="174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19B">
        <w:rPr>
          <w:rFonts w:ascii="Calibri" w:hAnsi="Calibri"/>
          <w:color w:val="009649"/>
          <w:sz w:val="64"/>
        </w:rPr>
        <w:t>Д</w:t>
      </w:r>
      <w:bookmarkEnd w:id="32"/>
      <w:r w:rsidRPr="00D9219B">
        <w:rPr>
          <w:rFonts w:ascii="Calibri" w:hAnsi="Calibri"/>
          <w:color w:val="009649"/>
          <w:sz w:val="64"/>
        </w:rPr>
        <w:t>одаток 1: Методи розробки настанов</w:t>
      </w:r>
    </w:p>
    <w:p w:rsidR="00ED665B" w:rsidRPr="00636128" w:rsidRDefault="006C7D2F" w:rsidP="00D9219B">
      <w:pPr>
        <w:spacing w:before="600"/>
        <w:jc w:val="both"/>
        <w:rPr>
          <w:rFonts w:ascii="Calibri" w:hAnsi="Calibri" w:cs="Calibri"/>
          <w:b/>
          <w:bCs/>
        </w:rPr>
      </w:pPr>
      <w:r>
        <w:rPr>
          <w:rFonts w:ascii="Calibri" w:hAnsi="Calibri"/>
          <w:b/>
          <w:color w:val="009649"/>
          <w:sz w:val="28"/>
        </w:rPr>
        <w:t>Методи, що використовуються для розробки керівництв Всесвітньої організації охорони здоров’я</w:t>
      </w:r>
    </w:p>
    <w:p w:rsidR="00ED665B" w:rsidRPr="00907702" w:rsidRDefault="006C7D2F" w:rsidP="00DC2656">
      <w:pPr>
        <w:spacing w:before="173"/>
        <w:ind w:right="5"/>
        <w:jc w:val="both"/>
        <w:rPr>
          <w:rFonts w:ascii="Calibri" w:hAnsi="Calibri" w:cs="Calibri"/>
        </w:rPr>
      </w:pPr>
      <w:r>
        <w:rPr>
          <w:rFonts w:ascii="Calibri" w:hAnsi="Calibri"/>
          <w:color w:val="000000"/>
          <w:sz w:val="22"/>
        </w:rPr>
        <w:t>Для розробки нових або оновлення існуючих керівництв щодо методів та інструментів діагностики туберкульозу (ТБ) Глобальна програма боротьби з туберкульозом проводить систематичні огляди щодо ефективності або використання відповідного інструменту чи методу. Систематичний огляд містить підсумок поточної літератури щодо діагностичної точності або аспектів користувача, діагностики ТБ або виявлення медикаментозної резистентності, які використовуються в анти-ТБ терапії у дорослих чи дітей (або обох) з ознаками та симптомами ТБ.</w:t>
      </w:r>
    </w:p>
    <w:p w:rsidR="00ED665B" w:rsidRPr="00907702" w:rsidRDefault="006C7D2F" w:rsidP="00DC2656">
      <w:pPr>
        <w:spacing w:before="168"/>
        <w:ind w:right="5"/>
        <w:jc w:val="both"/>
        <w:rPr>
          <w:rFonts w:ascii="Calibri" w:hAnsi="Calibri" w:cs="Calibri"/>
        </w:rPr>
      </w:pPr>
      <w:r>
        <w:rPr>
          <w:rFonts w:ascii="Calibri" w:hAnsi="Calibri"/>
          <w:color w:val="000000"/>
          <w:sz w:val="22"/>
        </w:rPr>
        <w:t>Достовірність даних оцінюється послідовно для документально підтверджених даних з використанням підходу градації з оцінки, розробки та ранжування рекомендацій (GRADE). GRADE дає загальну оцінку якості (або визначеності) даних та основу для перетворення даних у рекомендації. Якість доказових даних оцінюється як висока, середня, низька або дуже низька. Ці чотири категорії передбачають градієнт довіри до оцінок. Навіть якщо дослідження точності діагностики має спостережну структуру, воно спочатку вважатиметься високоякісним доказом у підході GRADE.</w:t>
      </w:r>
      <w:r>
        <w:rPr>
          <w:rFonts w:ascii="Calibri" w:hAnsi="Calibri"/>
          <w:color w:val="000000"/>
          <w:sz w:val="22"/>
          <w:vertAlign w:val="superscript"/>
        </w:rPr>
        <w:t>19</w:t>
      </w:r>
    </w:p>
    <w:p w:rsidR="00ED665B" w:rsidRPr="00907702" w:rsidRDefault="006C7D2F" w:rsidP="00DC2656">
      <w:pPr>
        <w:spacing w:before="178"/>
        <w:ind w:right="5"/>
        <w:jc w:val="both"/>
        <w:rPr>
          <w:rFonts w:ascii="Calibri" w:hAnsi="Calibri" w:cs="Calibri"/>
        </w:rPr>
      </w:pPr>
      <w:r>
        <w:rPr>
          <w:rFonts w:ascii="Calibri" w:hAnsi="Calibri"/>
          <w:color w:val="000000"/>
          <w:sz w:val="22"/>
        </w:rPr>
        <w:t>Крім того, Глобальна програма боротьби з туберкульозом проводить систематичні огляди для збору даних у галузі використання ресурсів (тобто витрат та співвідношення витрати / ефективність), а також перспектив кінцевих споживачів щодо конкретних діагностичних тестів чи заходів. Цей процес «від даних до рекомендацій» впливає на такі сфери, як доцільність, доступність, рівність та значення для кінцевих споживачів.</w:t>
      </w:r>
    </w:p>
    <w:p w:rsidR="00ED665B" w:rsidRPr="00907702" w:rsidRDefault="006C7D2F" w:rsidP="00DC2656">
      <w:pPr>
        <w:spacing w:before="168"/>
        <w:jc w:val="both"/>
        <w:rPr>
          <w:rFonts w:ascii="Calibri" w:hAnsi="Calibri" w:cs="Calibri"/>
        </w:rPr>
      </w:pPr>
      <w:r>
        <w:rPr>
          <w:rFonts w:ascii="Calibri" w:hAnsi="Calibri"/>
          <w:color w:val="000000"/>
          <w:sz w:val="22"/>
        </w:rPr>
        <w:t>Якщо дані про систематичний огляд відсутні або їх мало, можливі наступні ефекти можуть бути змодельовані як для діагностичної точності, так і для економічної ефективності та співвідношення витрати / ефективність. Наприклад, поширеність цієї хвороби в поєднанні з чутливістю та специфічністю певного тесту може бути використана для оцінки кількості помилкових позитивних результатів та хибнонегативних результатів у популяції. Аналогічно, дані про видатки та співвідношення витрат та ефективності можна оцінювати та моделювати на основі економічних та епідеміологічних даних. Нарешті, якісні дані щодо точки зору кінцевого користувача при використанні певного тесту можна отримати за допомогою інтерв’ю з кінцевим користувачем, якщо загальнодоступних даних мало.</w:t>
      </w:r>
    </w:p>
    <w:p w:rsidR="00ED665B" w:rsidRPr="00907702" w:rsidRDefault="006C7D2F" w:rsidP="00DC2656">
      <w:pPr>
        <w:spacing w:before="163"/>
        <w:ind w:right="5"/>
        <w:jc w:val="both"/>
        <w:rPr>
          <w:rFonts w:ascii="Calibri" w:hAnsi="Calibri" w:cs="Calibri"/>
        </w:rPr>
      </w:pPr>
      <w:r>
        <w:rPr>
          <w:rFonts w:ascii="Calibri" w:hAnsi="Calibri"/>
          <w:color w:val="000000"/>
          <w:sz w:val="22"/>
        </w:rPr>
        <w:t>Після систематичного огляду Глобальна програма боротьби з туберкульозом скликає засідання Групи з розробки керівництва (ГРН) для розгляду зібраних даних. ГРН складається із зовнішніх експертів, центральним завданням яких є розробка рекомендацій, заснованих на даних. ГРН також виконує</w:t>
      </w:r>
    </w:p>
    <w:p w:rsidR="00636128" w:rsidRPr="00636128" w:rsidRDefault="00636128" w:rsidP="0034777B">
      <w:pPr>
        <w:spacing w:before="240"/>
        <w:ind w:right="5"/>
        <w:jc w:val="both"/>
        <w:rPr>
          <w:rFonts w:ascii="Calibri" w:hAnsi="Calibri" w:cs="Calibri"/>
          <w:color w:val="000000"/>
          <w:sz w:val="16"/>
          <w:szCs w:val="16"/>
          <w:u w:val="single"/>
          <w:vertAlign w:val="superscript"/>
        </w:rPr>
      </w:pPr>
      <w:r>
        <w:rPr>
          <w:rFonts w:ascii="Calibri" w:hAnsi="Calibri"/>
          <w:color w:val="000000"/>
          <w:sz w:val="16"/>
          <w:u w:val="single"/>
          <w:vertAlign w:val="superscript"/>
        </w:rPr>
        <w:tab/>
      </w:r>
      <w:r>
        <w:rPr>
          <w:rFonts w:ascii="Calibri" w:hAnsi="Calibri"/>
          <w:color w:val="000000"/>
          <w:sz w:val="16"/>
          <w:u w:val="single"/>
          <w:vertAlign w:val="superscript"/>
        </w:rPr>
        <w:tab/>
      </w:r>
      <w:r>
        <w:rPr>
          <w:rFonts w:ascii="Calibri" w:hAnsi="Calibri"/>
          <w:color w:val="000000"/>
          <w:sz w:val="16"/>
          <w:u w:val="single"/>
          <w:vertAlign w:val="superscript"/>
        </w:rPr>
        <w:tab/>
      </w:r>
    </w:p>
    <w:p w:rsidR="00ED665B" w:rsidRPr="00D9219B" w:rsidRDefault="006C7D2F" w:rsidP="00636128">
      <w:pPr>
        <w:ind w:left="221" w:right="5" w:hanging="221"/>
        <w:jc w:val="both"/>
        <w:rPr>
          <w:rFonts w:ascii="Calibri" w:hAnsi="Calibri" w:cs="Calibri"/>
        </w:rPr>
      </w:pPr>
      <w:r>
        <w:rPr>
          <w:rFonts w:ascii="Calibri" w:hAnsi="Calibri"/>
          <w:color w:val="000000"/>
          <w:sz w:val="16"/>
          <w:vertAlign w:val="superscript"/>
        </w:rPr>
        <w:t>19</w:t>
      </w:r>
      <w:r>
        <w:rPr>
          <w:rFonts w:ascii="Calibri" w:hAnsi="Calibri"/>
          <w:color w:val="000000"/>
          <w:sz w:val="16"/>
        </w:rPr>
        <w:tab/>
      </w:r>
      <w:r w:rsidRPr="00D9219B">
        <w:rPr>
          <w:rFonts w:ascii="Calibri" w:hAnsi="Calibri"/>
          <w:sz w:val="16"/>
        </w:rPr>
        <w:t>Schünemann HJ, Oxman AD, Brozek J, Glasziou P, Jaeschke R, Vist GE et al. Grading quality of evidence and strength of recommendations for diagnostic tests and strategies. Bmj. 2008;336(7653):1106–10 (https://pubmed.ncbi.nlm.nih. gov/18483053/, дата перегляду: 1 червня 2020).</w:t>
      </w:r>
    </w:p>
    <w:p w:rsidR="00ED665B" w:rsidRPr="00907702" w:rsidRDefault="00ED665B" w:rsidP="00DC2656">
      <w:pPr>
        <w:spacing w:before="408"/>
        <w:ind w:left="221" w:right="5" w:hanging="221"/>
        <w:jc w:val="both"/>
        <w:rPr>
          <w:rFonts w:ascii="Calibri" w:hAnsi="Calibri" w:cs="Calibri"/>
        </w:rPr>
        <w:sectPr w:rsidR="00ED665B" w:rsidRPr="00907702">
          <w:footerReference w:type="default" r:id="rId304"/>
          <w:pgSz w:w="11904" w:h="16838"/>
          <w:pgMar w:top="2213" w:right="1411" w:bottom="1368" w:left="1416" w:header="720" w:footer="720" w:gutter="0"/>
          <w:cols w:space="60"/>
          <w:noEndnote/>
        </w:sectPr>
      </w:pPr>
    </w:p>
    <w:p w:rsidR="00ED665B" w:rsidRPr="00907702" w:rsidRDefault="006C7D2F" w:rsidP="00DC2656">
      <w:pPr>
        <w:jc w:val="both"/>
        <w:rPr>
          <w:rFonts w:ascii="Calibri" w:hAnsi="Calibri" w:cs="Calibri"/>
        </w:rPr>
      </w:pPr>
      <w:r>
        <w:rPr>
          <w:rFonts w:ascii="Calibri" w:hAnsi="Calibri"/>
          <w:color w:val="000000"/>
          <w:sz w:val="22"/>
        </w:rPr>
        <w:lastRenderedPageBreak/>
        <w:t>важливе завдання щодо уточнення сфери застосування та ключових питань керівництва у форматі PICO (тобто кількість населення, заходи, порівняння та результат).</w:t>
      </w:r>
    </w:p>
    <w:p w:rsidR="00ED665B" w:rsidRPr="00907702" w:rsidRDefault="006C7D2F" w:rsidP="00DC2656">
      <w:pPr>
        <w:spacing w:before="168"/>
        <w:jc w:val="both"/>
        <w:rPr>
          <w:rFonts w:ascii="Calibri" w:hAnsi="Calibri" w:cs="Calibri"/>
        </w:rPr>
      </w:pPr>
      <w:r>
        <w:rPr>
          <w:rFonts w:ascii="Calibri" w:hAnsi="Calibri"/>
          <w:color w:val="000000"/>
          <w:sz w:val="22"/>
        </w:rPr>
        <w:t>Цю групу слід створити на початку процесу розробки керівництва, після того як керівна група визначила загальний обсяг та цільову аудиторію керівництва та розпочала розробку ключових питань. Група ГРН повинна складатися з відповідних технічних експертів; кінцевих споживачів, таких як керівники програм та медичні працівники, які приймуть, адаптують та впроваджують керівництво; представників груп, на яких найбільшим чином вплинули рекомендації керівних принципів, таких як користувачі послуг та представники груп, які перебувають у несприятливих умовах; експертів з оцінки даних та розробки керівництва, поінформованих доказами; та інших технічних експертів за потребою (наприклад, економіста з охорони здоров’я або експерта з питань рівності, прав людини та статі).</w:t>
      </w:r>
      <w:r>
        <w:rPr>
          <w:rFonts w:ascii="Calibri" w:hAnsi="Calibri"/>
          <w:color w:val="000000"/>
          <w:sz w:val="22"/>
          <w:vertAlign w:val="superscript"/>
        </w:rPr>
        <w:t>20</w:t>
      </w:r>
    </w:p>
    <w:p w:rsidR="00ED665B" w:rsidRPr="00907702" w:rsidRDefault="006C7D2F" w:rsidP="00DC2656">
      <w:pPr>
        <w:spacing w:before="178"/>
        <w:jc w:val="both"/>
        <w:rPr>
          <w:rFonts w:ascii="Calibri" w:hAnsi="Calibri" w:cs="Calibri"/>
        </w:rPr>
      </w:pPr>
      <w:r>
        <w:rPr>
          <w:rFonts w:ascii="Calibri" w:hAnsi="Calibri"/>
          <w:color w:val="000000"/>
          <w:sz w:val="22"/>
        </w:rPr>
        <w:t>Рекомендації розробляються на основі консенсусу членів ГРН, де це можливо. Коли не вдається досягти консенсусу, проводиться голосування. Коли проект керівництва розробляється керівним комітетом ВООЗ, його спочатку розглядають члени ГРН, а згодом – Група зовнішнього рецензування (ГЗР). ГЗР складається з осіб, зацікавлених у цій темі, і може включати ті самі категорії фахівців, що і ГРН. Коли ГЗР переглядає остаточне керівництво, її роль полягає у виявленні будь-яких помилок або відсутніх даних, а також коментування чіткості, умов, конкретних питань та наслідків для впровадження, а не у змінюванні рекомендації, сформульованих ГРН.</w:t>
      </w:r>
      <w:r>
        <w:rPr>
          <w:rFonts w:ascii="Calibri" w:hAnsi="Calibri"/>
          <w:color w:val="000000"/>
          <w:sz w:val="22"/>
          <w:vertAlign w:val="superscript"/>
        </w:rPr>
        <w:t>21</w:t>
      </w:r>
    </w:p>
    <w:p w:rsidR="00ED665B" w:rsidRPr="00636128" w:rsidRDefault="006C7D2F" w:rsidP="00DC2656">
      <w:pPr>
        <w:spacing w:before="250"/>
        <w:rPr>
          <w:rFonts w:ascii="Calibri" w:hAnsi="Calibri" w:cs="Calibri"/>
          <w:b/>
          <w:bCs/>
        </w:rPr>
      </w:pPr>
      <w:r>
        <w:rPr>
          <w:rFonts w:ascii="Calibri" w:hAnsi="Calibri"/>
          <w:b/>
          <w:color w:val="009649"/>
          <w:sz w:val="28"/>
        </w:rPr>
        <w:t>Формулювання рекомендацій</w:t>
      </w:r>
    </w:p>
    <w:p w:rsidR="00ED665B" w:rsidRPr="00907702" w:rsidRDefault="006C7D2F" w:rsidP="00DC2656">
      <w:pPr>
        <w:spacing w:before="168"/>
        <w:jc w:val="both"/>
        <w:rPr>
          <w:rFonts w:ascii="Calibri" w:hAnsi="Calibri" w:cs="Calibri"/>
        </w:rPr>
      </w:pPr>
      <w:r>
        <w:rPr>
          <w:rFonts w:ascii="Calibri" w:hAnsi="Calibri"/>
          <w:color w:val="000000"/>
          <w:sz w:val="22"/>
        </w:rPr>
        <w:t>Дані синтезуються та представляються у таблицях даних GRADE. Структура прийняття рішень на основі доказів (EtD) використовується для подальшого полегшення розгляду доказів та розробки структурованих та прозорих рекомендацій. Нарешті, рекомендації розробляються на основі консенсусу членів ГРН, де це можливо. Коли досягти консенсусу неможливо, відбувається голосування. Рішення щодо напряму та сили рекомендацій також приймаються з огляду на структуру EtD.</w:t>
      </w:r>
    </w:p>
    <w:p w:rsidR="00ED665B" w:rsidRPr="00907702" w:rsidRDefault="006C7D2F" w:rsidP="00DC2656">
      <w:pPr>
        <w:spacing w:before="211"/>
        <w:rPr>
          <w:rFonts w:ascii="Calibri" w:hAnsi="Calibri" w:cs="Calibri"/>
        </w:rPr>
      </w:pPr>
      <w:r>
        <w:rPr>
          <w:rFonts w:ascii="Calibri" w:hAnsi="Calibri"/>
          <w:color w:val="000000"/>
          <w:sz w:val="22"/>
        </w:rPr>
        <w:t>Факторами, які впливали на напрямок та силу рекомендації в цих керівництвах, були:</w:t>
      </w:r>
    </w:p>
    <w:p w:rsidR="00ED665B" w:rsidRPr="00907702" w:rsidRDefault="006C7D2F" w:rsidP="00DC2656">
      <w:pPr>
        <w:numPr>
          <w:ilvl w:val="0"/>
          <w:numId w:val="2"/>
        </w:numPr>
        <w:tabs>
          <w:tab w:val="left" w:pos="240"/>
        </w:tabs>
        <w:spacing w:before="96"/>
        <w:rPr>
          <w:rFonts w:ascii="Calibri" w:hAnsi="Calibri" w:cs="Calibri"/>
          <w:color w:val="009649"/>
          <w:sz w:val="22"/>
          <w:szCs w:val="22"/>
        </w:rPr>
      </w:pPr>
      <w:r>
        <w:rPr>
          <w:rFonts w:ascii="Calibri" w:hAnsi="Calibri"/>
          <w:color w:val="000000"/>
          <w:sz w:val="22"/>
        </w:rPr>
        <w:t>пріоритет проблеми;</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точність тесту;</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баланс між бажаними та небажаними ефектами;</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визначеність:</w:t>
      </w:r>
    </w:p>
    <w:p w:rsidR="00ED665B" w:rsidRPr="00907702" w:rsidRDefault="006C7D2F" w:rsidP="00DC2656">
      <w:pPr>
        <w:ind w:left="283"/>
        <w:rPr>
          <w:rFonts w:ascii="Calibri" w:hAnsi="Calibri" w:cs="Calibri"/>
        </w:rPr>
      </w:pPr>
      <w:r>
        <w:rPr>
          <w:rFonts w:ascii="Calibri" w:hAnsi="Calibri"/>
          <w:color w:val="009649"/>
          <w:sz w:val="22"/>
        </w:rPr>
        <w:t xml:space="preserve">– </w:t>
      </w:r>
      <w:r>
        <w:rPr>
          <w:rFonts w:ascii="Calibri" w:hAnsi="Calibri"/>
          <w:color w:val="000000"/>
          <w:sz w:val="22"/>
        </w:rPr>
        <w:t>даних щодо точності тестування;</w:t>
      </w:r>
    </w:p>
    <w:p w:rsidR="00ED665B" w:rsidRPr="00907702" w:rsidRDefault="006C7D2F" w:rsidP="00DC2656">
      <w:pPr>
        <w:ind w:left="283"/>
        <w:rPr>
          <w:rFonts w:ascii="Calibri" w:hAnsi="Calibri" w:cs="Calibri"/>
        </w:rPr>
      </w:pPr>
      <w:r>
        <w:rPr>
          <w:rFonts w:ascii="Calibri" w:hAnsi="Calibri"/>
          <w:color w:val="009649"/>
          <w:sz w:val="22"/>
        </w:rPr>
        <w:t xml:space="preserve">– </w:t>
      </w:r>
      <w:r>
        <w:rPr>
          <w:rFonts w:ascii="Calibri" w:hAnsi="Calibri"/>
          <w:color w:val="000000"/>
          <w:sz w:val="22"/>
        </w:rPr>
        <w:t>даних прямої користі та шкоди від тесту;</w:t>
      </w:r>
    </w:p>
    <w:p w:rsidR="00ED665B" w:rsidRPr="00907702" w:rsidRDefault="006C7D2F" w:rsidP="00DC2656">
      <w:pPr>
        <w:ind w:left="283"/>
        <w:rPr>
          <w:rFonts w:ascii="Calibri" w:hAnsi="Calibri" w:cs="Calibri"/>
        </w:rPr>
      </w:pPr>
      <w:r>
        <w:rPr>
          <w:rFonts w:ascii="Calibri" w:hAnsi="Calibri"/>
          <w:color w:val="009649"/>
          <w:sz w:val="22"/>
        </w:rPr>
        <w:t xml:space="preserve">– </w:t>
      </w:r>
      <w:r>
        <w:rPr>
          <w:rFonts w:ascii="Calibri" w:hAnsi="Calibri"/>
          <w:color w:val="000000"/>
          <w:sz w:val="22"/>
        </w:rPr>
        <w:t>керівництва за результатами тестування;</w:t>
      </w:r>
    </w:p>
    <w:p w:rsidR="00ED665B" w:rsidRPr="00907702" w:rsidRDefault="006C7D2F" w:rsidP="00DC2656">
      <w:pPr>
        <w:ind w:left="283"/>
        <w:rPr>
          <w:rFonts w:ascii="Calibri" w:hAnsi="Calibri" w:cs="Calibri"/>
        </w:rPr>
      </w:pPr>
      <w:r>
        <w:rPr>
          <w:rFonts w:ascii="Calibri" w:hAnsi="Calibri"/>
          <w:color w:val="009649"/>
          <w:sz w:val="22"/>
        </w:rPr>
        <w:t xml:space="preserve">– </w:t>
      </w:r>
      <w:r>
        <w:rPr>
          <w:rFonts w:ascii="Calibri" w:hAnsi="Calibri"/>
          <w:color w:val="000000"/>
          <w:sz w:val="22"/>
        </w:rPr>
        <w:t>зв’язку між результатами випробувань та управлінням;</w:t>
      </w:r>
    </w:p>
    <w:p w:rsidR="00ED665B" w:rsidRPr="00907702" w:rsidRDefault="00902A3C" w:rsidP="00DC2656">
      <w:pPr>
        <w:numPr>
          <w:ilvl w:val="0"/>
          <w:numId w:val="2"/>
        </w:numPr>
        <w:tabs>
          <w:tab w:val="left" w:pos="240"/>
        </w:tabs>
        <w:rPr>
          <w:rFonts w:ascii="Calibri" w:hAnsi="Calibri" w:cs="Calibri"/>
          <w:color w:val="009649"/>
          <w:sz w:val="22"/>
          <w:szCs w:val="22"/>
        </w:rPr>
      </w:pPr>
      <w:r>
        <w:rPr>
          <w:rFonts w:ascii="Calibri" w:hAnsi="Calibri"/>
          <w:color w:val="000000"/>
          <w:sz w:val="22"/>
        </w:rPr>
        <w:t>впевненість у цінностях та уподобаннях та їх мінливість;</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вимоги до ресурсу;</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співвідношення витрати / ефективність;</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капітал;</w:t>
      </w:r>
    </w:p>
    <w:p w:rsidR="00636128" w:rsidRPr="00636128" w:rsidRDefault="00636128" w:rsidP="00636128">
      <w:pPr>
        <w:spacing w:before="480"/>
        <w:rPr>
          <w:rFonts w:ascii="Calibri" w:hAnsi="Calibri" w:cs="Calibri"/>
          <w:color w:val="000000"/>
          <w:sz w:val="16"/>
          <w:szCs w:val="16"/>
          <w:u w:val="single"/>
          <w:vertAlign w:val="superscript"/>
        </w:rPr>
      </w:pPr>
      <w:r>
        <w:rPr>
          <w:rFonts w:ascii="Calibri" w:hAnsi="Calibri"/>
          <w:color w:val="000000"/>
          <w:sz w:val="16"/>
          <w:u w:val="single"/>
          <w:vertAlign w:val="superscript"/>
        </w:rPr>
        <w:tab/>
      </w:r>
      <w:r>
        <w:rPr>
          <w:rFonts w:ascii="Calibri" w:hAnsi="Calibri"/>
          <w:color w:val="000000"/>
          <w:sz w:val="16"/>
          <w:u w:val="single"/>
          <w:vertAlign w:val="superscript"/>
        </w:rPr>
        <w:tab/>
      </w:r>
      <w:r>
        <w:rPr>
          <w:rFonts w:ascii="Calibri" w:hAnsi="Calibri"/>
          <w:color w:val="000000"/>
          <w:sz w:val="16"/>
          <w:u w:val="single"/>
          <w:vertAlign w:val="superscript"/>
        </w:rPr>
        <w:tab/>
      </w:r>
    </w:p>
    <w:p w:rsidR="00ED665B" w:rsidRPr="0034777B" w:rsidRDefault="006C7D2F" w:rsidP="00BE6F5B">
      <w:pPr>
        <w:ind w:left="221" w:hanging="221"/>
        <w:jc w:val="both"/>
        <w:rPr>
          <w:rFonts w:ascii="Calibri" w:hAnsi="Calibri" w:cs="Calibri"/>
        </w:rPr>
      </w:pPr>
      <w:r>
        <w:rPr>
          <w:rFonts w:ascii="Calibri" w:hAnsi="Calibri"/>
          <w:color w:val="000000"/>
          <w:sz w:val="16"/>
          <w:vertAlign w:val="superscript"/>
        </w:rPr>
        <w:t>20</w:t>
      </w:r>
      <w:r>
        <w:rPr>
          <w:rFonts w:ascii="Calibri" w:hAnsi="Calibri"/>
          <w:color w:val="000000"/>
          <w:sz w:val="16"/>
        </w:rPr>
        <w:tab/>
      </w:r>
      <w:r w:rsidRPr="0034777B">
        <w:rPr>
          <w:rFonts w:ascii="Calibri" w:hAnsi="Calibri"/>
          <w:sz w:val="16"/>
        </w:rPr>
        <w:t>Handbook for guideline development. Geneva: World Health Organization; 2014 (https://www.who.int/publications/ guidelines/handbook_2nd_ed.pdf?ua=1, дата перегляду: 12 червня 2020).</w:t>
      </w:r>
    </w:p>
    <w:p w:rsidR="00ED665B" w:rsidRPr="00907702" w:rsidRDefault="00ED665B" w:rsidP="00DC2656">
      <w:pPr>
        <w:spacing w:before="480"/>
        <w:ind w:left="221" w:hanging="221"/>
        <w:rPr>
          <w:rFonts w:ascii="Calibri" w:hAnsi="Calibri" w:cs="Calibri"/>
        </w:rPr>
        <w:sectPr w:rsidR="00ED665B" w:rsidRPr="00907702">
          <w:pgSz w:w="11904" w:h="16838"/>
          <w:pgMar w:top="1334" w:right="1416" w:bottom="1368" w:left="1416" w:header="720" w:footer="720" w:gutter="0"/>
          <w:cols w:space="60"/>
          <w:noEndnote/>
        </w:sectPr>
      </w:pP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lastRenderedPageBreak/>
        <w:t>прийнятність; та</w:t>
      </w:r>
    </w:p>
    <w:p w:rsidR="00ED665B" w:rsidRPr="00907702" w:rsidRDefault="006C7D2F" w:rsidP="00DC2656">
      <w:pPr>
        <w:numPr>
          <w:ilvl w:val="0"/>
          <w:numId w:val="2"/>
        </w:numPr>
        <w:tabs>
          <w:tab w:val="left" w:pos="240"/>
        </w:tabs>
        <w:spacing w:before="58"/>
        <w:rPr>
          <w:rFonts w:ascii="Calibri" w:hAnsi="Calibri" w:cs="Calibri"/>
          <w:color w:val="009649"/>
          <w:sz w:val="22"/>
          <w:szCs w:val="22"/>
        </w:rPr>
      </w:pPr>
      <w:r>
        <w:rPr>
          <w:rFonts w:ascii="Calibri" w:hAnsi="Calibri"/>
          <w:color w:val="000000"/>
          <w:sz w:val="22"/>
        </w:rPr>
        <w:t>здійсненність.</w:t>
      </w:r>
    </w:p>
    <w:p w:rsidR="00ED665B" w:rsidRPr="00907702" w:rsidRDefault="006C7D2F" w:rsidP="00DC2656">
      <w:pPr>
        <w:spacing w:before="226"/>
        <w:rPr>
          <w:rFonts w:ascii="Calibri" w:hAnsi="Calibri" w:cs="Calibri"/>
        </w:rPr>
      </w:pPr>
      <w:r>
        <w:rPr>
          <w:rFonts w:ascii="Calibri" w:hAnsi="Calibri"/>
          <w:color w:val="000000"/>
          <w:sz w:val="22"/>
        </w:rPr>
        <w:t>Ці фактори обговорюються нижче.</w:t>
      </w:r>
    </w:p>
    <w:p w:rsidR="00ED665B" w:rsidRPr="00636128" w:rsidRDefault="006C7D2F" w:rsidP="00DC2656">
      <w:pPr>
        <w:spacing w:before="245"/>
        <w:rPr>
          <w:rFonts w:ascii="Calibri" w:hAnsi="Calibri" w:cs="Calibri"/>
          <w:b/>
          <w:bCs/>
        </w:rPr>
      </w:pPr>
      <w:r>
        <w:rPr>
          <w:rFonts w:ascii="Calibri" w:hAnsi="Calibri"/>
          <w:b/>
          <w:color w:val="009649"/>
          <w:sz w:val="28"/>
        </w:rPr>
        <w:t>Пріоритет проблеми</w:t>
      </w:r>
    </w:p>
    <w:p w:rsidR="00ED665B" w:rsidRPr="00907702" w:rsidRDefault="006C7D2F" w:rsidP="00DC2656">
      <w:pPr>
        <w:spacing w:before="168"/>
        <w:jc w:val="both"/>
        <w:rPr>
          <w:rFonts w:ascii="Calibri" w:hAnsi="Calibri" w:cs="Calibri"/>
        </w:rPr>
      </w:pPr>
      <w:r>
        <w:rPr>
          <w:rFonts w:ascii="Calibri" w:hAnsi="Calibri"/>
          <w:color w:val="000000"/>
          <w:sz w:val="22"/>
        </w:rPr>
        <w:t>ГРН розглядає, чи є загальні наслідки проблеми (наприклад, підвищення захворюваності, смертності та економічного впливу) серйозними та нагальними. Враховується глобальна ситуація та переглядаються наявні дані. У більшості випадків проблема повинна бути серйозною та нагальною, щоб її розглядала група ГРН.</w:t>
      </w:r>
    </w:p>
    <w:p w:rsidR="00ED665B" w:rsidRPr="00636128" w:rsidRDefault="006C7D2F" w:rsidP="00DC2656">
      <w:pPr>
        <w:spacing w:before="235"/>
        <w:rPr>
          <w:rFonts w:ascii="Calibri" w:hAnsi="Calibri" w:cs="Calibri"/>
          <w:b/>
          <w:bCs/>
        </w:rPr>
      </w:pPr>
      <w:r>
        <w:rPr>
          <w:rFonts w:ascii="Calibri" w:hAnsi="Calibri"/>
          <w:b/>
          <w:color w:val="009649"/>
          <w:sz w:val="28"/>
        </w:rPr>
        <w:t>Точність тесту</w:t>
      </w:r>
    </w:p>
    <w:p w:rsidR="00ED665B" w:rsidRPr="00907702" w:rsidRDefault="006C7D2F" w:rsidP="00DC2656">
      <w:pPr>
        <w:spacing w:before="168"/>
        <w:jc w:val="both"/>
        <w:rPr>
          <w:rFonts w:ascii="Calibri" w:hAnsi="Calibri" w:cs="Calibri"/>
        </w:rPr>
      </w:pPr>
      <w:r>
        <w:rPr>
          <w:rFonts w:ascii="Calibri" w:hAnsi="Calibri"/>
          <w:color w:val="000000"/>
          <w:sz w:val="22"/>
        </w:rPr>
        <w:t>Оцінюється об’єднана чутливість та специфічність, представлена у профілі даних GRADE. Переважно і за наявності огляд включає дослідження як з мікробіологічними референс стандартами (посів), так і з композиційними референс стандартами (наприклад, у дітей та пацієнтів із позалегеневим ТБ).</w:t>
      </w:r>
    </w:p>
    <w:p w:rsidR="00ED665B" w:rsidRPr="00636128" w:rsidRDefault="006C7D2F" w:rsidP="00DC2656">
      <w:pPr>
        <w:spacing w:before="235"/>
        <w:rPr>
          <w:rFonts w:ascii="Calibri" w:hAnsi="Calibri" w:cs="Calibri"/>
          <w:b/>
          <w:bCs/>
        </w:rPr>
      </w:pPr>
      <w:r>
        <w:rPr>
          <w:rFonts w:ascii="Calibri" w:hAnsi="Calibri"/>
          <w:b/>
          <w:color w:val="009649"/>
          <w:sz w:val="28"/>
        </w:rPr>
        <w:t>Баланс між бажаними та небажаними ефектами</w:t>
      </w:r>
    </w:p>
    <w:p w:rsidR="00ED665B" w:rsidRPr="00907702" w:rsidRDefault="006C7D2F" w:rsidP="00DC2656">
      <w:pPr>
        <w:spacing w:before="168"/>
        <w:jc w:val="both"/>
        <w:rPr>
          <w:rFonts w:ascii="Calibri" w:hAnsi="Calibri" w:cs="Calibri"/>
        </w:rPr>
      </w:pPr>
      <w:r>
        <w:rPr>
          <w:rFonts w:ascii="Calibri" w:hAnsi="Calibri"/>
          <w:color w:val="000000"/>
          <w:sz w:val="22"/>
        </w:rPr>
        <w:t>Відповідно до цього компонента, учасникам ГРН пропонується оцінити очікувані переваги та шкоду від відповідного тесту, включаючи прямі наслідки тесту (наприклад, користь, така як швидша діагностика, та шкоду, таку як несприятливі наслідки від використання тесту). Крім того, слід включати можливі наступні наслідки тесту; наприклад, наслідки лікування після позитивного діагнозу (вилікування або зниження смертності), а також ефекту відсутності лікування або подальшого тестування після негативного результату тесту. Дані, за можливості отримані з систематичних оглядів рандомізованих контрольованих випробувань (РКВ) тесту, повинні інформувати ГРН про ці наслідки нижче. Якщо даних РКВ немає, можна використовувати діагностичні дослідження точності. Тоді істинно позитивні та істинно негативні діагностовані випадки приймаються як корисні, тоді як хибнопозитивні та хибнонегативні випадки сприймаються як шкода.</w:t>
      </w:r>
    </w:p>
    <w:p w:rsidR="00ED665B" w:rsidRPr="00636128" w:rsidRDefault="006C7D2F" w:rsidP="00DC2656">
      <w:pPr>
        <w:spacing w:before="230"/>
        <w:rPr>
          <w:rFonts w:ascii="Calibri" w:hAnsi="Calibri" w:cs="Calibri"/>
          <w:b/>
          <w:bCs/>
        </w:rPr>
      </w:pPr>
      <w:r>
        <w:rPr>
          <w:rFonts w:ascii="Calibri" w:hAnsi="Calibri"/>
          <w:b/>
          <w:color w:val="009649"/>
          <w:sz w:val="28"/>
        </w:rPr>
        <w:t>Достовірність даних</w:t>
      </w:r>
    </w:p>
    <w:p w:rsidR="00ED665B" w:rsidRPr="00907702" w:rsidRDefault="006C7D2F" w:rsidP="00DC2656">
      <w:pPr>
        <w:spacing w:before="168"/>
        <w:jc w:val="both"/>
        <w:rPr>
          <w:rFonts w:ascii="Calibri" w:hAnsi="Calibri" w:cs="Calibri"/>
        </w:rPr>
      </w:pPr>
      <w:r>
        <w:rPr>
          <w:rFonts w:ascii="Calibri" w:hAnsi="Calibri"/>
          <w:color w:val="000000"/>
          <w:sz w:val="22"/>
        </w:rPr>
        <w:t>Достовірність даних точності тестувань оцінюється за шкалою від дуже низької, низької та помірної до високої. Достовірність даних про прямі вигоди та шкоду від тесту оцінюється та підраховується аналогічно.</w:t>
      </w:r>
    </w:p>
    <w:p w:rsidR="00ED665B" w:rsidRPr="00636128" w:rsidRDefault="006C7D2F" w:rsidP="00DC2656">
      <w:pPr>
        <w:spacing w:before="235"/>
        <w:rPr>
          <w:rFonts w:ascii="Calibri" w:hAnsi="Calibri" w:cs="Calibri"/>
          <w:b/>
          <w:bCs/>
        </w:rPr>
      </w:pPr>
      <w:r>
        <w:rPr>
          <w:rFonts w:ascii="Calibri" w:hAnsi="Calibri"/>
          <w:b/>
          <w:color w:val="009649"/>
          <w:sz w:val="28"/>
        </w:rPr>
        <w:t>Достовірність ведення</w:t>
      </w:r>
    </w:p>
    <w:p w:rsidR="00ED665B" w:rsidRPr="00907702" w:rsidRDefault="006C7D2F" w:rsidP="00DC2656">
      <w:pPr>
        <w:spacing w:before="168"/>
        <w:ind w:right="10"/>
        <w:jc w:val="both"/>
        <w:rPr>
          <w:rFonts w:ascii="Calibri" w:hAnsi="Calibri" w:cs="Calibri"/>
        </w:rPr>
      </w:pPr>
      <w:r>
        <w:rPr>
          <w:rFonts w:ascii="Calibri" w:hAnsi="Calibri"/>
          <w:color w:val="000000"/>
          <w:sz w:val="22"/>
        </w:rPr>
        <w:t>Для визначення достовірності ведення за результатами випробувань ГРН зосереджується на тому, чи має ведення відрізнятися, якщо воно буде базуватися на результатах тесту.</w:t>
      </w:r>
    </w:p>
    <w:p w:rsidR="00ED665B" w:rsidRPr="00907702" w:rsidRDefault="006C7D2F" w:rsidP="00DC2656">
      <w:pPr>
        <w:spacing w:before="173"/>
        <w:jc w:val="both"/>
        <w:rPr>
          <w:rFonts w:ascii="Calibri" w:hAnsi="Calibri" w:cs="Calibri"/>
        </w:rPr>
      </w:pPr>
      <w:r>
        <w:rPr>
          <w:rFonts w:ascii="Calibri" w:hAnsi="Calibri"/>
          <w:color w:val="000000"/>
          <w:sz w:val="22"/>
        </w:rPr>
        <w:t>Для впевненості зв’язку між результатами тестування та управлінням, група оцінює, наскільки швидко та ефективно результати тестування перенесуться на рішення щодо ведення пацієнта.</w:t>
      </w:r>
    </w:p>
    <w:p w:rsidR="00ED665B" w:rsidRPr="00907702" w:rsidRDefault="00ED665B" w:rsidP="00DC2656">
      <w:pPr>
        <w:spacing w:before="173"/>
        <w:jc w:val="both"/>
        <w:rPr>
          <w:rFonts w:ascii="Calibri" w:hAnsi="Calibri" w:cs="Calibri"/>
        </w:rPr>
        <w:sectPr w:rsidR="00ED665B" w:rsidRPr="00907702">
          <w:footerReference w:type="default" r:id="rId305"/>
          <w:pgSz w:w="11904" w:h="16838"/>
          <w:pgMar w:top="1382" w:right="1416" w:bottom="2534" w:left="1416" w:header="720" w:footer="720" w:gutter="0"/>
          <w:cols w:space="60"/>
          <w:noEndnote/>
        </w:sectPr>
      </w:pPr>
    </w:p>
    <w:p w:rsidR="00ED665B" w:rsidRPr="00636128" w:rsidRDefault="00902A3C" w:rsidP="00DC2656">
      <w:pPr>
        <w:rPr>
          <w:rFonts w:ascii="Calibri" w:hAnsi="Calibri" w:cs="Calibri"/>
          <w:b/>
          <w:bCs/>
        </w:rPr>
      </w:pPr>
      <w:r>
        <w:rPr>
          <w:rFonts w:ascii="Calibri" w:hAnsi="Calibri"/>
          <w:b/>
          <w:color w:val="009649"/>
          <w:sz w:val="28"/>
        </w:rPr>
        <w:lastRenderedPageBreak/>
        <w:t>Впевненість у цінностях та уподобаннях та їхня мінливість</w:t>
      </w:r>
    </w:p>
    <w:p w:rsidR="00ED665B" w:rsidRPr="00907702" w:rsidRDefault="006C7D2F" w:rsidP="00DC2656">
      <w:pPr>
        <w:spacing w:before="168"/>
        <w:jc w:val="both"/>
        <w:rPr>
          <w:rFonts w:ascii="Calibri" w:hAnsi="Calibri" w:cs="Calibri"/>
        </w:rPr>
      </w:pPr>
      <w:r>
        <w:rPr>
          <w:rFonts w:ascii="Calibri" w:hAnsi="Calibri"/>
          <w:color w:val="000000"/>
          <w:sz w:val="22"/>
        </w:rPr>
        <w:t>Значення тесту для поліпшення діагностики та його впливу на догляд за пацієнтами оцінюється та підраховується за допомогою доказів якісних досліджень. Вплив на повідомлення та, крім того, здатність тесту збільшувати повідомлення про випадки також оцінюється та враховується, враховуючи весь діагностичний каскад, включаючи, наприклад, питання, пов’язані з доцільністю впровадження, швидкістю використання, впевненістю персоналу у результатах тестування та час для отримання результатів.</w:t>
      </w:r>
    </w:p>
    <w:p w:rsidR="00ED665B" w:rsidRPr="00636128" w:rsidRDefault="006C7D2F" w:rsidP="0034777B">
      <w:pPr>
        <w:spacing w:before="230"/>
        <w:jc w:val="both"/>
        <w:rPr>
          <w:rFonts w:ascii="Calibri" w:hAnsi="Calibri" w:cs="Calibri"/>
          <w:b/>
          <w:bCs/>
        </w:rPr>
      </w:pPr>
      <w:r>
        <w:rPr>
          <w:rFonts w:ascii="Calibri" w:hAnsi="Calibri"/>
          <w:b/>
          <w:color w:val="009649"/>
          <w:sz w:val="28"/>
        </w:rPr>
        <w:t>Вимоги до ресурсу</w:t>
      </w:r>
    </w:p>
    <w:p w:rsidR="00ED665B" w:rsidRPr="00907702" w:rsidRDefault="006C7D2F" w:rsidP="0034777B">
      <w:pPr>
        <w:spacing w:before="211"/>
        <w:jc w:val="both"/>
        <w:rPr>
          <w:rFonts w:ascii="Calibri" w:hAnsi="Calibri" w:cs="Calibri"/>
        </w:rPr>
      </w:pPr>
      <w:r>
        <w:rPr>
          <w:rFonts w:ascii="Calibri" w:hAnsi="Calibri"/>
          <w:color w:val="000000"/>
          <w:sz w:val="22"/>
        </w:rPr>
        <w:t>Щодо вимог до ресурсів, було надано відповіді на три питання:</w:t>
      </w:r>
    </w:p>
    <w:p w:rsidR="00ED665B" w:rsidRPr="00907702" w:rsidRDefault="006C7D2F" w:rsidP="0034777B">
      <w:pPr>
        <w:numPr>
          <w:ilvl w:val="0"/>
          <w:numId w:val="2"/>
        </w:numPr>
        <w:tabs>
          <w:tab w:val="left" w:pos="240"/>
        </w:tabs>
        <w:spacing w:before="91"/>
        <w:jc w:val="both"/>
        <w:rPr>
          <w:rFonts w:ascii="Calibri" w:hAnsi="Calibri" w:cs="Calibri"/>
          <w:color w:val="009649"/>
          <w:sz w:val="22"/>
          <w:szCs w:val="22"/>
        </w:rPr>
      </w:pPr>
      <w:r>
        <w:rPr>
          <w:rFonts w:ascii="Calibri" w:hAnsi="Calibri"/>
          <w:color w:val="000000"/>
          <w:sz w:val="22"/>
        </w:rPr>
        <w:t>Наскільки великі вимоги до ресурсів для запровадження тесту?</w:t>
      </w:r>
    </w:p>
    <w:p w:rsidR="00ED665B" w:rsidRPr="00907702" w:rsidRDefault="006C7D2F" w:rsidP="0034777B">
      <w:pPr>
        <w:numPr>
          <w:ilvl w:val="0"/>
          <w:numId w:val="2"/>
        </w:numPr>
        <w:tabs>
          <w:tab w:val="left" w:pos="240"/>
        </w:tabs>
        <w:jc w:val="both"/>
        <w:rPr>
          <w:rFonts w:ascii="Calibri" w:hAnsi="Calibri" w:cs="Calibri"/>
          <w:color w:val="009649"/>
          <w:sz w:val="22"/>
          <w:szCs w:val="22"/>
        </w:rPr>
      </w:pPr>
      <w:r>
        <w:rPr>
          <w:rFonts w:ascii="Calibri" w:hAnsi="Calibri"/>
          <w:color w:val="000000"/>
          <w:sz w:val="22"/>
        </w:rPr>
        <w:t>Яка достовірність даних про потреби в ресурсах?</w:t>
      </w:r>
    </w:p>
    <w:p w:rsidR="00ED665B" w:rsidRPr="00907702" w:rsidRDefault="006C7D2F" w:rsidP="0034777B">
      <w:pPr>
        <w:numPr>
          <w:ilvl w:val="0"/>
          <w:numId w:val="2"/>
        </w:numPr>
        <w:tabs>
          <w:tab w:val="left" w:pos="240"/>
        </w:tabs>
        <w:ind w:left="238" w:hanging="238"/>
        <w:jc w:val="both"/>
        <w:rPr>
          <w:rFonts w:ascii="Calibri" w:hAnsi="Calibri" w:cs="Calibri"/>
          <w:color w:val="009649"/>
          <w:sz w:val="22"/>
          <w:szCs w:val="22"/>
        </w:rPr>
      </w:pPr>
      <w:r>
        <w:rPr>
          <w:rFonts w:ascii="Calibri" w:hAnsi="Calibri"/>
          <w:color w:val="000000"/>
          <w:sz w:val="22"/>
        </w:rPr>
        <w:t>Чи співвідношення витрати / ефективність заходів сприяє проведенню заходів або порівнянню?</w:t>
      </w:r>
    </w:p>
    <w:p w:rsidR="00ED665B" w:rsidRPr="00636128" w:rsidRDefault="006C7D2F" w:rsidP="0034777B">
      <w:pPr>
        <w:spacing w:before="230"/>
        <w:jc w:val="both"/>
        <w:rPr>
          <w:rFonts w:ascii="Calibri" w:hAnsi="Calibri" w:cs="Calibri"/>
          <w:b/>
          <w:bCs/>
        </w:rPr>
      </w:pPr>
      <w:r>
        <w:rPr>
          <w:rFonts w:ascii="Calibri" w:hAnsi="Calibri"/>
          <w:b/>
          <w:color w:val="009649"/>
          <w:sz w:val="28"/>
        </w:rPr>
        <w:t>Співвідношення витрати / ефективність</w:t>
      </w:r>
    </w:p>
    <w:p w:rsidR="00ED665B" w:rsidRPr="00907702" w:rsidRDefault="006C7D2F" w:rsidP="0034777B">
      <w:pPr>
        <w:spacing w:before="211"/>
        <w:jc w:val="both"/>
        <w:rPr>
          <w:rFonts w:ascii="Calibri" w:hAnsi="Calibri" w:cs="Calibri"/>
        </w:rPr>
      </w:pPr>
      <w:r>
        <w:rPr>
          <w:rFonts w:ascii="Calibri" w:hAnsi="Calibri"/>
          <w:color w:val="000000"/>
          <w:sz w:val="22"/>
        </w:rPr>
        <w:t>Наявні дані про співвідношення витрати / ефективність оцінюються та підраховуються.</w:t>
      </w:r>
    </w:p>
    <w:p w:rsidR="00ED665B" w:rsidRPr="00636128" w:rsidRDefault="006C7D2F" w:rsidP="0034777B">
      <w:pPr>
        <w:spacing w:before="250"/>
        <w:jc w:val="both"/>
        <w:rPr>
          <w:rFonts w:ascii="Calibri" w:hAnsi="Calibri" w:cs="Calibri"/>
          <w:b/>
          <w:bCs/>
        </w:rPr>
      </w:pPr>
      <w:r>
        <w:rPr>
          <w:rFonts w:ascii="Calibri" w:hAnsi="Calibri"/>
          <w:b/>
          <w:color w:val="009649"/>
          <w:sz w:val="28"/>
        </w:rPr>
        <w:t>Рівність</w:t>
      </w:r>
    </w:p>
    <w:p w:rsidR="00ED665B" w:rsidRPr="00907702" w:rsidRDefault="006C7D2F" w:rsidP="0034777B">
      <w:pPr>
        <w:spacing w:before="168"/>
        <w:jc w:val="both"/>
        <w:rPr>
          <w:rFonts w:ascii="Calibri" w:hAnsi="Calibri" w:cs="Calibri"/>
        </w:rPr>
      </w:pPr>
      <w:r>
        <w:rPr>
          <w:rFonts w:ascii="Calibri" w:hAnsi="Calibri"/>
          <w:color w:val="000000"/>
          <w:sz w:val="22"/>
        </w:rPr>
        <w:t>Члени ГРН розглядають, чи матиме впровадження інструменту чи методу позитивний або негативний вплив на доступ до медичної допомоги (наприклад, чи вдасться виконати тест на різних рівнях охорони здоров’я чи шляхом самоуправління, чи існують інші способи виготовлення інструментів чи метод, доступний для всіх рівнів системи охорони здоров’я).</w:t>
      </w:r>
    </w:p>
    <w:p w:rsidR="00ED665B" w:rsidRPr="00636128" w:rsidRDefault="006C7D2F" w:rsidP="0034777B">
      <w:pPr>
        <w:spacing w:before="235"/>
        <w:jc w:val="both"/>
        <w:rPr>
          <w:rFonts w:ascii="Calibri" w:hAnsi="Calibri" w:cs="Calibri"/>
          <w:b/>
          <w:bCs/>
        </w:rPr>
      </w:pPr>
      <w:r>
        <w:rPr>
          <w:rFonts w:ascii="Calibri" w:hAnsi="Calibri"/>
          <w:b/>
          <w:color w:val="009649"/>
          <w:sz w:val="28"/>
        </w:rPr>
        <w:t>Прийнятність</w:t>
      </w:r>
    </w:p>
    <w:p w:rsidR="00ED665B" w:rsidRPr="00907702" w:rsidRDefault="006C7D2F" w:rsidP="0034777B">
      <w:pPr>
        <w:spacing w:before="168"/>
        <w:jc w:val="both"/>
        <w:rPr>
          <w:rFonts w:ascii="Calibri" w:hAnsi="Calibri" w:cs="Calibri"/>
        </w:rPr>
      </w:pPr>
      <w:r>
        <w:rPr>
          <w:rFonts w:ascii="Calibri" w:hAnsi="Calibri"/>
          <w:color w:val="000000"/>
          <w:sz w:val="22"/>
        </w:rPr>
        <w:t>Щодо прийнятності, комісія розглядає, чи буде прийнятним новий тест для всіх зацікавлених сторін, таких як медичні працівники, керівники закладів охорони здоров’я та пацієнти.</w:t>
      </w:r>
    </w:p>
    <w:p w:rsidR="00ED665B" w:rsidRPr="00636128" w:rsidRDefault="006C7D2F" w:rsidP="0034777B">
      <w:pPr>
        <w:spacing w:before="235"/>
        <w:jc w:val="both"/>
        <w:rPr>
          <w:rFonts w:ascii="Calibri" w:hAnsi="Calibri" w:cs="Calibri"/>
          <w:b/>
          <w:bCs/>
        </w:rPr>
      </w:pPr>
      <w:r>
        <w:rPr>
          <w:rFonts w:ascii="Calibri" w:hAnsi="Calibri"/>
          <w:b/>
          <w:color w:val="009649"/>
          <w:sz w:val="28"/>
        </w:rPr>
        <w:t>Придатність</w:t>
      </w:r>
    </w:p>
    <w:p w:rsidR="00ED665B" w:rsidRPr="00907702" w:rsidRDefault="006C7D2F" w:rsidP="0034777B">
      <w:pPr>
        <w:spacing w:before="168"/>
        <w:jc w:val="both"/>
        <w:rPr>
          <w:rFonts w:ascii="Calibri" w:hAnsi="Calibri" w:cs="Calibri"/>
        </w:rPr>
      </w:pPr>
      <w:r>
        <w:rPr>
          <w:rFonts w:ascii="Calibri" w:hAnsi="Calibri"/>
          <w:color w:val="000000"/>
          <w:sz w:val="22"/>
        </w:rPr>
        <w:t>ГРН розглядають, наскільки можливо реалізувати інструмент чи метод у різних умовах. У фінальній оцінці враховуються такі аспекти, як потреби навчання та підвищення кваліфікації, практичний час, вимоги біобезпеки, час до отримання результатів, обслуговування та технічне обслуговування, калібрування та вплив на діагностичні алгоритми.</w:t>
      </w:r>
    </w:p>
    <w:p w:rsidR="00ED665B" w:rsidRPr="00907702" w:rsidRDefault="006C7D2F" w:rsidP="0034777B">
      <w:pPr>
        <w:spacing w:before="163"/>
        <w:jc w:val="both"/>
        <w:rPr>
          <w:rFonts w:ascii="Calibri" w:hAnsi="Calibri" w:cs="Calibri"/>
        </w:rPr>
      </w:pPr>
      <w:r>
        <w:rPr>
          <w:rFonts w:ascii="Calibri" w:hAnsi="Calibri"/>
          <w:color w:val="000000"/>
          <w:sz w:val="22"/>
        </w:rPr>
        <w:t xml:space="preserve">Більш детальна інформація про перехід від даних до рекомендацій наведена у </w:t>
      </w:r>
      <w:r w:rsidRPr="0034777B">
        <w:rPr>
          <w:rFonts w:ascii="Calibri" w:hAnsi="Calibri"/>
          <w:b/>
          <w:color w:val="000000"/>
          <w:sz w:val="22"/>
        </w:rPr>
        <w:t>Вебдодатку 3</w:t>
      </w:r>
      <w:r>
        <w:rPr>
          <w:rFonts w:ascii="Calibri" w:hAnsi="Calibri"/>
          <w:color w:val="000000"/>
          <w:sz w:val="22"/>
        </w:rPr>
        <w:t xml:space="preserve">. </w:t>
      </w:r>
      <w:r w:rsidRPr="0034777B">
        <w:rPr>
          <w:rFonts w:ascii="Calibri" w:hAnsi="Calibri"/>
          <w:b/>
          <w:color w:val="000000"/>
          <w:sz w:val="22"/>
        </w:rPr>
        <w:t>Таблиці прийняття рішень на основі доказів</w:t>
      </w:r>
    </w:p>
    <w:p w:rsidR="00ED665B" w:rsidRPr="00907702" w:rsidRDefault="00ED665B" w:rsidP="00DC2656">
      <w:pPr>
        <w:spacing w:before="163"/>
        <w:jc w:val="both"/>
        <w:rPr>
          <w:rFonts w:ascii="Calibri" w:hAnsi="Calibri" w:cs="Calibri"/>
        </w:rPr>
        <w:sectPr w:rsidR="00ED665B" w:rsidRPr="00907702" w:rsidSect="0034777B">
          <w:pgSz w:w="11904" w:h="16838"/>
          <w:pgMar w:top="1378" w:right="1416" w:bottom="1702" w:left="1416" w:header="720" w:footer="720" w:gutter="0"/>
          <w:cols w:space="60"/>
          <w:noEndnote/>
        </w:sectPr>
      </w:pPr>
    </w:p>
    <w:p w:rsidR="00ED665B" w:rsidRPr="0034777B" w:rsidRDefault="00B32E34" w:rsidP="00DC2656">
      <w:pPr>
        <w:rPr>
          <w:rFonts w:ascii="Calibri" w:hAnsi="Calibri" w:cs="Calibri"/>
          <w:bCs/>
        </w:rPr>
      </w:pPr>
      <w:bookmarkStart w:id="33" w:name="bookmark38"/>
      <w:r w:rsidRPr="0034777B">
        <w:rPr>
          <w:rFonts w:ascii="Calibri" w:hAnsi="Calibri"/>
          <w:noProof/>
          <w:color w:val="009649"/>
          <w:sz w:val="64"/>
          <w:lang w:val="en-US" w:bidi="ar-SA"/>
        </w:rPr>
        <w:lastRenderedPageBreak/>
        <w:drawing>
          <wp:anchor distT="0" distB="0" distL="6400800" distR="6400800" simplePos="0" relativeHeight="251764736" behindDoc="1" locked="0" layoutInCell="0" allowOverlap="1" wp14:anchorId="64344397" wp14:editId="4411E3E7">
            <wp:simplePos x="0" y="0"/>
            <wp:positionH relativeFrom="page">
              <wp:align>left</wp:align>
            </wp:positionH>
            <wp:positionV relativeFrom="page">
              <wp:align>top</wp:align>
            </wp:positionV>
            <wp:extent cx="7560000" cy="1742400"/>
            <wp:effectExtent l="0" t="0" r="3175" b="0"/>
            <wp:wrapNone/>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000" cy="174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77B">
        <w:rPr>
          <w:rFonts w:ascii="Calibri" w:hAnsi="Calibri"/>
          <w:color w:val="009649"/>
          <w:sz w:val="64"/>
        </w:rPr>
        <w:t>Д</w:t>
      </w:r>
      <w:bookmarkEnd w:id="33"/>
      <w:r w:rsidRPr="0034777B">
        <w:rPr>
          <w:rFonts w:ascii="Calibri" w:hAnsi="Calibri"/>
          <w:color w:val="009649"/>
          <w:sz w:val="64"/>
        </w:rPr>
        <w:t>одаток 2: Оцінка конфлікту інтересів для членів Групи з розробки настанов і Групи зовнішнього рецензування</w:t>
      </w:r>
    </w:p>
    <w:p w:rsidR="00ED665B" w:rsidRPr="00907702" w:rsidRDefault="006C7D2F" w:rsidP="00636128">
      <w:pPr>
        <w:spacing w:before="600"/>
        <w:ind w:right="5"/>
        <w:jc w:val="both"/>
        <w:rPr>
          <w:rFonts w:ascii="Calibri" w:hAnsi="Calibri" w:cs="Calibri"/>
        </w:rPr>
      </w:pPr>
      <w:r>
        <w:rPr>
          <w:rFonts w:ascii="Calibri" w:hAnsi="Calibri"/>
          <w:color w:val="000000"/>
          <w:sz w:val="22"/>
        </w:rPr>
        <w:t>Перед тим, як розглядати питання про членство в групі, кожна Група з розробки настанов (ГРН) та кандидат у Групу зовнішнього рецензування мали подати заповнену форму декларації інтересів (DOI). Крім того, було проведено пошук в Інтернеті, «щоб виявити будь-які очевидні суспільні суперечки чи інтереси, які можуть призвести до компрометуючої ситуації для Всесвітньої організації охорони здоров’я (ВООЗ) та відповідного експерта».</w:t>
      </w:r>
    </w:p>
    <w:p w:rsidR="00ED665B" w:rsidRPr="0034777B" w:rsidRDefault="006C7D2F" w:rsidP="00DC2656">
      <w:pPr>
        <w:spacing w:before="168"/>
        <w:ind w:right="5"/>
        <w:jc w:val="both"/>
        <w:rPr>
          <w:rFonts w:ascii="Calibri" w:hAnsi="Calibri" w:cs="Calibri"/>
          <w:i/>
        </w:rPr>
      </w:pPr>
      <w:r>
        <w:rPr>
          <w:rFonts w:ascii="Calibri" w:hAnsi="Calibri"/>
          <w:color w:val="000000"/>
          <w:sz w:val="22"/>
        </w:rPr>
        <w:t xml:space="preserve">Резюме кандидата (CV) та DOI, а також інформація, отримана з Інтернету, були розглянуті членами керівного комітету, щоб оцінити, чи існували або існують фактичні чи передбачувані конфлікти інтересів, і, якщо існують, чи потрібен план управління. Цей процес оцінювання та отримані в результаті його проведення плани управління базувалися на </w:t>
      </w:r>
      <w:r w:rsidRPr="0034777B">
        <w:rPr>
          <w:rFonts w:ascii="Calibri" w:hAnsi="Calibri"/>
          <w:i/>
          <w:color w:val="000000"/>
          <w:sz w:val="22"/>
        </w:rPr>
        <w:t>Настановах</w:t>
      </w:r>
      <w:r>
        <w:rPr>
          <w:rFonts w:ascii="Calibri" w:hAnsi="Calibri"/>
          <w:color w:val="000000"/>
          <w:sz w:val="22"/>
        </w:rPr>
        <w:t xml:space="preserve"> </w:t>
      </w:r>
      <w:r w:rsidRPr="0034777B">
        <w:rPr>
          <w:rFonts w:ascii="Calibri" w:hAnsi="Calibri"/>
          <w:i/>
          <w:color w:val="000000"/>
          <w:sz w:val="22"/>
        </w:rPr>
        <w:t>щодо декларації інтересів (експерти ВООЗ) (29) та Керівництві ВООЗ з розробки настанов (2 -е видання) (30).</w:t>
      </w:r>
    </w:p>
    <w:p w:rsidR="00ED665B" w:rsidRPr="00907702" w:rsidRDefault="006C7D2F" w:rsidP="00DC2656">
      <w:pPr>
        <w:spacing w:before="163"/>
        <w:ind w:right="5"/>
        <w:jc w:val="both"/>
        <w:rPr>
          <w:rFonts w:ascii="Calibri" w:hAnsi="Calibri" w:cs="Calibri"/>
        </w:rPr>
      </w:pPr>
      <w:r>
        <w:rPr>
          <w:rFonts w:ascii="Calibri" w:hAnsi="Calibri"/>
          <w:color w:val="000000"/>
          <w:sz w:val="22"/>
        </w:rPr>
        <w:t>Були розглянуті як фінансові, так і нефінансові інтереси. «Суттєвим» вважатиметься конфлікт інтересів, що передбачає:</w:t>
      </w:r>
    </w:p>
    <w:p w:rsidR="00ED665B" w:rsidRPr="00907702" w:rsidRDefault="006C7D2F" w:rsidP="00DC2656">
      <w:pPr>
        <w:numPr>
          <w:ilvl w:val="0"/>
          <w:numId w:val="2"/>
        </w:numPr>
        <w:tabs>
          <w:tab w:val="left" w:pos="240"/>
        </w:tabs>
        <w:spacing w:before="82"/>
        <w:ind w:left="240" w:right="5" w:hanging="240"/>
        <w:jc w:val="both"/>
        <w:rPr>
          <w:rFonts w:ascii="Calibri" w:hAnsi="Calibri" w:cs="Calibri"/>
          <w:color w:val="009649"/>
          <w:sz w:val="22"/>
          <w:szCs w:val="22"/>
        </w:rPr>
      </w:pPr>
      <w:r>
        <w:rPr>
          <w:rFonts w:ascii="Calibri" w:hAnsi="Calibri"/>
          <w:color w:val="000000"/>
          <w:sz w:val="22"/>
        </w:rPr>
        <w:t>«інтелектуальна упередженість», коли людина, можливо, неодноразово займала публічну позицію щодо розглядуваного питання, що може вплинути на об’єктивність та незалежність індивіда в процесі розробки глобальної політики;</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участь у дослідженні чи публікації матеріалів, що стосуються питань, що розглядаються; і</w:t>
      </w:r>
    </w:p>
    <w:p w:rsidR="00ED665B" w:rsidRPr="00907702" w:rsidRDefault="006C7D2F" w:rsidP="00DC2656">
      <w:pPr>
        <w:numPr>
          <w:ilvl w:val="0"/>
          <w:numId w:val="2"/>
        </w:numPr>
        <w:tabs>
          <w:tab w:val="left" w:pos="240"/>
        </w:tabs>
        <w:rPr>
          <w:rFonts w:ascii="Calibri" w:hAnsi="Calibri" w:cs="Calibri"/>
          <w:color w:val="009649"/>
          <w:sz w:val="22"/>
          <w:szCs w:val="22"/>
        </w:rPr>
      </w:pPr>
      <w:r>
        <w:rPr>
          <w:rFonts w:ascii="Calibri" w:hAnsi="Calibri"/>
          <w:color w:val="000000"/>
          <w:sz w:val="22"/>
        </w:rPr>
        <w:t>Грошова винагорода вище 5000 дол. США.</w:t>
      </w:r>
    </w:p>
    <w:p w:rsidR="00ED665B" w:rsidRPr="00907702" w:rsidRDefault="006C7D2F" w:rsidP="00DC2656">
      <w:pPr>
        <w:spacing w:before="163"/>
        <w:ind w:right="10"/>
        <w:jc w:val="both"/>
        <w:rPr>
          <w:rFonts w:ascii="Calibri" w:hAnsi="Calibri" w:cs="Calibri"/>
        </w:rPr>
      </w:pPr>
      <w:r>
        <w:rPr>
          <w:rFonts w:ascii="Calibri" w:hAnsi="Calibri"/>
          <w:color w:val="000000"/>
          <w:sz w:val="22"/>
        </w:rPr>
        <w:t>Розробники будь -яких аналізів ніколи не беруть участь у процесі розробки політики; це автоматично вважається конфліктом інтересів.</w:t>
      </w:r>
    </w:p>
    <w:p w:rsidR="00ED665B" w:rsidRPr="00907702" w:rsidRDefault="006C7D2F" w:rsidP="00DC2656">
      <w:pPr>
        <w:spacing w:before="168"/>
        <w:jc w:val="both"/>
        <w:rPr>
          <w:rFonts w:ascii="Calibri" w:hAnsi="Calibri" w:cs="Calibri"/>
        </w:rPr>
      </w:pPr>
      <w:r>
        <w:rPr>
          <w:rFonts w:ascii="Calibri" w:hAnsi="Calibri"/>
          <w:color w:val="000000"/>
          <w:sz w:val="22"/>
        </w:rPr>
        <w:t>Після того, як було визначено, що або конфлікту інтересів не існує, або будь-який конфлікт інтересів можна належним чином вирішити, і було прийнято рішення про призначення кандидата, а коротку біографію кожного кандидата було опубліковано на вебсайті ВООЗ принаймні за 14 днів до зустрічі для публічного повідомлення та коментарів.</w:t>
      </w:r>
    </w:p>
    <w:p w:rsidR="00ED665B" w:rsidRPr="00907702" w:rsidRDefault="00ED665B" w:rsidP="00DC2656">
      <w:pPr>
        <w:spacing w:before="168"/>
        <w:jc w:val="both"/>
        <w:rPr>
          <w:rFonts w:ascii="Calibri" w:hAnsi="Calibri" w:cs="Calibri"/>
        </w:rPr>
        <w:sectPr w:rsidR="00ED665B" w:rsidRPr="00907702">
          <w:footerReference w:type="default" r:id="rId306"/>
          <w:pgSz w:w="11904" w:h="16838"/>
          <w:pgMar w:top="2222" w:right="1411" w:bottom="1622" w:left="1416" w:header="720" w:footer="720" w:gutter="0"/>
          <w:cols w:space="60"/>
          <w:noEndnote/>
        </w:sectPr>
      </w:pPr>
    </w:p>
    <w:p w:rsidR="00ED665B" w:rsidRPr="00907702" w:rsidRDefault="006C7D2F" w:rsidP="00DC2656">
      <w:pPr>
        <w:ind w:left="5"/>
        <w:jc w:val="both"/>
        <w:rPr>
          <w:rFonts w:ascii="Calibri" w:hAnsi="Calibri" w:cs="Calibri"/>
        </w:rPr>
      </w:pPr>
      <w:r>
        <w:rPr>
          <w:rFonts w:ascii="Calibri" w:hAnsi="Calibri"/>
          <w:color w:val="000000"/>
          <w:sz w:val="22"/>
        </w:rPr>
        <w:lastRenderedPageBreak/>
        <w:t>Заяви DOI узагальнювались керівним комітетом ВООЗ на початку засідання. Обраних осіб, які вели інтелектуальну чи дослідницьку роботу було запрошено як осіб з технічних ресурсів для надання технічного вкладу та відповіді на технічні питання. Ці особи не брали участі у процесі Градації з оцінки, розробки та ранжування рекомендацій (GRADE) та були виключені з групових дискусій при розробці рекомендацій.</w:t>
      </w:r>
    </w:p>
    <w:p w:rsidR="00ED665B" w:rsidRPr="00907702" w:rsidRDefault="00ED665B" w:rsidP="00DC2656">
      <w:pPr>
        <w:spacing w:after="408"/>
        <w:rPr>
          <w:rFonts w:ascii="Calibri" w:hAnsi="Calibri" w:cs="Calibri"/>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93"/>
        <w:gridCol w:w="4680"/>
        <w:gridCol w:w="2304"/>
      </w:tblGrid>
      <w:tr w:rsidR="00ED665B" w:rsidRPr="00636128" w:rsidTr="00636128">
        <w:trPr>
          <w:trHeight w:hRule="exact" w:val="442"/>
        </w:trPr>
        <w:tc>
          <w:tcPr>
            <w:tcW w:w="2093"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636128" w:rsidRDefault="006C7D2F" w:rsidP="00636128">
            <w:pPr>
              <w:ind w:left="34"/>
              <w:rPr>
                <w:rFonts w:ascii="Calibri" w:hAnsi="Calibri" w:cs="Calibri"/>
                <w:b/>
                <w:bCs/>
              </w:rPr>
            </w:pPr>
            <w:r>
              <w:rPr>
                <w:rFonts w:ascii="Calibri" w:hAnsi="Calibri"/>
                <w:b/>
                <w:color w:val="000000"/>
              </w:rPr>
              <w:t>Член ГРН</w:t>
            </w:r>
          </w:p>
        </w:tc>
        <w:tc>
          <w:tcPr>
            <w:tcW w:w="468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636128" w:rsidRDefault="006C7D2F" w:rsidP="00636128">
            <w:pPr>
              <w:rPr>
                <w:rFonts w:ascii="Calibri" w:hAnsi="Calibri" w:cs="Calibri"/>
                <w:b/>
                <w:bCs/>
              </w:rPr>
            </w:pPr>
            <w:r>
              <w:rPr>
                <w:rFonts w:ascii="Calibri" w:hAnsi="Calibri"/>
                <w:b/>
                <w:color w:val="000000"/>
              </w:rPr>
              <w:t>Заявлені інтереси</w:t>
            </w:r>
          </w:p>
        </w:tc>
        <w:tc>
          <w:tcPr>
            <w:tcW w:w="230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636128" w:rsidRDefault="006C7D2F" w:rsidP="00636128">
            <w:pPr>
              <w:ind w:left="19"/>
              <w:rPr>
                <w:rFonts w:ascii="Calibri" w:hAnsi="Calibri" w:cs="Calibri"/>
                <w:b/>
                <w:bCs/>
              </w:rPr>
            </w:pPr>
            <w:r>
              <w:rPr>
                <w:rFonts w:ascii="Calibri" w:hAnsi="Calibri"/>
                <w:b/>
                <w:color w:val="000000"/>
              </w:rPr>
              <w:t>Висновок</w:t>
            </w:r>
          </w:p>
        </w:tc>
      </w:tr>
      <w:tr w:rsidR="00ED665B" w:rsidRPr="00907702" w:rsidTr="0034777B">
        <w:trPr>
          <w:trHeight w:val="510"/>
        </w:trPr>
        <w:tc>
          <w:tcPr>
            <w:tcW w:w="2093" w:type="dxa"/>
            <w:tcBorders>
              <w:top w:val="single" w:sz="8" w:space="0" w:color="009649"/>
              <w:left w:val="nil"/>
              <w:bottom w:val="single" w:sz="8" w:space="0" w:color="009649"/>
              <w:right w:val="nil"/>
            </w:tcBorders>
            <w:shd w:val="clear" w:color="auto" w:fill="FFFFFF"/>
          </w:tcPr>
          <w:p w:rsidR="00ED665B" w:rsidRPr="00907702" w:rsidRDefault="006C7D2F" w:rsidP="00636128">
            <w:pPr>
              <w:ind w:left="34" w:right="619"/>
              <w:rPr>
                <w:rFonts w:ascii="Calibri" w:hAnsi="Calibri" w:cs="Calibri"/>
              </w:rPr>
            </w:pPr>
            <w:r>
              <w:rPr>
                <w:rFonts w:ascii="Calibri" w:hAnsi="Calibri"/>
                <w:color w:val="000000"/>
              </w:rPr>
              <w:t>Holger Schünemann</w:t>
            </w:r>
          </w:p>
        </w:tc>
        <w:tc>
          <w:tcPr>
            <w:tcW w:w="4680" w:type="dxa"/>
            <w:tcBorders>
              <w:top w:val="single" w:sz="8" w:space="0" w:color="009649"/>
              <w:left w:val="nil"/>
              <w:bottom w:val="single" w:sz="8" w:space="0" w:color="009649"/>
              <w:right w:val="nil"/>
            </w:tcBorders>
            <w:shd w:val="clear" w:color="auto" w:fill="FFFFFF"/>
          </w:tcPr>
          <w:p w:rsidR="00ED665B" w:rsidRPr="00907702" w:rsidRDefault="006C7D2F" w:rsidP="00DC2656">
            <w:pPr>
              <w:rPr>
                <w:rFonts w:ascii="Calibri" w:hAnsi="Calibri" w:cs="Calibri"/>
              </w:rPr>
            </w:pPr>
            <w:r>
              <w:rPr>
                <w:rFonts w:ascii="Calibri" w:hAnsi="Calibri"/>
                <w:color w:val="000000"/>
              </w:rPr>
              <w:t>не заявлено</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510"/>
        </w:trPr>
        <w:tc>
          <w:tcPr>
            <w:tcW w:w="2093" w:type="dxa"/>
            <w:tcBorders>
              <w:top w:val="single" w:sz="8" w:space="0" w:color="009649"/>
              <w:left w:val="nil"/>
              <w:bottom w:val="single" w:sz="8" w:space="0" w:color="009649"/>
              <w:right w:val="nil"/>
            </w:tcBorders>
            <w:shd w:val="clear" w:color="auto" w:fill="FFFFFF"/>
          </w:tcPr>
          <w:p w:rsidR="00ED665B" w:rsidRPr="00907702" w:rsidRDefault="006C7D2F" w:rsidP="00636128">
            <w:pPr>
              <w:ind w:left="34" w:right="168"/>
              <w:rPr>
                <w:rFonts w:ascii="Calibri" w:hAnsi="Calibri" w:cs="Calibri"/>
              </w:rPr>
            </w:pPr>
            <w:r>
              <w:rPr>
                <w:rFonts w:ascii="Calibri" w:hAnsi="Calibri"/>
                <w:color w:val="000000"/>
              </w:rPr>
              <w:t>Jeremiah Chakaya Muhwa</w:t>
            </w:r>
          </w:p>
        </w:tc>
        <w:tc>
          <w:tcPr>
            <w:tcW w:w="4680" w:type="dxa"/>
            <w:tcBorders>
              <w:top w:val="single" w:sz="8" w:space="0" w:color="009649"/>
              <w:left w:val="nil"/>
              <w:bottom w:val="single" w:sz="8" w:space="0" w:color="009649"/>
              <w:right w:val="nil"/>
            </w:tcBorders>
            <w:shd w:val="clear" w:color="auto" w:fill="FFFFFF"/>
          </w:tcPr>
          <w:p w:rsidR="00ED665B" w:rsidRPr="00907702" w:rsidRDefault="006C7D2F" w:rsidP="00DC2656">
            <w:pPr>
              <w:rPr>
                <w:rFonts w:ascii="Calibri" w:hAnsi="Calibri" w:cs="Calibri"/>
              </w:rPr>
            </w:pPr>
            <w:r>
              <w:rPr>
                <w:rFonts w:ascii="Calibri" w:hAnsi="Calibri"/>
                <w:color w:val="000000"/>
              </w:rPr>
              <w:t>не заявлено</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510"/>
        </w:trPr>
        <w:tc>
          <w:tcPr>
            <w:tcW w:w="2093" w:type="dxa"/>
            <w:tcBorders>
              <w:top w:val="single" w:sz="8" w:space="0" w:color="009649"/>
              <w:left w:val="nil"/>
              <w:bottom w:val="single" w:sz="8" w:space="0" w:color="009649"/>
              <w:right w:val="nil"/>
            </w:tcBorders>
            <w:shd w:val="clear" w:color="auto" w:fill="FFFFFF"/>
          </w:tcPr>
          <w:p w:rsidR="00ED665B" w:rsidRPr="00907702" w:rsidRDefault="006C7D2F" w:rsidP="00636128">
            <w:pPr>
              <w:ind w:left="34" w:right="317"/>
              <w:rPr>
                <w:rFonts w:ascii="Calibri" w:hAnsi="Calibri" w:cs="Calibri"/>
              </w:rPr>
            </w:pPr>
            <w:r>
              <w:rPr>
                <w:rFonts w:ascii="Calibri" w:hAnsi="Calibri"/>
                <w:color w:val="000000"/>
              </w:rPr>
              <w:t>Denise Arakaki-Sanchez</w:t>
            </w:r>
          </w:p>
        </w:tc>
        <w:tc>
          <w:tcPr>
            <w:tcW w:w="4680" w:type="dxa"/>
            <w:tcBorders>
              <w:top w:val="single" w:sz="8" w:space="0" w:color="009649"/>
              <w:left w:val="nil"/>
              <w:bottom w:val="single" w:sz="8" w:space="0" w:color="009649"/>
              <w:right w:val="nil"/>
            </w:tcBorders>
            <w:shd w:val="clear" w:color="auto" w:fill="FFFFFF"/>
          </w:tcPr>
          <w:p w:rsidR="00ED665B" w:rsidRPr="00907702" w:rsidRDefault="006C7D2F" w:rsidP="00DC2656">
            <w:pPr>
              <w:rPr>
                <w:rFonts w:ascii="Calibri" w:hAnsi="Calibri" w:cs="Calibri"/>
              </w:rPr>
            </w:pPr>
            <w:r>
              <w:rPr>
                <w:rFonts w:ascii="Calibri" w:hAnsi="Calibri"/>
                <w:color w:val="000000"/>
              </w:rPr>
              <w:t>не заявлено</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510"/>
        </w:trPr>
        <w:tc>
          <w:tcPr>
            <w:tcW w:w="2093" w:type="dxa"/>
            <w:tcBorders>
              <w:top w:val="single" w:sz="8" w:space="0" w:color="009649"/>
              <w:left w:val="nil"/>
              <w:bottom w:val="single" w:sz="8" w:space="0" w:color="009649"/>
              <w:right w:val="nil"/>
            </w:tcBorders>
            <w:shd w:val="clear" w:color="auto" w:fill="FFFFFF"/>
          </w:tcPr>
          <w:p w:rsidR="00ED665B" w:rsidRPr="00907702" w:rsidRDefault="006C7D2F" w:rsidP="00636128">
            <w:pPr>
              <w:ind w:left="34"/>
              <w:rPr>
                <w:rFonts w:ascii="Calibri" w:hAnsi="Calibri" w:cs="Calibri"/>
              </w:rPr>
            </w:pPr>
            <w:r>
              <w:rPr>
                <w:rFonts w:ascii="Calibri" w:hAnsi="Calibri"/>
                <w:color w:val="000000"/>
              </w:rPr>
              <w:t>David Branigan</w:t>
            </w:r>
          </w:p>
        </w:tc>
        <w:tc>
          <w:tcPr>
            <w:tcW w:w="4680" w:type="dxa"/>
            <w:tcBorders>
              <w:top w:val="single" w:sz="8" w:space="0" w:color="009649"/>
              <w:left w:val="nil"/>
              <w:bottom w:val="single" w:sz="8" w:space="0" w:color="009649"/>
              <w:right w:val="nil"/>
            </w:tcBorders>
            <w:shd w:val="clear" w:color="auto" w:fill="FFFFFF"/>
          </w:tcPr>
          <w:p w:rsidR="00ED665B" w:rsidRPr="00907702" w:rsidRDefault="006C7D2F" w:rsidP="00DC2656">
            <w:pPr>
              <w:rPr>
                <w:rFonts w:ascii="Calibri" w:hAnsi="Calibri" w:cs="Calibri"/>
              </w:rPr>
            </w:pPr>
            <w:r>
              <w:rPr>
                <w:rFonts w:ascii="Calibri" w:hAnsi="Calibri"/>
                <w:color w:val="000000"/>
              </w:rPr>
              <w:t>не заявлено</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510"/>
        </w:trPr>
        <w:tc>
          <w:tcPr>
            <w:tcW w:w="2093" w:type="dxa"/>
            <w:tcBorders>
              <w:top w:val="single" w:sz="8" w:space="0" w:color="009649"/>
              <w:left w:val="nil"/>
              <w:bottom w:val="single" w:sz="8" w:space="0" w:color="009649"/>
              <w:right w:val="nil"/>
            </w:tcBorders>
            <w:shd w:val="clear" w:color="auto" w:fill="FFFFFF"/>
          </w:tcPr>
          <w:p w:rsidR="00ED665B" w:rsidRPr="00907702" w:rsidRDefault="006C7D2F" w:rsidP="00636128">
            <w:pPr>
              <w:ind w:left="34"/>
              <w:rPr>
                <w:rFonts w:ascii="Calibri" w:hAnsi="Calibri" w:cs="Calibri"/>
              </w:rPr>
            </w:pPr>
            <w:r>
              <w:rPr>
                <w:rFonts w:ascii="Calibri" w:hAnsi="Calibri"/>
                <w:color w:val="000000"/>
              </w:rPr>
              <w:t>Daniela Cirillo</w:t>
            </w:r>
          </w:p>
        </w:tc>
        <w:tc>
          <w:tcPr>
            <w:tcW w:w="4680" w:type="dxa"/>
            <w:tcBorders>
              <w:top w:val="single" w:sz="8" w:space="0" w:color="009649"/>
              <w:left w:val="nil"/>
              <w:bottom w:val="single" w:sz="8" w:space="0" w:color="009649"/>
              <w:right w:val="nil"/>
            </w:tcBorders>
            <w:shd w:val="clear" w:color="auto" w:fill="FFFFFF"/>
          </w:tcPr>
          <w:p w:rsidR="00ED665B" w:rsidRPr="00907702" w:rsidRDefault="006C7D2F" w:rsidP="00DC2656">
            <w:pPr>
              <w:ind w:right="149"/>
              <w:rPr>
                <w:rFonts w:ascii="Calibri" w:hAnsi="Calibri" w:cs="Calibri"/>
              </w:rPr>
            </w:pPr>
            <w:r>
              <w:rPr>
                <w:rFonts w:ascii="Calibri" w:hAnsi="Calibri"/>
                <w:color w:val="000000"/>
              </w:rPr>
              <w:t>Оцінка прототипу випробування ШЛС. Проект, що фінансується компанією «Cepheid» та FIND. Бюджет (дослідницька група): дол. США 14 296; 2018. Член Консультативної ради з питань науки (BIOMERIEUX). Бюджет (самостійний): дол. США 1000; 2020–2021. Оцінка стабільності крові для системи VIDAS (BIOMERIEUX). Бюджет (дослідницька група): дол. США 11 200; 2019.</w:t>
            </w:r>
          </w:p>
        </w:tc>
        <w:tc>
          <w:tcPr>
            <w:tcW w:w="2304" w:type="dxa"/>
            <w:tcBorders>
              <w:top w:val="single" w:sz="8" w:space="0" w:color="009649"/>
              <w:left w:val="nil"/>
              <w:bottom w:val="single" w:sz="8" w:space="0" w:color="009649"/>
              <w:right w:val="nil"/>
            </w:tcBorders>
            <w:shd w:val="clear" w:color="auto" w:fill="FFFFFF"/>
          </w:tcPr>
          <w:p w:rsidR="00ED665B" w:rsidRPr="00907702" w:rsidRDefault="00640824" w:rsidP="0034777B">
            <w:pPr>
              <w:ind w:left="19" w:right="355"/>
              <w:rPr>
                <w:rFonts w:ascii="Calibri" w:hAnsi="Calibri" w:cs="Calibri"/>
              </w:rPr>
            </w:pPr>
            <w:r>
              <w:rPr>
                <w:rFonts w:ascii="Calibri" w:hAnsi="Calibri"/>
                <w:color w:val="000000"/>
              </w:rPr>
              <w:t>Значний конфлікт інтересів – виключено з обговорень щодо автоматизованих ТАНК низької складності</w:t>
            </w:r>
          </w:p>
        </w:tc>
      </w:tr>
      <w:tr w:rsidR="00ED665B" w:rsidRPr="00907702" w:rsidTr="0034777B">
        <w:trPr>
          <w:trHeight w:val="510"/>
        </w:trPr>
        <w:tc>
          <w:tcPr>
            <w:tcW w:w="2093" w:type="dxa"/>
            <w:tcBorders>
              <w:top w:val="single" w:sz="8" w:space="0" w:color="009649"/>
              <w:left w:val="nil"/>
              <w:bottom w:val="single" w:sz="8" w:space="0" w:color="009649"/>
              <w:right w:val="nil"/>
            </w:tcBorders>
            <w:shd w:val="clear" w:color="auto" w:fill="FFFFFF"/>
          </w:tcPr>
          <w:p w:rsidR="00ED665B" w:rsidRPr="00907702" w:rsidRDefault="006C7D2F" w:rsidP="00636128">
            <w:pPr>
              <w:ind w:left="34" w:right="134"/>
              <w:rPr>
                <w:rFonts w:ascii="Calibri" w:hAnsi="Calibri" w:cs="Calibri"/>
              </w:rPr>
            </w:pPr>
            <w:r>
              <w:rPr>
                <w:rFonts w:ascii="Calibri" w:hAnsi="Calibri"/>
                <w:color w:val="000000"/>
              </w:rPr>
              <w:t>Celina Anna Maria Garfn</w:t>
            </w:r>
          </w:p>
        </w:tc>
        <w:tc>
          <w:tcPr>
            <w:tcW w:w="4680" w:type="dxa"/>
            <w:tcBorders>
              <w:top w:val="single" w:sz="8" w:space="0" w:color="009649"/>
              <w:left w:val="nil"/>
              <w:bottom w:val="single" w:sz="8" w:space="0" w:color="009649"/>
              <w:right w:val="nil"/>
            </w:tcBorders>
            <w:shd w:val="clear" w:color="auto" w:fill="FFFFFF"/>
          </w:tcPr>
          <w:p w:rsidR="00ED665B" w:rsidRPr="00907702" w:rsidRDefault="006C7D2F" w:rsidP="00DC2656">
            <w:pPr>
              <w:rPr>
                <w:rFonts w:ascii="Calibri" w:hAnsi="Calibri" w:cs="Calibri"/>
              </w:rPr>
            </w:pPr>
            <w:r>
              <w:rPr>
                <w:rFonts w:ascii="Calibri" w:hAnsi="Calibri"/>
                <w:color w:val="000000"/>
              </w:rPr>
              <w:t>не заявлено</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510"/>
        </w:trPr>
        <w:tc>
          <w:tcPr>
            <w:tcW w:w="2093" w:type="dxa"/>
            <w:tcBorders>
              <w:top w:val="single" w:sz="8" w:space="0" w:color="009649"/>
              <w:left w:val="nil"/>
              <w:bottom w:val="single" w:sz="8" w:space="0" w:color="009649"/>
              <w:right w:val="nil"/>
            </w:tcBorders>
            <w:shd w:val="clear" w:color="auto" w:fill="FFFFFF"/>
          </w:tcPr>
          <w:p w:rsidR="00ED665B" w:rsidRPr="00907702" w:rsidRDefault="006C7D2F" w:rsidP="00636128">
            <w:pPr>
              <w:ind w:left="34"/>
              <w:rPr>
                <w:rFonts w:ascii="Calibri" w:hAnsi="Calibri" w:cs="Calibri"/>
              </w:rPr>
            </w:pPr>
            <w:r>
              <w:rPr>
                <w:rFonts w:ascii="Calibri" w:hAnsi="Calibri"/>
                <w:color w:val="000000"/>
              </w:rPr>
              <w:t>Petra de Haas</w:t>
            </w:r>
          </w:p>
        </w:tc>
        <w:tc>
          <w:tcPr>
            <w:tcW w:w="4680" w:type="dxa"/>
            <w:tcBorders>
              <w:top w:val="single" w:sz="8" w:space="0" w:color="009649"/>
              <w:left w:val="nil"/>
              <w:bottom w:val="single" w:sz="8" w:space="0" w:color="009649"/>
              <w:right w:val="nil"/>
            </w:tcBorders>
            <w:shd w:val="clear" w:color="auto" w:fill="FFFFFF"/>
          </w:tcPr>
          <w:p w:rsidR="00ED665B" w:rsidRPr="00907702" w:rsidRDefault="006C7D2F" w:rsidP="00DC2656">
            <w:pPr>
              <w:rPr>
                <w:rFonts w:ascii="Calibri" w:hAnsi="Calibri" w:cs="Calibri"/>
              </w:rPr>
            </w:pPr>
            <w:r>
              <w:rPr>
                <w:rFonts w:ascii="Calibri" w:hAnsi="Calibri"/>
                <w:color w:val="000000"/>
              </w:rPr>
              <w:t>не заявлено</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510"/>
        </w:trPr>
        <w:tc>
          <w:tcPr>
            <w:tcW w:w="2093" w:type="dxa"/>
            <w:tcBorders>
              <w:top w:val="single" w:sz="8" w:space="0" w:color="009649"/>
              <w:left w:val="nil"/>
              <w:bottom w:val="single" w:sz="8" w:space="0" w:color="009649"/>
              <w:right w:val="nil"/>
            </w:tcBorders>
            <w:shd w:val="clear" w:color="auto" w:fill="FFFFFF"/>
          </w:tcPr>
          <w:p w:rsidR="00ED665B" w:rsidRPr="00907702" w:rsidRDefault="006C7D2F" w:rsidP="00636128">
            <w:pPr>
              <w:ind w:left="34"/>
              <w:rPr>
                <w:rFonts w:ascii="Calibri" w:hAnsi="Calibri" w:cs="Calibri"/>
              </w:rPr>
            </w:pPr>
            <w:r>
              <w:rPr>
                <w:rFonts w:ascii="Calibri" w:hAnsi="Calibri"/>
                <w:color w:val="000000"/>
              </w:rPr>
              <w:t>Patricia Hall</w:t>
            </w:r>
          </w:p>
        </w:tc>
        <w:tc>
          <w:tcPr>
            <w:tcW w:w="4680" w:type="dxa"/>
            <w:tcBorders>
              <w:top w:val="single" w:sz="8" w:space="0" w:color="009649"/>
              <w:left w:val="nil"/>
              <w:bottom w:val="single" w:sz="8" w:space="0" w:color="009649"/>
              <w:right w:val="nil"/>
            </w:tcBorders>
            <w:shd w:val="clear" w:color="auto" w:fill="FFFFFF"/>
          </w:tcPr>
          <w:p w:rsidR="00ED665B" w:rsidRPr="00907702" w:rsidRDefault="006C7D2F" w:rsidP="00DC2656">
            <w:pPr>
              <w:ind w:right="43"/>
              <w:rPr>
                <w:rFonts w:ascii="Calibri" w:hAnsi="Calibri" w:cs="Calibri"/>
              </w:rPr>
            </w:pPr>
            <w:r>
              <w:rPr>
                <w:rFonts w:ascii="Calibri" w:hAnsi="Calibri"/>
                <w:color w:val="000000"/>
              </w:rPr>
              <w:t>Отримує фінансування від PEPFAR; використовує фінансування PEPFAR для закупівель діагностичних тестів на туберкульоз та матеріалів для тестування на туберкульоз, діагностики ВІЛ-інфекції у немовлят та дослідження з визначення рівня вірусного навантаження ВІЛ у багатьох країнах. Робить технічний внесок в Операційні вказівки PEPFAR за різними країнами, зокрема матеріали за відповідними закупівлями та використанням туберкульозу та інструментів і типів тестування на ВІЛ. Контролює глобальну програму з перевірки кваліфікації для роботи з GeneXpert від компанії «Cepheid» та надає технічну допомогу країновим офісам Центру з контролю та профілактики захворюваності за підтримки PEPFAR та міністерств охорони здоров’я партнерів щодо відбору та впровадження діагностичних тестів на туберкульоз та ВІЛ та ресурсів тестування.</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ind w:left="19" w:right="389"/>
              <w:rPr>
                <w:rFonts w:ascii="Calibri" w:hAnsi="Calibri" w:cs="Calibri"/>
              </w:rPr>
            </w:pPr>
            <w:r>
              <w:rPr>
                <w:rFonts w:ascii="Calibri" w:hAnsi="Calibri"/>
                <w:color w:val="000000"/>
              </w:rPr>
              <w:t>Незначний конфлікт інтересів</w:t>
            </w:r>
          </w:p>
        </w:tc>
      </w:tr>
      <w:tr w:rsidR="00ED665B" w:rsidRPr="00907702" w:rsidTr="0034777B">
        <w:trPr>
          <w:trHeight w:val="510"/>
        </w:trPr>
        <w:tc>
          <w:tcPr>
            <w:tcW w:w="2093" w:type="dxa"/>
            <w:tcBorders>
              <w:top w:val="single" w:sz="8" w:space="0" w:color="009649"/>
              <w:left w:val="nil"/>
              <w:bottom w:val="single" w:sz="8" w:space="0" w:color="009649"/>
              <w:right w:val="nil"/>
            </w:tcBorders>
            <w:shd w:val="clear" w:color="auto" w:fill="FFFFFF"/>
          </w:tcPr>
          <w:p w:rsidR="00ED665B" w:rsidRPr="00907702" w:rsidRDefault="006C7D2F" w:rsidP="00636128">
            <w:pPr>
              <w:ind w:left="34"/>
              <w:rPr>
                <w:rFonts w:ascii="Calibri" w:hAnsi="Calibri" w:cs="Calibri"/>
              </w:rPr>
            </w:pPr>
            <w:r>
              <w:rPr>
                <w:rFonts w:ascii="Calibri" w:hAnsi="Calibri"/>
                <w:color w:val="000000"/>
              </w:rPr>
              <w:t>Rumina Hasan</w:t>
            </w:r>
          </w:p>
        </w:tc>
        <w:tc>
          <w:tcPr>
            <w:tcW w:w="4680" w:type="dxa"/>
            <w:tcBorders>
              <w:top w:val="single" w:sz="8" w:space="0" w:color="009649"/>
              <w:left w:val="nil"/>
              <w:bottom w:val="single" w:sz="8" w:space="0" w:color="009649"/>
              <w:right w:val="nil"/>
            </w:tcBorders>
            <w:shd w:val="clear" w:color="auto" w:fill="FFFFFF"/>
          </w:tcPr>
          <w:p w:rsidR="00ED665B" w:rsidRPr="00907702" w:rsidRDefault="006C7D2F" w:rsidP="00DC2656">
            <w:pPr>
              <w:rPr>
                <w:rFonts w:ascii="Calibri" w:hAnsi="Calibri" w:cs="Calibri"/>
              </w:rPr>
            </w:pPr>
            <w:r>
              <w:rPr>
                <w:rFonts w:ascii="Calibri" w:hAnsi="Calibri"/>
                <w:color w:val="000000"/>
              </w:rPr>
              <w:t>не заявлено</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510"/>
        </w:trPr>
        <w:tc>
          <w:tcPr>
            <w:tcW w:w="2093" w:type="dxa"/>
            <w:tcBorders>
              <w:top w:val="single" w:sz="8" w:space="0" w:color="009649"/>
              <w:left w:val="nil"/>
              <w:bottom w:val="single" w:sz="8" w:space="0" w:color="009649"/>
              <w:right w:val="nil"/>
            </w:tcBorders>
            <w:shd w:val="clear" w:color="auto" w:fill="FFFFFF"/>
          </w:tcPr>
          <w:p w:rsidR="00ED665B" w:rsidRPr="00907702" w:rsidRDefault="006C7D2F" w:rsidP="00636128">
            <w:pPr>
              <w:ind w:left="34"/>
              <w:rPr>
                <w:rFonts w:ascii="Calibri" w:hAnsi="Calibri" w:cs="Calibri"/>
              </w:rPr>
            </w:pPr>
            <w:r>
              <w:rPr>
                <w:rFonts w:ascii="Calibri" w:hAnsi="Calibri"/>
                <w:color w:val="000000"/>
              </w:rPr>
              <w:t>Xia Hui</w:t>
            </w:r>
          </w:p>
        </w:tc>
        <w:tc>
          <w:tcPr>
            <w:tcW w:w="4680" w:type="dxa"/>
            <w:tcBorders>
              <w:top w:val="single" w:sz="8" w:space="0" w:color="009649"/>
              <w:left w:val="nil"/>
              <w:bottom w:val="single" w:sz="8" w:space="0" w:color="009649"/>
              <w:right w:val="nil"/>
            </w:tcBorders>
            <w:shd w:val="clear" w:color="auto" w:fill="FFFFFF"/>
          </w:tcPr>
          <w:p w:rsidR="00ED665B" w:rsidRPr="00907702" w:rsidRDefault="006C7D2F" w:rsidP="00DC2656">
            <w:pPr>
              <w:rPr>
                <w:rFonts w:ascii="Calibri" w:hAnsi="Calibri" w:cs="Calibri"/>
              </w:rPr>
            </w:pPr>
            <w:r>
              <w:rPr>
                <w:rFonts w:ascii="Calibri" w:hAnsi="Calibri"/>
                <w:color w:val="000000"/>
              </w:rPr>
              <w:t>не заявлено</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bl>
    <w:p w:rsidR="00ED665B" w:rsidRPr="00907702" w:rsidRDefault="00ED665B" w:rsidP="00DC2656">
      <w:pPr>
        <w:rPr>
          <w:rFonts w:ascii="Calibri" w:hAnsi="Calibri" w:cs="Calibri"/>
        </w:rPr>
        <w:sectPr w:rsidR="00ED665B" w:rsidRPr="00907702" w:rsidSect="0034777B">
          <w:pgSz w:w="11904" w:h="16838"/>
          <w:pgMar w:top="1339" w:right="1416" w:bottom="284" w:left="141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9"/>
        <w:gridCol w:w="4738"/>
        <w:gridCol w:w="2285"/>
      </w:tblGrid>
      <w:tr w:rsidR="00ED665B" w:rsidRPr="00636128" w:rsidTr="00636128">
        <w:trPr>
          <w:trHeight w:hRule="exact" w:val="446"/>
        </w:trPr>
        <w:tc>
          <w:tcPr>
            <w:tcW w:w="2069"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636128" w:rsidRDefault="006C7D2F" w:rsidP="00636128">
            <w:pPr>
              <w:ind w:left="62"/>
              <w:rPr>
                <w:rFonts w:ascii="Calibri" w:hAnsi="Calibri" w:cs="Calibri"/>
                <w:b/>
                <w:bCs/>
              </w:rPr>
            </w:pPr>
            <w:r>
              <w:rPr>
                <w:rFonts w:ascii="Calibri" w:hAnsi="Calibri"/>
                <w:b/>
                <w:color w:val="000000"/>
              </w:rPr>
              <w:lastRenderedPageBreak/>
              <w:t>Член ГРН</w:t>
            </w:r>
          </w:p>
        </w:tc>
        <w:tc>
          <w:tcPr>
            <w:tcW w:w="4738"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636128" w:rsidRDefault="006C7D2F" w:rsidP="00636128">
            <w:pPr>
              <w:rPr>
                <w:rFonts w:ascii="Calibri" w:hAnsi="Calibri" w:cs="Calibri"/>
                <w:b/>
                <w:bCs/>
              </w:rPr>
            </w:pPr>
            <w:r>
              <w:rPr>
                <w:rFonts w:ascii="Calibri" w:hAnsi="Calibri"/>
                <w:b/>
                <w:color w:val="000000"/>
              </w:rPr>
              <w:t>Заявлені інтереси</w:t>
            </w:r>
          </w:p>
        </w:tc>
        <w:tc>
          <w:tcPr>
            <w:tcW w:w="228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636128" w:rsidRDefault="006C7D2F" w:rsidP="00636128">
            <w:pPr>
              <w:ind w:left="14"/>
              <w:rPr>
                <w:rFonts w:ascii="Calibri" w:hAnsi="Calibri" w:cs="Calibri"/>
                <w:b/>
                <w:bCs/>
              </w:rPr>
            </w:pPr>
            <w:r>
              <w:rPr>
                <w:rFonts w:ascii="Calibri" w:hAnsi="Calibri"/>
                <w:b/>
                <w:color w:val="000000"/>
              </w:rPr>
              <w:t>Висновок</w:t>
            </w:r>
          </w:p>
        </w:tc>
      </w:tr>
      <w:tr w:rsidR="00ED665B" w:rsidRPr="00907702" w:rsidTr="0034777B">
        <w:trPr>
          <w:trHeight w:val="20"/>
        </w:trPr>
        <w:tc>
          <w:tcPr>
            <w:tcW w:w="2069"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Pr>
                <w:rFonts w:ascii="Calibri" w:hAnsi="Calibri" w:cs="Calibri"/>
              </w:rPr>
            </w:pPr>
            <w:r>
              <w:rPr>
                <w:rFonts w:ascii="Calibri" w:hAnsi="Calibri"/>
                <w:color w:val="000000"/>
              </w:rPr>
              <w:t>Farzana Ismail</w:t>
            </w:r>
          </w:p>
        </w:tc>
        <w:tc>
          <w:tcPr>
            <w:tcW w:w="4738"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Оцінка прототипу випробування ШЛС (Cepheid). Бюджет (дослідницька група): дол. США 140 000; 2020. Постмаркетинговий нагляд за бедаквіліном та поява резистентності (Janssen). Бюджет (дослідницька група): дол. США 300 000; триває. Латентна туберкульозна інфекція у медичних працівників (Qiagen). Бюджет (Дослідницька група): витратні матеріали та персонал; триває. Спонсорство для участі у конференції IUATLD, Den Haag (самостійно); 2018 р.</w:t>
            </w:r>
          </w:p>
        </w:tc>
        <w:tc>
          <w:tcPr>
            <w:tcW w:w="2285" w:type="dxa"/>
            <w:tcBorders>
              <w:top w:val="single" w:sz="8" w:space="0" w:color="009649"/>
              <w:left w:val="nil"/>
              <w:bottom w:val="single" w:sz="8" w:space="0" w:color="009649"/>
              <w:right w:val="nil"/>
            </w:tcBorders>
            <w:shd w:val="clear" w:color="auto" w:fill="FFFFFF"/>
          </w:tcPr>
          <w:p w:rsidR="00ED665B" w:rsidRPr="00907702" w:rsidRDefault="00640824" w:rsidP="00DC2656">
            <w:pPr>
              <w:ind w:left="14" w:right="341"/>
              <w:rPr>
                <w:rFonts w:ascii="Calibri" w:hAnsi="Calibri" w:cs="Calibri"/>
              </w:rPr>
            </w:pPr>
            <w:r>
              <w:rPr>
                <w:rFonts w:ascii="Calibri" w:hAnsi="Calibri"/>
                <w:color w:val="000000"/>
              </w:rPr>
              <w:t>Значний конфлікт інтересів – виключено з обговорень щодо автоматизованих ТАНК низької складності</w:t>
            </w:r>
          </w:p>
        </w:tc>
      </w:tr>
      <w:tr w:rsidR="00ED665B" w:rsidRPr="00907702" w:rsidTr="0034777B">
        <w:trPr>
          <w:trHeight w:val="20"/>
        </w:trPr>
        <w:tc>
          <w:tcPr>
            <w:tcW w:w="2069"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Pr>
                <w:rFonts w:ascii="Calibri" w:hAnsi="Calibri" w:cs="Calibri"/>
              </w:rPr>
            </w:pPr>
            <w:r>
              <w:rPr>
                <w:rFonts w:ascii="Calibri" w:hAnsi="Calibri"/>
                <w:color w:val="000000"/>
              </w:rPr>
              <w:t>Katharina Kranzer</w:t>
            </w:r>
          </w:p>
        </w:tc>
        <w:tc>
          <w:tcPr>
            <w:tcW w:w="4738"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EDCTP: загальний бюджет близько 3,2 млн. євро у 6 установах; FIND: дослідження, не пов’язане з туберкульозом (дослідження щодо резистентності до антимікробних препаратів), 21 000 доларів США; Cepheid: дослідження, не пов’язане з туберкульозом (дослідження на ІПСШ), внески у немонетизованій формі – 3000 картриджів та позика апарата Xpert; Cepheid: дослідження, пов’язане з туберкульозом, про підпис 3 генів, внесок у немонетизованій формі – 3500 картриджів та позика апарата Xpert; Roche: витратні матеріали для дослідження валідації у 2015–2016 рр.</w:t>
            </w:r>
          </w:p>
        </w:tc>
        <w:tc>
          <w:tcPr>
            <w:tcW w:w="2285" w:type="dxa"/>
            <w:tcBorders>
              <w:top w:val="single" w:sz="8" w:space="0" w:color="009649"/>
              <w:left w:val="nil"/>
              <w:bottom w:val="single" w:sz="8" w:space="0" w:color="009649"/>
              <w:right w:val="nil"/>
            </w:tcBorders>
            <w:shd w:val="clear" w:color="auto" w:fill="FFFFFF"/>
          </w:tcPr>
          <w:p w:rsidR="00ED665B" w:rsidRPr="00907702" w:rsidRDefault="00640824" w:rsidP="00DC2656">
            <w:pPr>
              <w:ind w:left="14" w:right="82"/>
              <w:rPr>
                <w:rFonts w:ascii="Calibri" w:hAnsi="Calibri" w:cs="Calibri"/>
              </w:rPr>
            </w:pPr>
            <w:r>
              <w:rPr>
                <w:rFonts w:ascii="Calibri" w:hAnsi="Calibri"/>
                <w:color w:val="000000"/>
              </w:rPr>
              <w:t>Значний конфлікт інтересів – виключено з обговорень щодо автоматизованих ТАНК помірної складності</w:t>
            </w:r>
          </w:p>
        </w:tc>
      </w:tr>
      <w:tr w:rsidR="00ED665B" w:rsidRPr="00907702" w:rsidTr="0034777B">
        <w:trPr>
          <w:trHeight w:val="20"/>
        </w:trPr>
        <w:tc>
          <w:tcPr>
            <w:tcW w:w="2069"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Pr>
                <w:rFonts w:ascii="Calibri" w:hAnsi="Calibri" w:cs="Calibri"/>
              </w:rPr>
            </w:pPr>
            <w:r>
              <w:rPr>
                <w:rFonts w:ascii="Calibri" w:hAnsi="Calibri"/>
                <w:color w:val="000000"/>
              </w:rPr>
              <w:t>Blessina Kumar</w:t>
            </w:r>
          </w:p>
        </w:tc>
        <w:tc>
          <w:tcPr>
            <w:tcW w:w="4738"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не заявлено</w:t>
            </w:r>
          </w:p>
        </w:tc>
        <w:tc>
          <w:tcPr>
            <w:tcW w:w="2285"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20"/>
        </w:trPr>
        <w:tc>
          <w:tcPr>
            <w:tcW w:w="2069"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ight="302"/>
              <w:rPr>
                <w:rFonts w:ascii="Calibri" w:hAnsi="Calibri" w:cs="Calibri"/>
              </w:rPr>
            </w:pPr>
            <w:r>
              <w:rPr>
                <w:rFonts w:ascii="Calibri" w:hAnsi="Calibri"/>
                <w:color w:val="000000"/>
              </w:rPr>
              <w:t>Nagalineswaran Kumarasamy</w:t>
            </w:r>
          </w:p>
        </w:tc>
        <w:tc>
          <w:tcPr>
            <w:tcW w:w="4738"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не заявлено</w:t>
            </w:r>
          </w:p>
        </w:tc>
        <w:tc>
          <w:tcPr>
            <w:tcW w:w="2285"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20"/>
        </w:trPr>
        <w:tc>
          <w:tcPr>
            <w:tcW w:w="2069"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Pr>
                <w:rFonts w:ascii="Calibri" w:hAnsi="Calibri" w:cs="Calibri"/>
              </w:rPr>
            </w:pPr>
            <w:r>
              <w:rPr>
                <w:rFonts w:ascii="Calibri" w:hAnsi="Calibri"/>
                <w:color w:val="000000"/>
              </w:rPr>
              <w:t>Lindiwe Mvusi</w:t>
            </w:r>
          </w:p>
        </w:tc>
        <w:tc>
          <w:tcPr>
            <w:tcW w:w="4738"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не заявлено</w:t>
            </w:r>
          </w:p>
        </w:tc>
        <w:tc>
          <w:tcPr>
            <w:tcW w:w="2285"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20"/>
        </w:trPr>
        <w:tc>
          <w:tcPr>
            <w:tcW w:w="2069"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ight="730"/>
              <w:rPr>
                <w:rFonts w:ascii="Calibri" w:hAnsi="Calibri" w:cs="Calibri"/>
              </w:rPr>
            </w:pPr>
            <w:r>
              <w:rPr>
                <w:rFonts w:ascii="Calibri" w:hAnsi="Calibri"/>
                <w:color w:val="000000"/>
              </w:rPr>
              <w:t>Viet Nhung Nguyen</w:t>
            </w:r>
          </w:p>
        </w:tc>
        <w:tc>
          <w:tcPr>
            <w:tcW w:w="4738"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не заявлено</w:t>
            </w:r>
          </w:p>
        </w:tc>
        <w:tc>
          <w:tcPr>
            <w:tcW w:w="2285"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20"/>
        </w:trPr>
        <w:tc>
          <w:tcPr>
            <w:tcW w:w="2069"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Pr>
                <w:rFonts w:ascii="Calibri" w:hAnsi="Calibri" w:cs="Calibri"/>
              </w:rPr>
            </w:pPr>
            <w:r>
              <w:rPr>
                <w:rFonts w:ascii="Calibri" w:hAnsi="Calibri"/>
                <w:color w:val="000000"/>
              </w:rPr>
              <w:t>Mark Nicol</w:t>
            </w:r>
          </w:p>
        </w:tc>
        <w:tc>
          <w:tcPr>
            <w:tcW w:w="4738"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Грант на фінансування науково-дослідної діяльності, отриманий установою для вивчення широкого спектру нових діагностик туберкульозу, в тому числі ТАНК (серед інших, BD MAX ™, один з тестів, що представляють інтерес для фактичної ГРН). Фонд Білла та Мелінди Гейтс; NIH: вступний траст; FIND. Роботодавець (університет) отримав фінансування. Значне (кілька мільйонів доларів США). Постійне фінансування від FIND, NIH; має спільний доступ до очікуваного патенту на новий метод вилучення та очищення ДНК із зразків мокротиння (не пов’язаних та не використовуваних у будь-якому комерційному тесті на туберкульоз). Патент належить діючому учаснику. Наразі комерційна цінність відсутня.</w:t>
            </w:r>
          </w:p>
        </w:tc>
        <w:tc>
          <w:tcPr>
            <w:tcW w:w="2285" w:type="dxa"/>
            <w:tcBorders>
              <w:top w:val="single" w:sz="8" w:space="0" w:color="009649"/>
              <w:left w:val="nil"/>
              <w:bottom w:val="single" w:sz="8" w:space="0" w:color="009649"/>
              <w:right w:val="nil"/>
            </w:tcBorders>
            <w:shd w:val="clear" w:color="auto" w:fill="FFFFFF"/>
          </w:tcPr>
          <w:p w:rsidR="00ED665B" w:rsidRPr="00907702" w:rsidRDefault="00640824" w:rsidP="00DC2656">
            <w:pPr>
              <w:ind w:left="14" w:right="82"/>
              <w:rPr>
                <w:rFonts w:ascii="Calibri" w:hAnsi="Calibri" w:cs="Calibri"/>
              </w:rPr>
            </w:pPr>
            <w:r>
              <w:rPr>
                <w:rFonts w:ascii="Calibri" w:hAnsi="Calibri"/>
                <w:color w:val="000000"/>
              </w:rPr>
              <w:t>Значний конфлікт інтересів – виключено з обговорень щодо автоматизованих ТАНК помірної складності</w:t>
            </w:r>
          </w:p>
        </w:tc>
      </w:tr>
      <w:tr w:rsidR="00ED665B" w:rsidRPr="00907702" w:rsidTr="0034777B">
        <w:trPr>
          <w:trHeight w:val="20"/>
        </w:trPr>
        <w:tc>
          <w:tcPr>
            <w:tcW w:w="2069"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Pr>
                <w:rFonts w:ascii="Calibri" w:hAnsi="Calibri" w:cs="Calibri"/>
              </w:rPr>
            </w:pPr>
            <w:r>
              <w:rPr>
                <w:rFonts w:ascii="Calibri" w:hAnsi="Calibri"/>
                <w:color w:val="000000"/>
              </w:rPr>
              <w:t>Leen Rigouts</w:t>
            </w:r>
          </w:p>
        </w:tc>
        <w:tc>
          <w:tcPr>
            <w:tcW w:w="4738"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Проведення досліджень: дослідницький підрозділ отримав фінансову допомогу через FIND для координації та участь у багатоцентровій оцінці Genoscholar PZA-LPA. Частина цього фінансування надходила від компанії «Nipro». Негрошова винагорода: дослідницький підрозділ отримав комплекти Genoscholar PZA-LPA для проведення оцінок тесту (багатоцентрове дослідження за підтримки FIND плюс додаткова поточна оцінка у підрозділі).</w:t>
            </w:r>
          </w:p>
        </w:tc>
        <w:tc>
          <w:tcPr>
            <w:tcW w:w="2285" w:type="dxa"/>
            <w:tcBorders>
              <w:top w:val="single" w:sz="8" w:space="0" w:color="009649"/>
              <w:left w:val="nil"/>
              <w:bottom w:val="single" w:sz="8" w:space="0" w:color="009649"/>
              <w:right w:val="nil"/>
            </w:tcBorders>
            <w:shd w:val="clear" w:color="auto" w:fill="FFFFFF"/>
          </w:tcPr>
          <w:p w:rsidR="00ED665B" w:rsidRPr="00907702" w:rsidRDefault="00640824" w:rsidP="00DC2656">
            <w:pPr>
              <w:ind w:left="14" w:right="206"/>
              <w:rPr>
                <w:rFonts w:ascii="Calibri" w:hAnsi="Calibri" w:cs="Calibri"/>
              </w:rPr>
            </w:pPr>
            <w:r>
              <w:rPr>
                <w:rFonts w:ascii="Calibri" w:hAnsi="Calibri"/>
                <w:color w:val="000000"/>
              </w:rPr>
              <w:t>Значний конфлікт інтересів – виключено з обговорень щодо ТАНК високої складності на основі гібридизації</w:t>
            </w:r>
          </w:p>
        </w:tc>
      </w:tr>
    </w:tbl>
    <w:p w:rsidR="00ED665B" w:rsidRPr="0034777B" w:rsidRDefault="00ED665B" w:rsidP="00DC2656">
      <w:pPr>
        <w:rPr>
          <w:rFonts w:ascii="Calibri" w:hAnsi="Calibri" w:cs="Calibri"/>
          <w:sz w:val="2"/>
          <w:szCs w:val="2"/>
        </w:rPr>
        <w:sectPr w:rsidR="00ED665B" w:rsidRPr="0034777B" w:rsidSect="0034777B">
          <w:footerReference w:type="default" r:id="rId307"/>
          <w:pgSz w:w="11904" w:h="16838"/>
          <w:pgMar w:top="1411" w:right="1430" w:bottom="0" w:left="138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11"/>
        <w:gridCol w:w="4795"/>
        <w:gridCol w:w="2304"/>
      </w:tblGrid>
      <w:tr w:rsidR="00ED665B" w:rsidRPr="00636128" w:rsidTr="00636128">
        <w:trPr>
          <w:trHeight w:hRule="exact" w:val="446"/>
        </w:trPr>
        <w:tc>
          <w:tcPr>
            <w:tcW w:w="2011"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636128" w:rsidRDefault="006C7D2F" w:rsidP="00636128">
            <w:pPr>
              <w:ind w:left="62"/>
              <w:rPr>
                <w:rFonts w:ascii="Calibri" w:hAnsi="Calibri" w:cs="Calibri"/>
                <w:b/>
                <w:bCs/>
              </w:rPr>
            </w:pPr>
            <w:r>
              <w:rPr>
                <w:rFonts w:ascii="Calibri" w:hAnsi="Calibri"/>
                <w:b/>
                <w:color w:val="000000"/>
              </w:rPr>
              <w:lastRenderedPageBreak/>
              <w:t>Член ГРН</w:t>
            </w:r>
          </w:p>
        </w:tc>
        <w:tc>
          <w:tcPr>
            <w:tcW w:w="479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636128" w:rsidRDefault="006C7D2F" w:rsidP="00636128">
            <w:pPr>
              <w:ind w:left="29"/>
              <w:rPr>
                <w:rFonts w:ascii="Calibri" w:hAnsi="Calibri" w:cs="Calibri"/>
                <w:b/>
                <w:bCs/>
              </w:rPr>
            </w:pPr>
            <w:r>
              <w:rPr>
                <w:rFonts w:ascii="Calibri" w:hAnsi="Calibri"/>
                <w:b/>
                <w:color w:val="000000"/>
              </w:rPr>
              <w:t>Заявлені інтереси</w:t>
            </w:r>
          </w:p>
        </w:tc>
        <w:tc>
          <w:tcPr>
            <w:tcW w:w="230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636128" w:rsidRDefault="006C7D2F" w:rsidP="00636128">
            <w:pPr>
              <w:ind w:left="14"/>
              <w:rPr>
                <w:rFonts w:ascii="Calibri" w:hAnsi="Calibri" w:cs="Calibri"/>
                <w:b/>
                <w:bCs/>
              </w:rPr>
            </w:pPr>
            <w:r>
              <w:rPr>
                <w:rFonts w:ascii="Calibri" w:hAnsi="Calibri"/>
                <w:b/>
                <w:color w:val="000000"/>
              </w:rPr>
              <w:t>Висновок</w:t>
            </w:r>
          </w:p>
        </w:tc>
      </w:tr>
      <w:tr w:rsidR="00ED665B" w:rsidRPr="00907702" w:rsidTr="0034777B">
        <w:trPr>
          <w:trHeight w:val="20"/>
        </w:trPr>
        <w:tc>
          <w:tcPr>
            <w:tcW w:w="2011"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Pr>
                <w:rFonts w:ascii="Calibri" w:hAnsi="Calibri" w:cs="Calibri"/>
              </w:rPr>
            </w:pPr>
            <w:r>
              <w:rPr>
                <w:rFonts w:ascii="Calibri" w:hAnsi="Calibri"/>
                <w:color w:val="000000"/>
              </w:rPr>
              <w:t>Thomas Shinnick</w:t>
            </w:r>
          </w:p>
        </w:tc>
        <w:tc>
          <w:tcPr>
            <w:tcW w:w="4795" w:type="dxa"/>
            <w:tcBorders>
              <w:top w:val="single" w:sz="8" w:space="0" w:color="009649"/>
              <w:left w:val="nil"/>
              <w:bottom w:val="single" w:sz="8" w:space="0" w:color="009649"/>
              <w:right w:val="nil"/>
            </w:tcBorders>
            <w:shd w:val="clear" w:color="auto" w:fill="FFFFFF"/>
          </w:tcPr>
          <w:p w:rsidR="00ED665B" w:rsidRPr="00907702" w:rsidRDefault="006C7D2F" w:rsidP="00DC2656">
            <w:pPr>
              <w:ind w:left="29" w:right="211"/>
              <w:rPr>
                <w:rFonts w:ascii="Calibri" w:hAnsi="Calibri" w:cs="Calibri"/>
              </w:rPr>
            </w:pPr>
            <w:r>
              <w:rPr>
                <w:rFonts w:ascii="Calibri" w:hAnsi="Calibri"/>
                <w:color w:val="000000"/>
              </w:rPr>
              <w:t>Як незалежний консультант отримав контракти та фінансування відряджень від ВООЗ, FIND та USAID для роботи, пов’язаної з покращенням рівня послуг, наданих лабораторіями, та розробкою міжнародних керівних документів; робота триває</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ind w:left="14" w:right="394"/>
              <w:rPr>
                <w:rFonts w:ascii="Calibri" w:hAnsi="Calibri" w:cs="Calibri"/>
              </w:rPr>
            </w:pPr>
            <w:r>
              <w:rPr>
                <w:rFonts w:ascii="Calibri" w:hAnsi="Calibri"/>
                <w:color w:val="000000"/>
              </w:rPr>
              <w:t>Незначний конфлікт інтересів</w:t>
            </w:r>
          </w:p>
        </w:tc>
      </w:tr>
      <w:tr w:rsidR="00ED665B" w:rsidRPr="00907702" w:rsidTr="0034777B">
        <w:trPr>
          <w:trHeight w:val="20"/>
        </w:trPr>
        <w:tc>
          <w:tcPr>
            <w:tcW w:w="2011"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Pr>
                <w:rFonts w:ascii="Calibri" w:hAnsi="Calibri" w:cs="Calibri"/>
              </w:rPr>
            </w:pPr>
            <w:r>
              <w:rPr>
                <w:rFonts w:ascii="Calibri" w:hAnsi="Calibri"/>
                <w:color w:val="000000"/>
              </w:rPr>
              <w:t>Hojoon Sohn</w:t>
            </w:r>
          </w:p>
        </w:tc>
        <w:tc>
          <w:tcPr>
            <w:tcW w:w="4795" w:type="dxa"/>
            <w:tcBorders>
              <w:top w:val="single" w:sz="8" w:space="0" w:color="009649"/>
              <w:left w:val="nil"/>
              <w:bottom w:val="single" w:sz="8" w:space="0" w:color="009649"/>
              <w:right w:val="nil"/>
            </w:tcBorders>
            <w:shd w:val="clear" w:color="auto" w:fill="FFFFFF"/>
          </w:tcPr>
          <w:p w:rsidR="00ED665B" w:rsidRPr="00907702" w:rsidRDefault="006C7D2F" w:rsidP="00DC2656">
            <w:pPr>
              <w:ind w:left="29"/>
              <w:rPr>
                <w:rFonts w:ascii="Calibri" w:hAnsi="Calibri" w:cs="Calibri"/>
              </w:rPr>
            </w:pPr>
            <w:r>
              <w:rPr>
                <w:rFonts w:ascii="Calibri" w:hAnsi="Calibri"/>
                <w:color w:val="000000"/>
              </w:rPr>
              <w:t>не заявлено</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20"/>
        </w:trPr>
        <w:tc>
          <w:tcPr>
            <w:tcW w:w="2011"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Pr>
                <w:rFonts w:ascii="Calibri" w:hAnsi="Calibri" w:cs="Calibri"/>
              </w:rPr>
            </w:pPr>
            <w:r>
              <w:rPr>
                <w:rFonts w:ascii="Calibri" w:hAnsi="Calibri"/>
                <w:color w:val="000000"/>
              </w:rPr>
              <w:t>Sabira Tahseen</w:t>
            </w:r>
          </w:p>
        </w:tc>
        <w:tc>
          <w:tcPr>
            <w:tcW w:w="4795" w:type="dxa"/>
            <w:tcBorders>
              <w:top w:val="single" w:sz="8" w:space="0" w:color="009649"/>
              <w:left w:val="nil"/>
              <w:bottom w:val="single" w:sz="8" w:space="0" w:color="009649"/>
              <w:right w:val="nil"/>
            </w:tcBorders>
            <w:shd w:val="clear" w:color="auto" w:fill="FFFFFF"/>
          </w:tcPr>
          <w:p w:rsidR="00ED665B" w:rsidRPr="00907702" w:rsidRDefault="006C7D2F" w:rsidP="00DC2656">
            <w:pPr>
              <w:ind w:left="29"/>
              <w:rPr>
                <w:rFonts w:ascii="Calibri" w:hAnsi="Calibri" w:cs="Calibri"/>
              </w:rPr>
            </w:pPr>
            <w:r>
              <w:rPr>
                <w:rFonts w:ascii="Calibri" w:hAnsi="Calibri"/>
                <w:color w:val="000000"/>
              </w:rPr>
              <w:t>не заявлено</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20"/>
        </w:trPr>
        <w:tc>
          <w:tcPr>
            <w:tcW w:w="2011"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ight="298"/>
              <w:rPr>
                <w:rFonts w:ascii="Calibri" w:hAnsi="Calibri" w:cs="Calibri"/>
              </w:rPr>
            </w:pPr>
            <w:r>
              <w:rPr>
                <w:rFonts w:ascii="Calibri" w:hAnsi="Calibri"/>
                <w:color w:val="000000"/>
              </w:rPr>
              <w:t>Ezio Tavora dos Santos Filho</w:t>
            </w:r>
          </w:p>
        </w:tc>
        <w:tc>
          <w:tcPr>
            <w:tcW w:w="4795" w:type="dxa"/>
            <w:tcBorders>
              <w:top w:val="single" w:sz="8" w:space="0" w:color="009649"/>
              <w:left w:val="nil"/>
              <w:bottom w:val="single" w:sz="8" w:space="0" w:color="009649"/>
              <w:right w:val="nil"/>
            </w:tcBorders>
            <w:shd w:val="clear" w:color="auto" w:fill="FFFFFF"/>
          </w:tcPr>
          <w:p w:rsidR="00ED665B" w:rsidRPr="00907702" w:rsidRDefault="006C7D2F" w:rsidP="0034777B">
            <w:pPr>
              <w:ind w:left="29" w:right="11"/>
              <w:rPr>
                <w:rFonts w:ascii="Calibri" w:hAnsi="Calibri" w:cs="Calibri"/>
              </w:rPr>
            </w:pPr>
            <w:r>
              <w:rPr>
                <w:rFonts w:ascii="Calibri" w:hAnsi="Calibri"/>
                <w:color w:val="000000"/>
              </w:rPr>
              <w:t>Координував суспільно-консультативні ради (СКР) для дослідження PROVE-IT (грант TREAT-TB, Union / USAID) у Бразилії (REDE-TB) з 2010 по 2015 рік. Нині як зацікавлена сторона (не член дослідницької групи, але координатор суспільно-консультативні ради в інших дослідженнях) працює над впровадженням валідаційного дослідження Truenat у Бразилії, серед інших досліджень співробітництва BRICS. Має намір продовжити дослідження після врегулювання нагляду за суспільно-консультативною радою та аналізу протоколів у Бразилії та інших країнах-партнерах.</w:t>
            </w:r>
          </w:p>
        </w:tc>
        <w:tc>
          <w:tcPr>
            <w:tcW w:w="2304" w:type="dxa"/>
            <w:tcBorders>
              <w:top w:val="single" w:sz="8" w:space="0" w:color="009649"/>
              <w:left w:val="nil"/>
              <w:bottom w:val="single" w:sz="8" w:space="0" w:color="009649"/>
              <w:right w:val="nil"/>
            </w:tcBorders>
            <w:shd w:val="clear" w:color="auto" w:fill="FFFFFF"/>
          </w:tcPr>
          <w:p w:rsidR="00ED665B" w:rsidRPr="00907702" w:rsidRDefault="00640824" w:rsidP="0034777B">
            <w:pPr>
              <w:ind w:left="14" w:right="53"/>
              <w:rPr>
                <w:rFonts w:ascii="Calibri" w:hAnsi="Calibri" w:cs="Calibri"/>
              </w:rPr>
            </w:pPr>
            <w:r>
              <w:rPr>
                <w:rFonts w:ascii="Calibri" w:hAnsi="Calibri"/>
                <w:color w:val="000000"/>
              </w:rPr>
              <w:t>Значний конфлікт інтересів, сприйнятий для оцінки Molbio Truenat – виключено з дискусії про Molbio Truenat</w:t>
            </w:r>
          </w:p>
        </w:tc>
      </w:tr>
      <w:tr w:rsidR="00ED665B" w:rsidRPr="00907702" w:rsidTr="0034777B">
        <w:trPr>
          <w:trHeight w:val="20"/>
        </w:trPr>
        <w:tc>
          <w:tcPr>
            <w:tcW w:w="2011"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Pr>
                <w:rFonts w:ascii="Calibri" w:hAnsi="Calibri" w:cs="Calibri"/>
              </w:rPr>
            </w:pPr>
            <w:r>
              <w:rPr>
                <w:rFonts w:ascii="Calibri" w:hAnsi="Calibri"/>
                <w:color w:val="000000"/>
              </w:rPr>
              <w:t>Carrie Tudor</w:t>
            </w:r>
          </w:p>
        </w:tc>
        <w:tc>
          <w:tcPr>
            <w:tcW w:w="4795" w:type="dxa"/>
            <w:tcBorders>
              <w:top w:val="single" w:sz="8" w:space="0" w:color="009649"/>
              <w:left w:val="nil"/>
              <w:bottom w:val="single" w:sz="8" w:space="0" w:color="009649"/>
              <w:right w:val="nil"/>
            </w:tcBorders>
            <w:shd w:val="clear" w:color="auto" w:fill="FFFFFF"/>
          </w:tcPr>
          <w:p w:rsidR="00ED665B" w:rsidRPr="00907702" w:rsidRDefault="006C7D2F" w:rsidP="00DC2656">
            <w:pPr>
              <w:ind w:left="29" w:right="29"/>
              <w:rPr>
                <w:rFonts w:ascii="Calibri" w:hAnsi="Calibri" w:cs="Calibri"/>
              </w:rPr>
            </w:pPr>
            <w:r>
              <w:rPr>
                <w:rFonts w:ascii="Calibri" w:hAnsi="Calibri"/>
                <w:color w:val="000000"/>
              </w:rPr>
              <w:t>Зайнятість (з січня 2015 р.) у Міжнародній раді медсестер, чий проект протитуберкульозної допомоги отримав фінансування від Фонду Елі Ліллі – Партнерства Лілі МЛС-ТБ. Отримане фінансування з 2013 по 2019 рік становило приблизно 1 млн доларів США. Поточний період фінансування на 2019 рік становить приблизно 100 000 доларів США.</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ind w:left="14" w:right="394"/>
              <w:rPr>
                <w:rFonts w:ascii="Calibri" w:hAnsi="Calibri" w:cs="Calibri"/>
              </w:rPr>
            </w:pPr>
            <w:r>
              <w:rPr>
                <w:rFonts w:ascii="Calibri" w:hAnsi="Calibri"/>
                <w:color w:val="000000"/>
              </w:rPr>
              <w:t>Незначний конфлікт інтересів</w:t>
            </w:r>
          </w:p>
        </w:tc>
      </w:tr>
      <w:tr w:rsidR="00ED665B" w:rsidRPr="00907702" w:rsidTr="0034777B">
        <w:trPr>
          <w:trHeight w:val="20"/>
        </w:trPr>
        <w:tc>
          <w:tcPr>
            <w:tcW w:w="2011"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ight="533"/>
              <w:rPr>
                <w:rFonts w:ascii="Calibri" w:hAnsi="Calibri" w:cs="Calibri"/>
              </w:rPr>
            </w:pPr>
            <w:r>
              <w:rPr>
                <w:rFonts w:ascii="Calibri" w:hAnsi="Calibri"/>
                <w:color w:val="000000"/>
              </w:rPr>
              <w:t>Діана Вахрушева</w:t>
            </w:r>
          </w:p>
        </w:tc>
        <w:tc>
          <w:tcPr>
            <w:tcW w:w="4795" w:type="dxa"/>
            <w:tcBorders>
              <w:top w:val="single" w:sz="8" w:space="0" w:color="009649"/>
              <w:left w:val="nil"/>
              <w:bottom w:val="single" w:sz="8" w:space="0" w:color="009649"/>
              <w:right w:val="nil"/>
            </w:tcBorders>
            <w:shd w:val="clear" w:color="auto" w:fill="FFFFFF"/>
          </w:tcPr>
          <w:p w:rsidR="00ED665B" w:rsidRPr="00907702" w:rsidRDefault="006C7D2F" w:rsidP="00DC2656">
            <w:pPr>
              <w:ind w:left="29"/>
              <w:rPr>
                <w:rFonts w:ascii="Calibri" w:hAnsi="Calibri" w:cs="Calibri"/>
              </w:rPr>
            </w:pPr>
            <w:r>
              <w:rPr>
                <w:rFonts w:ascii="Calibri" w:hAnsi="Calibri"/>
                <w:color w:val="000000"/>
              </w:rPr>
              <w:t>не заявлено</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rPr>
                <w:rFonts w:ascii="Calibri" w:hAnsi="Calibri" w:cs="Calibri"/>
              </w:rPr>
            </w:pPr>
            <w:r>
              <w:rPr>
                <w:rFonts w:ascii="Calibri" w:hAnsi="Calibri"/>
                <w:color w:val="000000"/>
              </w:rPr>
              <w:t>конфлікт інтересів відсутній</w:t>
            </w:r>
          </w:p>
        </w:tc>
      </w:tr>
      <w:tr w:rsidR="00ED665B" w:rsidRPr="00907702" w:rsidTr="0034777B">
        <w:trPr>
          <w:trHeight w:val="20"/>
        </w:trPr>
        <w:tc>
          <w:tcPr>
            <w:tcW w:w="2011" w:type="dxa"/>
            <w:tcBorders>
              <w:top w:val="single" w:sz="8" w:space="0" w:color="009649"/>
              <w:left w:val="nil"/>
              <w:bottom w:val="single" w:sz="8" w:space="0" w:color="009649"/>
              <w:right w:val="nil"/>
            </w:tcBorders>
            <w:shd w:val="clear" w:color="auto" w:fill="FFFFFF"/>
          </w:tcPr>
          <w:p w:rsidR="00ED665B" w:rsidRPr="00907702" w:rsidRDefault="006C7D2F" w:rsidP="00636128">
            <w:pPr>
              <w:ind w:left="62"/>
              <w:rPr>
                <w:rFonts w:ascii="Calibri" w:hAnsi="Calibri" w:cs="Calibri"/>
              </w:rPr>
            </w:pPr>
            <w:r>
              <w:rPr>
                <w:rFonts w:ascii="Calibri" w:hAnsi="Calibri"/>
                <w:color w:val="000000"/>
              </w:rPr>
              <w:t>Elisabetta Walters</w:t>
            </w:r>
          </w:p>
        </w:tc>
        <w:tc>
          <w:tcPr>
            <w:tcW w:w="4795" w:type="dxa"/>
            <w:tcBorders>
              <w:top w:val="single" w:sz="8" w:space="0" w:color="009649"/>
              <w:left w:val="nil"/>
              <w:bottom w:val="single" w:sz="8" w:space="0" w:color="009649"/>
              <w:right w:val="nil"/>
            </w:tcBorders>
            <w:shd w:val="clear" w:color="auto" w:fill="FFFFFF"/>
          </w:tcPr>
          <w:p w:rsidR="00ED665B" w:rsidRPr="00907702" w:rsidRDefault="006C7D2F" w:rsidP="00DC2656">
            <w:pPr>
              <w:ind w:left="29" w:right="34"/>
              <w:rPr>
                <w:rFonts w:ascii="Calibri" w:hAnsi="Calibri" w:cs="Calibri"/>
              </w:rPr>
            </w:pPr>
            <w:r>
              <w:rPr>
                <w:rFonts w:ascii="Calibri" w:hAnsi="Calibri"/>
                <w:color w:val="000000"/>
              </w:rPr>
              <w:t>Одержувач грантів та стипендії для докторських досліджень, які передбачали роботу над GeneXpert MTB/RIF для діагностики інтраторакального туберкульозу у дітей. Грант Ради медичних досліджень Південної Африки (2012–2015) та стипендія (2015–2018). Національний науково-дослідний фонд Південної Африки. FIND. TBTC (ЦКПЗ); (Дослідницький підрозділ): ZAR 4,2 млн; 90 000 дол. США; 2012–2018 рр.</w:t>
            </w:r>
          </w:p>
        </w:tc>
        <w:tc>
          <w:tcPr>
            <w:tcW w:w="2304" w:type="dxa"/>
            <w:tcBorders>
              <w:top w:val="single" w:sz="8" w:space="0" w:color="009649"/>
              <w:left w:val="nil"/>
              <w:bottom w:val="single" w:sz="8" w:space="0" w:color="009649"/>
              <w:right w:val="nil"/>
            </w:tcBorders>
            <w:shd w:val="clear" w:color="auto" w:fill="FFFFFF"/>
          </w:tcPr>
          <w:p w:rsidR="00ED665B" w:rsidRPr="00907702" w:rsidRDefault="006C7D2F" w:rsidP="0034777B">
            <w:pPr>
              <w:ind w:left="14" w:right="394"/>
              <w:rPr>
                <w:rFonts w:ascii="Calibri" w:hAnsi="Calibri" w:cs="Calibri"/>
              </w:rPr>
            </w:pPr>
            <w:r>
              <w:rPr>
                <w:rFonts w:ascii="Calibri" w:hAnsi="Calibri"/>
                <w:color w:val="000000"/>
              </w:rPr>
              <w:t>Незначний конфлікт інтересів</w:t>
            </w:r>
          </w:p>
        </w:tc>
      </w:tr>
      <w:tr w:rsidR="00ED665B" w:rsidRPr="00907702" w:rsidTr="00636128">
        <w:trPr>
          <w:trHeight w:hRule="exact" w:val="1862"/>
        </w:trPr>
        <w:tc>
          <w:tcPr>
            <w:tcW w:w="9110" w:type="dxa"/>
            <w:gridSpan w:val="3"/>
            <w:tcBorders>
              <w:top w:val="single" w:sz="8" w:space="0" w:color="009649"/>
              <w:left w:val="nil"/>
              <w:bottom w:val="nil"/>
              <w:right w:val="nil"/>
            </w:tcBorders>
            <w:shd w:val="clear" w:color="auto" w:fill="FFFFFF"/>
          </w:tcPr>
          <w:p w:rsidR="00ED665B" w:rsidRPr="00907702" w:rsidRDefault="006C7D2F" w:rsidP="0034777B">
            <w:pPr>
              <w:spacing w:before="120"/>
              <w:jc w:val="both"/>
              <w:rPr>
                <w:rFonts w:ascii="Calibri" w:hAnsi="Calibri" w:cs="Calibri"/>
              </w:rPr>
            </w:pPr>
            <w:r>
              <w:rPr>
                <w:rFonts w:ascii="Calibri" w:hAnsi="Calibri"/>
                <w:color w:val="000000"/>
                <w:sz w:val="16"/>
              </w:rPr>
              <w:t xml:space="preserve">СНІД: синдром набутого імунодефіциту; BRICS: Бразилія, Росія, Індія, Китай та Південно-Африканська Республіка; ЦКПЗ: Центр контролю та профілактики захворюваності; ДНК: дезоксирибонуклеїнова кислота; EDCTP: Партнерство з клінічних випробувань європейських країн та країн, що розвиваються; FIND: Фонд інноваційної діагностики; ГРН: Група з розробки настанов; ВІЛ: вірус імунодефіциту людини; IUATLD: </w:t>
            </w:r>
            <w:r w:rsidRPr="0034777B">
              <w:rPr>
                <w:rFonts w:ascii="Calibri" w:hAnsi="Calibri"/>
                <w:i/>
                <w:color w:val="000000"/>
                <w:sz w:val="16"/>
              </w:rPr>
              <w:t>Міжнародний союз проти туберкульозу та хвороб легенів; МЛС-ТБ: туберкульоз із множинною лікарською стійкістю; ТАНК: тест на ампліфікацію нуклеїнової кислоти; NIH: Національні інститути охорони здоров’я; PEPFAR: План надзвичайних ситуацій Президента США щодо допомоги СНІДу; ІПСШ: інфекція, що передається статевим шляхом; ТБ: туберкульоз; TBTC: Консорціум з дослідження туберкульозу; USAID: Агентство США з міжнародного розвитку; ВООЗ: Всесвітня організація охорони здоров’я; ШЛС: широка лікарська стійкість.</w:t>
            </w:r>
          </w:p>
        </w:tc>
      </w:tr>
    </w:tbl>
    <w:p w:rsidR="00ED665B" w:rsidRPr="00907702" w:rsidRDefault="00ED665B" w:rsidP="00DC2656">
      <w:pPr>
        <w:rPr>
          <w:rFonts w:ascii="Calibri" w:hAnsi="Calibri" w:cs="Calibri"/>
        </w:rPr>
        <w:sectPr w:rsidR="00ED665B" w:rsidRPr="00907702" w:rsidSect="00636128">
          <w:pgSz w:w="11904" w:h="16838"/>
          <w:pgMar w:top="1411" w:right="1411" w:bottom="2410" w:left="138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64"/>
        <w:gridCol w:w="4555"/>
        <w:gridCol w:w="2510"/>
      </w:tblGrid>
      <w:tr w:rsidR="00ED665B" w:rsidRPr="00636128" w:rsidTr="00636128">
        <w:trPr>
          <w:trHeight w:hRule="exact" w:val="446"/>
        </w:trPr>
        <w:tc>
          <w:tcPr>
            <w:tcW w:w="2064"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636128" w:rsidRDefault="006C7D2F" w:rsidP="00636128">
            <w:pPr>
              <w:ind w:left="43"/>
              <w:rPr>
                <w:rFonts w:ascii="Calibri" w:hAnsi="Calibri" w:cs="Calibri"/>
                <w:b/>
                <w:bCs/>
              </w:rPr>
            </w:pPr>
            <w:r>
              <w:rPr>
                <w:rFonts w:ascii="Calibri" w:hAnsi="Calibri"/>
                <w:b/>
                <w:color w:val="000000"/>
              </w:rPr>
              <w:lastRenderedPageBreak/>
              <w:t>Член ГЗР</w:t>
            </w:r>
          </w:p>
        </w:tc>
        <w:tc>
          <w:tcPr>
            <w:tcW w:w="4555"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636128" w:rsidRDefault="006C7D2F" w:rsidP="00636128">
            <w:pPr>
              <w:ind w:left="72"/>
              <w:rPr>
                <w:rFonts w:ascii="Calibri" w:hAnsi="Calibri" w:cs="Calibri"/>
                <w:b/>
                <w:bCs/>
              </w:rPr>
            </w:pPr>
            <w:r>
              <w:rPr>
                <w:rFonts w:ascii="Calibri" w:hAnsi="Calibri"/>
                <w:b/>
                <w:color w:val="000000"/>
              </w:rPr>
              <w:t>Заявлені інтереси</w:t>
            </w:r>
          </w:p>
        </w:tc>
        <w:tc>
          <w:tcPr>
            <w:tcW w:w="2510" w:type="dxa"/>
            <w:tcBorders>
              <w:top w:val="single" w:sz="8" w:space="0" w:color="009649"/>
              <w:left w:val="single" w:sz="8" w:space="0" w:color="009649"/>
              <w:bottom w:val="single" w:sz="8" w:space="0" w:color="009649"/>
              <w:right w:val="single" w:sz="8" w:space="0" w:color="009649"/>
            </w:tcBorders>
            <w:shd w:val="clear" w:color="auto" w:fill="27A86A"/>
            <w:vAlign w:val="center"/>
          </w:tcPr>
          <w:p w:rsidR="00ED665B" w:rsidRPr="00636128" w:rsidRDefault="006C7D2F" w:rsidP="00636128">
            <w:pPr>
              <w:ind w:left="29"/>
              <w:rPr>
                <w:rFonts w:ascii="Calibri" w:hAnsi="Calibri" w:cs="Calibri"/>
                <w:b/>
                <w:bCs/>
              </w:rPr>
            </w:pPr>
            <w:r>
              <w:rPr>
                <w:rFonts w:ascii="Calibri" w:hAnsi="Calibri"/>
                <w:b/>
                <w:color w:val="000000"/>
              </w:rPr>
              <w:t>Висновок</w:t>
            </w:r>
          </w:p>
        </w:tc>
      </w:tr>
      <w:tr w:rsidR="00ED665B" w:rsidRPr="00907702" w:rsidTr="00636128">
        <w:trPr>
          <w:trHeight w:hRule="exact" w:val="437"/>
        </w:trPr>
        <w:tc>
          <w:tcPr>
            <w:tcW w:w="2064" w:type="dxa"/>
            <w:tcBorders>
              <w:top w:val="single" w:sz="8" w:space="0" w:color="009649"/>
              <w:left w:val="nil"/>
              <w:bottom w:val="single" w:sz="8" w:space="0" w:color="009649"/>
              <w:right w:val="nil"/>
            </w:tcBorders>
            <w:shd w:val="clear" w:color="auto" w:fill="FFFFFF"/>
          </w:tcPr>
          <w:p w:rsidR="00ED665B" w:rsidRPr="00907702" w:rsidRDefault="006C7D2F" w:rsidP="0034777B">
            <w:pPr>
              <w:ind w:left="57"/>
              <w:rPr>
                <w:rFonts w:ascii="Calibri" w:hAnsi="Calibri" w:cs="Calibri"/>
              </w:rPr>
            </w:pPr>
            <w:r>
              <w:rPr>
                <w:rFonts w:ascii="Calibri" w:hAnsi="Calibri"/>
                <w:color w:val="000000"/>
              </w:rPr>
              <w:t>Lucilaine Ferrazoli</w:t>
            </w:r>
          </w:p>
        </w:tc>
        <w:tc>
          <w:tcPr>
            <w:tcW w:w="4555" w:type="dxa"/>
            <w:tcBorders>
              <w:top w:val="single" w:sz="8" w:space="0" w:color="009649"/>
              <w:left w:val="nil"/>
              <w:bottom w:val="single" w:sz="8" w:space="0" w:color="009649"/>
              <w:right w:val="nil"/>
            </w:tcBorders>
            <w:shd w:val="clear" w:color="auto" w:fill="FFFFFF"/>
          </w:tcPr>
          <w:p w:rsidR="00ED665B" w:rsidRPr="00907702" w:rsidRDefault="006C7D2F" w:rsidP="00DC2656">
            <w:pPr>
              <w:ind w:left="72"/>
              <w:rPr>
                <w:rFonts w:ascii="Calibri" w:hAnsi="Calibri" w:cs="Calibri"/>
              </w:rPr>
            </w:pPr>
            <w:r>
              <w:rPr>
                <w:rFonts w:ascii="Calibri" w:hAnsi="Calibri"/>
                <w:color w:val="000000"/>
              </w:rPr>
              <w:t>не заявлено</w:t>
            </w:r>
          </w:p>
        </w:tc>
        <w:tc>
          <w:tcPr>
            <w:tcW w:w="2510" w:type="dxa"/>
            <w:tcBorders>
              <w:top w:val="single" w:sz="8" w:space="0" w:color="009649"/>
              <w:left w:val="nil"/>
              <w:bottom w:val="single" w:sz="8" w:space="0" w:color="009649"/>
              <w:right w:val="nil"/>
            </w:tcBorders>
            <w:shd w:val="clear" w:color="auto" w:fill="FFFFFF"/>
          </w:tcPr>
          <w:p w:rsidR="00ED665B" w:rsidRPr="00907702" w:rsidRDefault="006C7D2F" w:rsidP="00DC2656">
            <w:pPr>
              <w:ind w:left="29"/>
              <w:rPr>
                <w:rFonts w:ascii="Calibri" w:hAnsi="Calibri" w:cs="Calibri"/>
              </w:rPr>
            </w:pPr>
            <w:r>
              <w:rPr>
                <w:rFonts w:ascii="Calibri" w:hAnsi="Calibri"/>
                <w:color w:val="000000"/>
              </w:rPr>
              <w:t>конфлікт інтересів відсутній</w:t>
            </w:r>
          </w:p>
        </w:tc>
      </w:tr>
      <w:tr w:rsidR="00ED665B" w:rsidRPr="00907702" w:rsidTr="00636128">
        <w:trPr>
          <w:trHeight w:hRule="exact" w:val="662"/>
        </w:trPr>
        <w:tc>
          <w:tcPr>
            <w:tcW w:w="2064" w:type="dxa"/>
            <w:tcBorders>
              <w:top w:val="single" w:sz="8" w:space="0" w:color="009649"/>
              <w:left w:val="nil"/>
              <w:bottom w:val="single" w:sz="8" w:space="0" w:color="009649"/>
              <w:right w:val="nil"/>
            </w:tcBorders>
            <w:shd w:val="clear" w:color="auto" w:fill="FFFFFF"/>
          </w:tcPr>
          <w:p w:rsidR="00ED665B" w:rsidRPr="00907702" w:rsidRDefault="006C7D2F" w:rsidP="0034777B">
            <w:pPr>
              <w:ind w:left="57" w:right="250"/>
              <w:rPr>
                <w:rFonts w:ascii="Calibri" w:hAnsi="Calibri" w:cs="Calibri"/>
              </w:rPr>
            </w:pPr>
            <w:r>
              <w:rPr>
                <w:rFonts w:ascii="Calibri" w:hAnsi="Calibri"/>
                <w:color w:val="000000"/>
              </w:rPr>
              <w:t>Alaine Umubyeyi Nyaruhirira</w:t>
            </w:r>
          </w:p>
        </w:tc>
        <w:tc>
          <w:tcPr>
            <w:tcW w:w="4555" w:type="dxa"/>
            <w:tcBorders>
              <w:top w:val="single" w:sz="8" w:space="0" w:color="009649"/>
              <w:left w:val="nil"/>
              <w:bottom w:val="single" w:sz="8" w:space="0" w:color="009649"/>
              <w:right w:val="nil"/>
            </w:tcBorders>
            <w:shd w:val="clear" w:color="auto" w:fill="FFFFFF"/>
          </w:tcPr>
          <w:p w:rsidR="00ED665B" w:rsidRPr="00907702" w:rsidRDefault="006C7D2F" w:rsidP="00DC2656">
            <w:pPr>
              <w:ind w:left="72"/>
              <w:rPr>
                <w:rFonts w:ascii="Calibri" w:hAnsi="Calibri" w:cs="Calibri"/>
              </w:rPr>
            </w:pPr>
            <w:r>
              <w:rPr>
                <w:rFonts w:ascii="Calibri" w:hAnsi="Calibri"/>
                <w:color w:val="000000"/>
              </w:rPr>
              <w:t>не заявлено</w:t>
            </w:r>
          </w:p>
        </w:tc>
        <w:tc>
          <w:tcPr>
            <w:tcW w:w="2510" w:type="dxa"/>
            <w:tcBorders>
              <w:top w:val="single" w:sz="8" w:space="0" w:color="009649"/>
              <w:left w:val="nil"/>
              <w:bottom w:val="single" w:sz="8" w:space="0" w:color="009649"/>
              <w:right w:val="nil"/>
            </w:tcBorders>
            <w:shd w:val="clear" w:color="auto" w:fill="FFFFFF"/>
          </w:tcPr>
          <w:p w:rsidR="00ED665B" w:rsidRPr="00907702" w:rsidRDefault="006C7D2F" w:rsidP="00DC2656">
            <w:pPr>
              <w:ind w:left="29"/>
              <w:rPr>
                <w:rFonts w:ascii="Calibri" w:hAnsi="Calibri" w:cs="Calibri"/>
              </w:rPr>
            </w:pPr>
            <w:r>
              <w:rPr>
                <w:rFonts w:ascii="Calibri" w:hAnsi="Calibri"/>
                <w:color w:val="000000"/>
              </w:rPr>
              <w:t>конфлікт інтересів відсутній</w:t>
            </w:r>
          </w:p>
        </w:tc>
      </w:tr>
      <w:tr w:rsidR="00ED665B" w:rsidRPr="00907702" w:rsidTr="00636128">
        <w:trPr>
          <w:trHeight w:hRule="exact" w:val="2246"/>
        </w:trPr>
        <w:tc>
          <w:tcPr>
            <w:tcW w:w="2064" w:type="dxa"/>
            <w:tcBorders>
              <w:top w:val="single" w:sz="8" w:space="0" w:color="009649"/>
              <w:left w:val="nil"/>
              <w:bottom w:val="single" w:sz="8" w:space="0" w:color="009649"/>
              <w:right w:val="nil"/>
            </w:tcBorders>
            <w:shd w:val="clear" w:color="auto" w:fill="FFFFFF"/>
          </w:tcPr>
          <w:p w:rsidR="00ED665B" w:rsidRPr="00907702" w:rsidRDefault="006C7D2F" w:rsidP="0034777B">
            <w:pPr>
              <w:ind w:left="57"/>
              <w:rPr>
                <w:rFonts w:ascii="Calibri" w:hAnsi="Calibri" w:cs="Calibri"/>
              </w:rPr>
            </w:pPr>
            <w:r>
              <w:rPr>
                <w:rFonts w:ascii="Calibri" w:hAnsi="Calibri"/>
                <w:color w:val="000000"/>
              </w:rPr>
              <w:t>Elisa Tagliani</w:t>
            </w:r>
          </w:p>
        </w:tc>
        <w:tc>
          <w:tcPr>
            <w:tcW w:w="4555" w:type="dxa"/>
            <w:tcBorders>
              <w:top w:val="single" w:sz="8" w:space="0" w:color="009649"/>
              <w:left w:val="nil"/>
              <w:bottom w:val="single" w:sz="8" w:space="0" w:color="009649"/>
              <w:right w:val="nil"/>
            </w:tcBorders>
            <w:shd w:val="clear" w:color="auto" w:fill="FFFFFF"/>
          </w:tcPr>
          <w:p w:rsidR="00ED665B" w:rsidRPr="00907702" w:rsidRDefault="006C7D2F" w:rsidP="00DC2656">
            <w:pPr>
              <w:ind w:left="72" w:right="14"/>
              <w:rPr>
                <w:rFonts w:ascii="Calibri" w:hAnsi="Calibri" w:cs="Calibri"/>
              </w:rPr>
            </w:pPr>
            <w:r>
              <w:rPr>
                <w:rFonts w:ascii="Calibri" w:hAnsi="Calibri"/>
                <w:color w:val="000000"/>
              </w:rPr>
              <w:t>Бере участь у Раді експертів з рецензування діагностики ВООЗ 15 раунду; зокрема при оцінці платформи BD MAX; 5940 євро. Підрозділ у Сан-Рафаеле отримав фінансування за рахунок гранту EDCTP (TB-CAPT) для FIND. Дійсна співробітниця, співпрацювала з FIND у багатоцентровому клінічному дослідженні для оцінки ефективності тесту Xpert MTB/XDR.</w:t>
            </w:r>
          </w:p>
        </w:tc>
        <w:tc>
          <w:tcPr>
            <w:tcW w:w="2510" w:type="dxa"/>
            <w:tcBorders>
              <w:top w:val="single" w:sz="8" w:space="0" w:color="009649"/>
              <w:left w:val="nil"/>
              <w:bottom w:val="single" w:sz="8" w:space="0" w:color="009649"/>
              <w:right w:val="nil"/>
            </w:tcBorders>
            <w:shd w:val="clear" w:color="auto" w:fill="FFFFFF"/>
          </w:tcPr>
          <w:p w:rsidR="00ED665B" w:rsidRPr="00907702" w:rsidRDefault="006C7D2F" w:rsidP="00DC2656">
            <w:pPr>
              <w:ind w:left="29" w:right="106"/>
              <w:rPr>
                <w:rFonts w:ascii="Calibri" w:hAnsi="Calibri" w:cs="Calibri"/>
              </w:rPr>
            </w:pPr>
            <w:r>
              <w:rPr>
                <w:rFonts w:ascii="Calibri" w:hAnsi="Calibri"/>
                <w:color w:val="000000"/>
              </w:rPr>
              <w:t>Незначний конфлікт інтересів для зовнішнього рецензента. Управління потенційним конфліктом інтересів шляхом інтерпретації коментарів у контексті конфлікту інтересів</w:t>
            </w:r>
          </w:p>
        </w:tc>
      </w:tr>
      <w:tr w:rsidR="00ED665B" w:rsidRPr="00907702" w:rsidTr="00636128">
        <w:trPr>
          <w:trHeight w:hRule="exact" w:val="437"/>
        </w:trPr>
        <w:tc>
          <w:tcPr>
            <w:tcW w:w="2064" w:type="dxa"/>
            <w:tcBorders>
              <w:top w:val="single" w:sz="8" w:space="0" w:color="009649"/>
              <w:left w:val="nil"/>
              <w:bottom w:val="single" w:sz="8" w:space="0" w:color="009649"/>
              <w:right w:val="nil"/>
            </w:tcBorders>
            <w:shd w:val="clear" w:color="auto" w:fill="FFFFFF"/>
          </w:tcPr>
          <w:p w:rsidR="00ED665B" w:rsidRPr="00907702" w:rsidRDefault="006C7D2F" w:rsidP="0034777B">
            <w:pPr>
              <w:ind w:left="57"/>
              <w:rPr>
                <w:rFonts w:ascii="Calibri" w:hAnsi="Calibri" w:cs="Calibri"/>
              </w:rPr>
            </w:pPr>
            <w:r>
              <w:rPr>
                <w:rFonts w:ascii="Calibri" w:hAnsi="Calibri"/>
                <w:color w:val="000000"/>
              </w:rPr>
              <w:t>Francis Varaine</w:t>
            </w:r>
          </w:p>
        </w:tc>
        <w:tc>
          <w:tcPr>
            <w:tcW w:w="4555" w:type="dxa"/>
            <w:tcBorders>
              <w:top w:val="single" w:sz="8" w:space="0" w:color="009649"/>
              <w:left w:val="nil"/>
              <w:bottom w:val="single" w:sz="8" w:space="0" w:color="009649"/>
              <w:right w:val="nil"/>
            </w:tcBorders>
            <w:shd w:val="clear" w:color="auto" w:fill="FFFFFF"/>
          </w:tcPr>
          <w:p w:rsidR="00ED665B" w:rsidRPr="00907702" w:rsidRDefault="006C7D2F" w:rsidP="00DC2656">
            <w:pPr>
              <w:ind w:left="72"/>
              <w:rPr>
                <w:rFonts w:ascii="Calibri" w:hAnsi="Calibri" w:cs="Calibri"/>
              </w:rPr>
            </w:pPr>
            <w:r>
              <w:rPr>
                <w:rFonts w:ascii="Calibri" w:hAnsi="Calibri"/>
                <w:color w:val="000000"/>
              </w:rPr>
              <w:t>не заявлено</w:t>
            </w:r>
          </w:p>
        </w:tc>
        <w:tc>
          <w:tcPr>
            <w:tcW w:w="2510" w:type="dxa"/>
            <w:tcBorders>
              <w:top w:val="single" w:sz="8" w:space="0" w:color="009649"/>
              <w:left w:val="nil"/>
              <w:bottom w:val="single" w:sz="8" w:space="0" w:color="009649"/>
              <w:right w:val="nil"/>
            </w:tcBorders>
            <w:shd w:val="clear" w:color="auto" w:fill="FFFFFF"/>
          </w:tcPr>
          <w:p w:rsidR="00ED665B" w:rsidRPr="00907702" w:rsidRDefault="006C7D2F" w:rsidP="00DC2656">
            <w:pPr>
              <w:ind w:left="29"/>
              <w:rPr>
                <w:rFonts w:ascii="Calibri" w:hAnsi="Calibri" w:cs="Calibri"/>
              </w:rPr>
            </w:pPr>
            <w:r>
              <w:rPr>
                <w:rFonts w:ascii="Calibri" w:hAnsi="Calibri"/>
                <w:color w:val="000000"/>
              </w:rPr>
              <w:t>конфлікт інтересів відсутній</w:t>
            </w:r>
          </w:p>
        </w:tc>
      </w:tr>
      <w:tr w:rsidR="00ED665B" w:rsidRPr="00907702" w:rsidTr="00636128">
        <w:trPr>
          <w:trHeight w:hRule="exact" w:val="446"/>
        </w:trPr>
        <w:tc>
          <w:tcPr>
            <w:tcW w:w="2064" w:type="dxa"/>
            <w:tcBorders>
              <w:top w:val="single" w:sz="8" w:space="0" w:color="009649"/>
              <w:left w:val="nil"/>
              <w:bottom w:val="single" w:sz="8" w:space="0" w:color="009649"/>
              <w:right w:val="nil"/>
            </w:tcBorders>
            <w:shd w:val="clear" w:color="auto" w:fill="FFFFFF"/>
          </w:tcPr>
          <w:p w:rsidR="00ED665B" w:rsidRPr="00907702" w:rsidRDefault="006C7D2F" w:rsidP="0034777B">
            <w:pPr>
              <w:ind w:left="57"/>
              <w:rPr>
                <w:rFonts w:ascii="Calibri" w:hAnsi="Calibri" w:cs="Calibri"/>
              </w:rPr>
            </w:pPr>
            <w:r>
              <w:rPr>
                <w:rFonts w:ascii="Calibri" w:hAnsi="Calibri"/>
                <w:color w:val="000000"/>
              </w:rPr>
              <w:t>Данило Зіменков</w:t>
            </w:r>
          </w:p>
        </w:tc>
        <w:tc>
          <w:tcPr>
            <w:tcW w:w="4555" w:type="dxa"/>
            <w:tcBorders>
              <w:top w:val="single" w:sz="8" w:space="0" w:color="009649"/>
              <w:left w:val="nil"/>
              <w:bottom w:val="single" w:sz="8" w:space="0" w:color="009649"/>
              <w:right w:val="nil"/>
            </w:tcBorders>
            <w:shd w:val="clear" w:color="auto" w:fill="FFFFFF"/>
          </w:tcPr>
          <w:p w:rsidR="00ED665B" w:rsidRPr="00907702" w:rsidRDefault="006C7D2F" w:rsidP="00DC2656">
            <w:pPr>
              <w:ind w:left="72"/>
              <w:rPr>
                <w:rFonts w:ascii="Calibri" w:hAnsi="Calibri" w:cs="Calibri"/>
              </w:rPr>
            </w:pPr>
            <w:r>
              <w:rPr>
                <w:rFonts w:ascii="Calibri" w:hAnsi="Calibri"/>
                <w:color w:val="000000"/>
              </w:rPr>
              <w:t>не заявлено</w:t>
            </w:r>
          </w:p>
        </w:tc>
        <w:tc>
          <w:tcPr>
            <w:tcW w:w="2510" w:type="dxa"/>
            <w:tcBorders>
              <w:top w:val="single" w:sz="8" w:space="0" w:color="009649"/>
              <w:left w:val="nil"/>
              <w:bottom w:val="single" w:sz="8" w:space="0" w:color="009649"/>
              <w:right w:val="nil"/>
            </w:tcBorders>
            <w:shd w:val="clear" w:color="auto" w:fill="FFFFFF"/>
          </w:tcPr>
          <w:p w:rsidR="00ED665B" w:rsidRPr="00907702" w:rsidRDefault="006C7D2F" w:rsidP="00DC2656">
            <w:pPr>
              <w:ind w:left="29"/>
              <w:rPr>
                <w:rFonts w:ascii="Calibri" w:hAnsi="Calibri" w:cs="Calibri"/>
              </w:rPr>
            </w:pPr>
            <w:r>
              <w:rPr>
                <w:rFonts w:ascii="Calibri" w:hAnsi="Calibri"/>
                <w:color w:val="000000"/>
              </w:rPr>
              <w:t>конфлікт інтересів відсутній</w:t>
            </w:r>
          </w:p>
        </w:tc>
      </w:tr>
      <w:tr w:rsidR="00ED665B" w:rsidRPr="00907702" w:rsidTr="00636128">
        <w:trPr>
          <w:trHeight w:hRule="exact" w:val="629"/>
        </w:trPr>
        <w:tc>
          <w:tcPr>
            <w:tcW w:w="9129" w:type="dxa"/>
            <w:gridSpan w:val="3"/>
            <w:tcBorders>
              <w:top w:val="single" w:sz="8" w:space="0" w:color="009649"/>
              <w:left w:val="nil"/>
              <w:bottom w:val="nil"/>
              <w:right w:val="nil"/>
            </w:tcBorders>
            <w:shd w:val="clear" w:color="auto" w:fill="FFFFFF"/>
          </w:tcPr>
          <w:p w:rsidR="00ED665B" w:rsidRPr="00907702" w:rsidRDefault="006C7D2F" w:rsidP="0034777B">
            <w:pPr>
              <w:spacing w:before="120"/>
              <w:rPr>
                <w:rFonts w:ascii="Calibri" w:hAnsi="Calibri" w:cs="Calibri"/>
              </w:rPr>
            </w:pPr>
            <w:r>
              <w:rPr>
                <w:rFonts w:ascii="Calibri" w:hAnsi="Calibri"/>
                <w:color w:val="000000"/>
                <w:sz w:val="16"/>
              </w:rPr>
              <w:t>EDCTP: Партнерство з клінічних випробувань європейських країн та країн, що розвиваються; ГЗР: Група зовнішнього рецензування; FIND: Фонд інноваційної нової діагностики; ВООЗ: Всесвітня організація охорони здоров’я.</w:t>
            </w:r>
          </w:p>
        </w:tc>
      </w:tr>
    </w:tbl>
    <w:p w:rsidR="00ED665B" w:rsidRPr="00907702" w:rsidRDefault="006C7D2F" w:rsidP="0034777B">
      <w:pPr>
        <w:spacing w:before="197"/>
        <w:ind w:left="14" w:right="38"/>
        <w:jc w:val="both"/>
        <w:rPr>
          <w:rFonts w:ascii="Calibri" w:hAnsi="Calibri" w:cs="Calibri"/>
        </w:rPr>
      </w:pPr>
      <w:r>
        <w:rPr>
          <w:rFonts w:ascii="Calibri" w:hAnsi="Calibri"/>
          <w:color w:val="000000"/>
          <w:sz w:val="22"/>
        </w:rPr>
        <w:t>Перш ніж його буде запрошено до членства у ГРН, кожному з потенційних членів ГРН пропонується подати заповнену форму декларації інтересів (DOI) та надати резюме. Крім того, проводиться скорочений та зосереджений пошук у мережі Інтернет, «щоб виявити будь-які очевидні суспільні суперечки чи інтереси, які можуть призвести до компрометуючої ситуації для ВООЗ та відповідного експерта». Члени керівного комітету оцінюють резюме, DOI та інформацію потенційного члена, отриману з мережі Інтернет, щоб визначити, чи існують конфлікти інтересів (або можуть бути конфлікти інтересів), і якщо це так, чи потрібен план управління. Управління COI базується на керівництві ВООЗ щодо DOI для експертів,</w:t>
      </w:r>
      <w:r>
        <w:rPr>
          <w:rFonts w:ascii="Calibri" w:hAnsi="Calibri"/>
          <w:color w:val="000000"/>
          <w:sz w:val="22"/>
          <w:vertAlign w:val="superscript"/>
        </w:rPr>
        <w:t xml:space="preserve">21 </w:t>
      </w:r>
      <w:r>
        <w:rPr>
          <w:rFonts w:ascii="Calibri" w:hAnsi="Calibri"/>
          <w:color w:val="000000"/>
          <w:sz w:val="22"/>
        </w:rPr>
        <w:t>індивідуальних консультацій із членом Команди з питань етики з Управління з питань дотримання, управління ризиками та етики ВООЗ та Посібнику ВООЗ щодо розробки настанов.</w:t>
      </w:r>
      <w:r>
        <w:rPr>
          <w:rFonts w:ascii="Calibri" w:hAnsi="Calibri"/>
          <w:color w:val="000000"/>
          <w:sz w:val="22"/>
          <w:vertAlign w:val="superscript"/>
        </w:rPr>
        <w:t>22</w:t>
      </w:r>
    </w:p>
    <w:p w:rsidR="00ED665B" w:rsidRPr="00907702" w:rsidRDefault="006C7D2F" w:rsidP="0034777B">
      <w:pPr>
        <w:spacing w:before="226"/>
        <w:ind w:left="14"/>
        <w:jc w:val="both"/>
        <w:rPr>
          <w:rFonts w:ascii="Calibri" w:hAnsi="Calibri" w:cs="Calibri"/>
        </w:rPr>
      </w:pPr>
      <w:r>
        <w:rPr>
          <w:rFonts w:ascii="Calibri" w:hAnsi="Calibri"/>
          <w:color w:val="000000"/>
          <w:sz w:val="22"/>
        </w:rPr>
        <w:t>Розглядаються як фінансові, так і нефінансові інтереси. «Значний» COI включає:</w:t>
      </w:r>
    </w:p>
    <w:p w:rsidR="00ED665B" w:rsidRPr="00907702" w:rsidRDefault="006C7D2F" w:rsidP="0034777B">
      <w:pPr>
        <w:numPr>
          <w:ilvl w:val="0"/>
          <w:numId w:val="2"/>
        </w:numPr>
        <w:tabs>
          <w:tab w:val="left" w:pos="254"/>
        </w:tabs>
        <w:spacing w:before="96"/>
        <w:ind w:left="254" w:right="43" w:hanging="240"/>
        <w:jc w:val="both"/>
        <w:rPr>
          <w:rFonts w:ascii="Calibri" w:hAnsi="Calibri" w:cs="Calibri"/>
          <w:color w:val="009649"/>
          <w:sz w:val="22"/>
          <w:szCs w:val="22"/>
        </w:rPr>
      </w:pPr>
      <w:r>
        <w:rPr>
          <w:rFonts w:ascii="Calibri" w:hAnsi="Calibri"/>
          <w:color w:val="000000"/>
          <w:sz w:val="22"/>
        </w:rPr>
        <w:t>«інтелектуальна упередженість», коли людина, можливо, неодноразово займала публічну позицію щодо розглядуваного питання, що може вплинути на об’єктивність та незалежність індивіда в процесі розробки глобальної політики;</w:t>
      </w:r>
    </w:p>
    <w:p w:rsidR="00ED665B" w:rsidRPr="00907702" w:rsidRDefault="006C7D2F" w:rsidP="0034777B">
      <w:pPr>
        <w:numPr>
          <w:ilvl w:val="0"/>
          <w:numId w:val="2"/>
        </w:numPr>
        <w:tabs>
          <w:tab w:val="left" w:pos="254"/>
        </w:tabs>
        <w:ind w:left="14"/>
        <w:jc w:val="both"/>
        <w:rPr>
          <w:rFonts w:ascii="Calibri" w:hAnsi="Calibri" w:cs="Calibri"/>
          <w:color w:val="009649"/>
          <w:sz w:val="22"/>
          <w:szCs w:val="22"/>
        </w:rPr>
      </w:pPr>
      <w:r>
        <w:rPr>
          <w:rFonts w:ascii="Calibri" w:hAnsi="Calibri"/>
          <w:color w:val="000000"/>
          <w:sz w:val="22"/>
        </w:rPr>
        <w:t>участь у дослідженні чи публікації матеріалів, що стосуються розглядуваного питання; і</w:t>
      </w:r>
    </w:p>
    <w:p w:rsidR="00ED665B" w:rsidRPr="00907702" w:rsidRDefault="00071A6F" w:rsidP="0034777B">
      <w:pPr>
        <w:numPr>
          <w:ilvl w:val="0"/>
          <w:numId w:val="2"/>
        </w:numPr>
        <w:tabs>
          <w:tab w:val="left" w:pos="254"/>
        </w:tabs>
        <w:ind w:left="14"/>
        <w:jc w:val="both"/>
        <w:rPr>
          <w:rFonts w:ascii="Calibri" w:hAnsi="Calibri" w:cs="Calibri"/>
          <w:color w:val="009649"/>
          <w:sz w:val="22"/>
          <w:szCs w:val="22"/>
        </w:rPr>
      </w:pPr>
      <w:r>
        <w:rPr>
          <w:rFonts w:ascii="Calibri" w:hAnsi="Calibri"/>
          <w:color w:val="000000"/>
          <w:sz w:val="22"/>
        </w:rPr>
        <w:t>Грошова винагорода вище 5000 дол.</w:t>
      </w:r>
    </w:p>
    <w:p w:rsidR="00ED665B" w:rsidRPr="00907702" w:rsidRDefault="006C7D2F" w:rsidP="0034777B">
      <w:pPr>
        <w:spacing w:before="163"/>
        <w:ind w:left="14" w:right="48"/>
        <w:jc w:val="both"/>
        <w:rPr>
          <w:rFonts w:ascii="Calibri" w:hAnsi="Calibri" w:cs="Calibri"/>
        </w:rPr>
      </w:pPr>
      <w:r>
        <w:rPr>
          <w:rFonts w:ascii="Calibri" w:hAnsi="Calibri"/>
          <w:color w:val="000000"/>
          <w:sz w:val="22"/>
        </w:rPr>
        <w:t>З очевидних причин, розробники будь-якого аналізу ніколи не беруть участь у процесі розробки політики.</w:t>
      </w:r>
    </w:p>
    <w:p w:rsidR="00636128" w:rsidRPr="00636128" w:rsidRDefault="00636128" w:rsidP="00636128">
      <w:pPr>
        <w:spacing w:before="1354"/>
        <w:ind w:right="43" w:firstLine="14"/>
        <w:jc w:val="both"/>
        <w:rPr>
          <w:rFonts w:ascii="Calibri" w:hAnsi="Calibri" w:cs="Calibri"/>
          <w:color w:val="000000"/>
          <w:sz w:val="16"/>
          <w:szCs w:val="16"/>
          <w:u w:val="single"/>
          <w:vertAlign w:val="superscript"/>
        </w:rPr>
      </w:pPr>
      <w:r>
        <w:rPr>
          <w:rFonts w:ascii="Calibri" w:hAnsi="Calibri"/>
          <w:color w:val="000000"/>
          <w:sz w:val="16"/>
          <w:u w:val="single"/>
          <w:vertAlign w:val="superscript"/>
        </w:rPr>
        <w:tab/>
      </w:r>
      <w:r>
        <w:rPr>
          <w:rFonts w:ascii="Calibri" w:hAnsi="Calibri"/>
          <w:color w:val="000000"/>
          <w:sz w:val="16"/>
          <w:u w:val="single"/>
          <w:vertAlign w:val="superscript"/>
        </w:rPr>
        <w:tab/>
      </w:r>
      <w:r>
        <w:rPr>
          <w:rFonts w:ascii="Calibri" w:hAnsi="Calibri"/>
          <w:color w:val="000000"/>
          <w:sz w:val="16"/>
          <w:u w:val="single"/>
          <w:vertAlign w:val="superscript"/>
        </w:rPr>
        <w:tab/>
      </w:r>
    </w:p>
    <w:p w:rsidR="00ED665B" w:rsidRPr="0034777B" w:rsidRDefault="006C7D2F" w:rsidP="00636128">
      <w:pPr>
        <w:tabs>
          <w:tab w:val="left" w:pos="235"/>
        </w:tabs>
        <w:ind w:left="235" w:right="43" w:hanging="221"/>
        <w:jc w:val="both"/>
        <w:rPr>
          <w:rFonts w:ascii="Calibri" w:hAnsi="Calibri" w:cs="Calibri"/>
        </w:rPr>
      </w:pPr>
      <w:r w:rsidRPr="0034777B">
        <w:rPr>
          <w:rFonts w:ascii="Calibri" w:hAnsi="Calibri"/>
          <w:sz w:val="16"/>
          <w:vertAlign w:val="superscript"/>
        </w:rPr>
        <w:t>21</w:t>
      </w:r>
      <w:r w:rsidRPr="0034777B">
        <w:rPr>
          <w:rFonts w:ascii="Calibri" w:hAnsi="Calibri"/>
          <w:sz w:val="16"/>
        </w:rPr>
        <w:tab/>
        <w:t>Декларація інтересів для експертів ВООЗ – форми для подання. Geneva: World Health Organization; 2019 (https://www. who.int/about/declaration-of-interests/en/, дата перегляду: 12 червня 2020 р.).</w:t>
      </w:r>
    </w:p>
    <w:p w:rsidR="00ED665B" w:rsidRPr="0034777B" w:rsidRDefault="006C7D2F" w:rsidP="00DC2656">
      <w:pPr>
        <w:tabs>
          <w:tab w:val="left" w:pos="235"/>
        </w:tabs>
        <w:spacing w:before="58"/>
        <w:ind w:left="235" w:right="43" w:hanging="221"/>
        <w:jc w:val="both"/>
        <w:rPr>
          <w:rFonts w:ascii="Calibri" w:hAnsi="Calibri" w:cs="Calibri"/>
        </w:rPr>
      </w:pPr>
      <w:r w:rsidRPr="0034777B">
        <w:rPr>
          <w:rFonts w:ascii="Calibri" w:hAnsi="Calibri"/>
          <w:sz w:val="16"/>
          <w:vertAlign w:val="superscript"/>
        </w:rPr>
        <w:t>22</w:t>
      </w:r>
      <w:r w:rsidRPr="0034777B">
        <w:rPr>
          <w:rFonts w:ascii="Calibri" w:hAnsi="Calibri"/>
          <w:sz w:val="16"/>
        </w:rPr>
        <w:tab/>
        <w:t>Handbook for guideline development. Geneva: World Health Organization; 2014 (https://www.who.int/publications/ guidelines/handbook_2nd_ed.pdf?ua=1, дата перегляду: 12 червня 2020).</w:t>
      </w:r>
    </w:p>
    <w:p w:rsidR="00ED665B" w:rsidRPr="00907702" w:rsidRDefault="00ED665B" w:rsidP="00DC2656">
      <w:pPr>
        <w:tabs>
          <w:tab w:val="left" w:pos="235"/>
        </w:tabs>
        <w:spacing w:before="58"/>
        <w:ind w:left="235" w:right="43" w:hanging="221"/>
        <w:jc w:val="both"/>
        <w:rPr>
          <w:rFonts w:ascii="Calibri" w:hAnsi="Calibri" w:cs="Calibri"/>
        </w:rPr>
        <w:sectPr w:rsidR="00ED665B" w:rsidRPr="00907702">
          <w:pgSz w:w="11904" w:h="16838"/>
          <w:pgMar w:top="1411" w:right="1373" w:bottom="1368" w:left="1402" w:header="720" w:footer="720" w:gutter="0"/>
          <w:cols w:space="60"/>
          <w:noEndnote/>
        </w:sectPr>
      </w:pPr>
    </w:p>
    <w:p w:rsidR="00ED665B" w:rsidRPr="00907702" w:rsidRDefault="00ED665B" w:rsidP="00DC2656">
      <w:pPr>
        <w:rPr>
          <w:rFonts w:ascii="Calibri" w:hAnsi="Calibri" w:cs="Calibri"/>
        </w:rPr>
      </w:pPr>
    </w:p>
    <w:p w:rsidR="00ED665B" w:rsidRPr="00907702" w:rsidRDefault="00ED665B" w:rsidP="00DC2656">
      <w:pPr>
        <w:rPr>
          <w:rFonts w:ascii="Calibri" w:hAnsi="Calibri" w:cs="Calibri"/>
        </w:rPr>
        <w:sectPr w:rsidR="00ED665B" w:rsidRPr="00907702">
          <w:footerReference w:type="even" r:id="rId308"/>
          <w:pgSz w:w="11904" w:h="16838"/>
          <w:pgMar w:top="1123" w:right="1373" w:bottom="14645" w:left="1234" w:header="720" w:footer="720" w:gutter="0"/>
          <w:cols w:space="60"/>
          <w:noEndnote/>
        </w:sectPr>
      </w:pPr>
    </w:p>
    <w:p w:rsidR="00ED665B" w:rsidRPr="00907702" w:rsidRDefault="00ED665B" w:rsidP="00DC2656">
      <w:pPr>
        <w:rPr>
          <w:rFonts w:ascii="Calibri" w:hAnsi="Calibri" w:cs="Calibri"/>
        </w:rPr>
      </w:pPr>
    </w:p>
    <w:p w:rsidR="00ED665B" w:rsidRPr="00907702" w:rsidRDefault="00ED665B" w:rsidP="00DC2656">
      <w:pPr>
        <w:rPr>
          <w:rFonts w:ascii="Calibri" w:hAnsi="Calibri" w:cs="Calibri"/>
        </w:rPr>
        <w:sectPr w:rsidR="00ED665B" w:rsidRPr="00907702">
          <w:footerReference w:type="default" r:id="rId309"/>
          <w:pgSz w:w="11904" w:h="16838"/>
          <w:pgMar w:top="1234" w:right="1574" w:bottom="14275" w:left="1310" w:header="720" w:footer="720" w:gutter="0"/>
          <w:cols w:space="60"/>
          <w:noEndnote/>
        </w:sectPr>
      </w:pPr>
    </w:p>
    <w:p w:rsidR="00ED665B" w:rsidRPr="00907702" w:rsidRDefault="00ED665B" w:rsidP="00DC2656">
      <w:pPr>
        <w:rPr>
          <w:rFonts w:ascii="Calibri" w:hAnsi="Calibri" w:cs="Calibri"/>
        </w:rPr>
      </w:pPr>
    </w:p>
    <w:p w:rsidR="00ED665B" w:rsidRPr="00907702" w:rsidRDefault="00ED665B" w:rsidP="00DC2656">
      <w:pPr>
        <w:rPr>
          <w:rFonts w:ascii="Calibri" w:hAnsi="Calibri" w:cs="Calibri"/>
        </w:rPr>
        <w:sectPr w:rsidR="00ED665B" w:rsidRPr="00907702">
          <w:pgSz w:w="11904" w:h="16838"/>
          <w:pgMar w:top="1310" w:right="1555" w:bottom="14203" w:left="1474" w:header="720" w:footer="720" w:gutter="0"/>
          <w:cols w:space="60"/>
          <w:noEndnote/>
        </w:sectPr>
      </w:pPr>
    </w:p>
    <w:p w:rsidR="00ED665B" w:rsidRPr="00907702" w:rsidRDefault="00ED665B" w:rsidP="00DC2656">
      <w:pPr>
        <w:rPr>
          <w:rFonts w:ascii="Calibri" w:hAnsi="Calibri" w:cs="Calibri"/>
        </w:rPr>
      </w:pPr>
    </w:p>
    <w:p w:rsidR="00ED665B" w:rsidRPr="00907702" w:rsidRDefault="00ED665B" w:rsidP="00DC2656">
      <w:pPr>
        <w:rPr>
          <w:rFonts w:ascii="Calibri" w:hAnsi="Calibri" w:cs="Calibri"/>
        </w:rPr>
        <w:sectPr w:rsidR="00ED665B" w:rsidRPr="00907702">
          <w:pgSz w:w="11904" w:h="16838"/>
          <w:pgMar w:top="1310" w:right="1872" w:bottom="14203" w:left="1531" w:header="720" w:footer="720" w:gutter="0"/>
          <w:cols w:space="60"/>
          <w:noEndnote/>
        </w:sectPr>
      </w:pPr>
    </w:p>
    <w:p w:rsidR="00ED665B" w:rsidRPr="00907702" w:rsidRDefault="00ED665B" w:rsidP="00636128">
      <w:pPr>
        <w:framePr w:h="9696" w:hSpace="10080" w:wrap="notBeside" w:vAnchor="text" w:hAnchor="margin" w:x="1" w:y="1"/>
        <w:rPr>
          <w:rFonts w:ascii="Calibri" w:hAnsi="Calibri" w:cs="Calibri"/>
          <w:sz w:val="24"/>
          <w:szCs w:val="24"/>
        </w:rPr>
      </w:pPr>
    </w:p>
    <w:p w:rsidR="00ED665B" w:rsidRPr="00907702" w:rsidRDefault="006C7D2F" w:rsidP="0034777B">
      <w:pPr>
        <w:framePr w:w="5002" w:h="1666" w:hRule="exact" w:hSpace="10080" w:wrap="notBeside" w:vAnchor="text" w:hAnchor="page" w:x="989" w:y="11927"/>
        <w:rPr>
          <w:rFonts w:ascii="Calibri" w:hAnsi="Calibri" w:cs="Calibri"/>
        </w:rPr>
      </w:pPr>
      <w:r>
        <w:rPr>
          <w:rFonts w:ascii="Calibri" w:hAnsi="Calibri"/>
          <w:color w:val="FFFFFF"/>
          <w:sz w:val="22"/>
        </w:rPr>
        <w:t>За додатковою інформацією звертайтесь:</w:t>
      </w:r>
    </w:p>
    <w:p w:rsidR="00ED665B" w:rsidRPr="00907702" w:rsidRDefault="006C7D2F" w:rsidP="0034777B">
      <w:pPr>
        <w:framePr w:w="5002" w:h="1666" w:hRule="exact" w:hSpace="10080" w:wrap="notBeside" w:vAnchor="text" w:hAnchor="page" w:x="989" w:y="11927"/>
        <w:rPr>
          <w:rFonts w:ascii="Calibri" w:hAnsi="Calibri" w:cs="Calibri"/>
        </w:rPr>
      </w:pPr>
      <w:r>
        <w:rPr>
          <w:rFonts w:ascii="Calibri" w:hAnsi="Calibri"/>
          <w:b/>
          <w:color w:val="FFFFFF"/>
          <w:sz w:val="22"/>
        </w:rPr>
        <w:t>Всесвітня організація охорони здоров’я</w:t>
      </w:r>
    </w:p>
    <w:p w:rsidR="00ED665B" w:rsidRPr="00DF25B6" w:rsidRDefault="006C7D2F" w:rsidP="0034777B">
      <w:pPr>
        <w:framePr w:w="5002" w:h="1666" w:hRule="exact" w:hSpace="10080" w:wrap="notBeside" w:vAnchor="text" w:hAnchor="page" w:x="989" w:y="11927"/>
        <w:rPr>
          <w:rFonts w:ascii="Calibri" w:hAnsi="Calibri" w:cs="Calibri"/>
          <w:color w:val="FFFFFF"/>
          <w:sz w:val="22"/>
          <w:szCs w:val="22"/>
        </w:rPr>
      </w:pPr>
      <w:r>
        <w:rPr>
          <w:rFonts w:ascii="Calibri" w:hAnsi="Calibri"/>
          <w:color w:val="FFFFFF"/>
          <w:sz w:val="22"/>
        </w:rPr>
        <w:t>20, Avenue Appia CH-1211 Geneva 27 Switzerland Вебсайт Глобальної програми протидії туберкульозу: www.who.int/tb</w:t>
      </w:r>
    </w:p>
    <w:p w:rsidR="00ED665B" w:rsidRPr="00907702" w:rsidRDefault="006C7D2F" w:rsidP="0034777B">
      <w:pPr>
        <w:framePr w:w="3785" w:h="1006" w:hRule="exact" w:hSpace="10080" w:wrap="notBeside" w:vAnchor="text" w:hAnchor="page" w:x="2144" w:y="13987"/>
        <w:rPr>
          <w:rFonts w:ascii="Calibri" w:hAnsi="Calibri" w:cs="Calibri"/>
        </w:rPr>
      </w:pPr>
      <w:r>
        <w:rPr>
          <w:rFonts w:ascii="Calibri" w:hAnsi="Calibri"/>
          <w:b/>
          <w:color w:val="FFFFFF"/>
          <w:sz w:val="32"/>
        </w:rPr>
        <w:t>Всесвітня організація охорони здоров’я</w:t>
      </w:r>
    </w:p>
    <w:p w:rsidR="00ED665B" w:rsidRPr="00907702" w:rsidRDefault="0034777B" w:rsidP="00DC2656">
      <w:pPr>
        <w:rPr>
          <w:rFonts w:ascii="Calibri" w:hAnsi="Calibri" w:cs="Calibri"/>
          <w:sz w:val="2"/>
          <w:szCs w:val="2"/>
        </w:rPr>
      </w:pPr>
      <w:r>
        <w:rPr>
          <w:rFonts w:ascii="Calibri" w:hAnsi="Calibri"/>
          <w:noProof/>
          <w:sz w:val="24"/>
          <w:lang w:val="en-US" w:bidi="ar-SA"/>
        </w:rPr>
        <w:drawing>
          <wp:anchor distT="0" distB="0" distL="6400800" distR="6400800" simplePos="0" relativeHeight="251765760" behindDoc="1" locked="0" layoutInCell="0" allowOverlap="1" wp14:anchorId="4ACC5BF5" wp14:editId="1CF090EF">
            <wp:simplePos x="0" y="0"/>
            <wp:positionH relativeFrom="margin">
              <wp:posOffset>635</wp:posOffset>
            </wp:positionH>
            <wp:positionV relativeFrom="paragraph">
              <wp:posOffset>-625637</wp:posOffset>
            </wp:positionV>
            <wp:extent cx="7559675" cy="10696575"/>
            <wp:effectExtent l="0" t="0" r="3175" b="9525"/>
            <wp:wrapNone/>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55967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D665B" w:rsidRPr="00907702">
      <w:pgSz w:w="11904" w:h="16838"/>
      <w:pgMar w:top="0" w:right="0" w:bottom="0" w:left="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D9E" w:rsidRDefault="00C02D9E" w:rsidP="00ED5D96">
      <w:r>
        <w:separator/>
      </w:r>
    </w:p>
  </w:endnote>
  <w:endnote w:type="continuationSeparator" w:id="0">
    <w:p w:rsidR="00C02D9E" w:rsidRDefault="00C02D9E" w:rsidP="00ED5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pitch w:val="variable"/>
    <w:sig w:usb0="00000201" w:usb1="00000000" w:usb2="00000000" w:usb3="00000000" w:csb0="00000004" w:csb1="00000000"/>
  </w:font>
  <w:font w:name="FXFYD H+ Avenir LT Std">
    <w:altName w:val="Times New Roman"/>
    <w:panose1 w:val="00000000000000000000"/>
    <w:charset w:val="00"/>
    <w:family w:val="roman"/>
    <w:notTrueType/>
    <w:pitch w:val="default"/>
    <w:sig w:usb0="00000003" w:usb1="00000000" w:usb2="00000000" w:usb3="00000000" w:csb0="00000001" w:csb1="00000000"/>
  </w:font>
  <w:font w:name="Frutiger Neue LT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59264" behindDoc="0" locked="0" layoutInCell="1" allowOverlap="1" wp14:anchorId="4D221C76" wp14:editId="30AAABDE">
              <wp:simplePos x="0" y="0"/>
              <wp:positionH relativeFrom="page">
                <wp:posOffset>467995</wp:posOffset>
              </wp:positionH>
              <wp:positionV relativeFrom="page">
                <wp:posOffset>9721215</wp:posOffset>
              </wp:positionV>
              <wp:extent cx="6825600" cy="468000"/>
              <wp:effectExtent l="0" t="0" r="0" b="8255"/>
              <wp:wrapNone/>
              <wp:docPr id="593" name="Надпись 593"/>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rPr>
                                    <w:rFonts w:asciiTheme="minorHAnsi" w:hAnsiTheme="minorHAnsi" w:cstheme="minorHAnsi"/>
                                    <w:color w:val="009649"/>
                                  </w:rPr>
                                </w:pP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vii</w:t>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21C76" id="_x0000_t202" coordsize="21600,21600" o:spt="202" path="m,l,21600r21600,l21600,xe">
              <v:stroke joinstyle="miter"/>
              <v:path gradientshapeok="t" o:connecttype="rect"/>
            </v:shapetype>
            <v:shape id="Надпись 593" o:spid="_x0000_s1104" type="#_x0000_t202" style="position:absolute;margin-left:36.85pt;margin-top:765.45pt;width:537.45pt;height:36.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rPr>
                              <w:rFonts w:asciiTheme="minorHAnsi" w:hAnsiTheme="minorHAnsi" w:cstheme="minorHAnsi"/>
                              <w:color w:val="009649"/>
                            </w:rPr>
                          </w:pP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vii</w:t>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77696" behindDoc="0" locked="0" layoutInCell="1" allowOverlap="1" wp14:anchorId="7DB2B2B1" wp14:editId="4B7E2C15">
              <wp:simplePos x="0" y="0"/>
              <wp:positionH relativeFrom="page">
                <wp:posOffset>467995</wp:posOffset>
              </wp:positionH>
              <wp:positionV relativeFrom="page">
                <wp:posOffset>9721215</wp:posOffset>
              </wp:positionV>
              <wp:extent cx="6825600" cy="468000"/>
              <wp:effectExtent l="0" t="0" r="0" b="8255"/>
              <wp:wrapNone/>
              <wp:docPr id="602" name="Надпись 602"/>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xvi</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2B2B1" id="_x0000_t202" coordsize="21600,21600" o:spt="202" path="m,l,21600r21600,l21600,xe">
              <v:stroke joinstyle="miter"/>
              <v:path gradientshapeok="t" o:connecttype="rect"/>
            </v:shapetype>
            <v:shape id="Надпись 602" o:spid="_x0000_s1113" type="#_x0000_t202" style="position:absolute;margin-left:36.85pt;margin-top:765.45pt;width:537.45pt;height:36.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CxG18VUAgAAeg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xvi</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79744" behindDoc="0" locked="0" layoutInCell="1" allowOverlap="1" wp14:anchorId="043A6E19" wp14:editId="509E79B7">
              <wp:simplePos x="0" y="0"/>
              <wp:positionH relativeFrom="page">
                <wp:posOffset>467995</wp:posOffset>
              </wp:positionH>
              <wp:positionV relativeFrom="page">
                <wp:posOffset>9721215</wp:posOffset>
              </wp:positionV>
              <wp:extent cx="6825600" cy="468000"/>
              <wp:effectExtent l="0" t="0" r="0" b="8255"/>
              <wp:wrapNone/>
              <wp:docPr id="603" name="Надпись 603"/>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xvii</w:t>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A6E19" id="_x0000_t202" coordsize="21600,21600" o:spt="202" path="m,l,21600r21600,l21600,xe">
              <v:stroke joinstyle="miter"/>
              <v:path gradientshapeok="t" o:connecttype="rect"/>
            </v:shapetype>
            <v:shape id="Надпись 603" o:spid="_x0000_s1114" type="#_x0000_t202" style="position:absolute;margin-left:36.85pt;margin-top:765.45pt;width:537.45pt;height:36.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EjhAfZ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xvii</w:t>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81792" behindDoc="0" locked="0" layoutInCell="1" allowOverlap="1" wp14:anchorId="4B4F76B0" wp14:editId="42890CFD">
              <wp:simplePos x="0" y="0"/>
              <wp:positionH relativeFrom="page">
                <wp:posOffset>467995</wp:posOffset>
              </wp:positionH>
              <wp:positionV relativeFrom="page">
                <wp:posOffset>9721215</wp:posOffset>
              </wp:positionV>
              <wp:extent cx="6825600" cy="468000"/>
              <wp:effectExtent l="0" t="0" r="0" b="8255"/>
              <wp:wrapNone/>
              <wp:docPr id="604" name="Надпись 604"/>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xviii</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F76B0" id="_x0000_t202" coordsize="21600,21600" o:spt="202" path="m,l,21600r21600,l21600,xe">
              <v:stroke joinstyle="miter"/>
              <v:path gradientshapeok="t" o:connecttype="rect"/>
            </v:shapetype>
            <v:shape id="Надпись 604" o:spid="_x0000_s1115" type="#_x0000_t202" style="position:absolute;margin-left:36.85pt;margin-top:765.45pt;width:537.45pt;height:36.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AoVagx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xviii</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83840" behindDoc="0" locked="0" layoutInCell="1" allowOverlap="1" wp14:anchorId="1FD28DA9" wp14:editId="6B915E10">
              <wp:simplePos x="0" y="0"/>
              <wp:positionH relativeFrom="page">
                <wp:posOffset>467995</wp:posOffset>
              </wp:positionH>
              <wp:positionV relativeFrom="page">
                <wp:posOffset>9721215</wp:posOffset>
              </wp:positionV>
              <wp:extent cx="6825600" cy="468000"/>
              <wp:effectExtent l="0" t="0" r="0" b="8255"/>
              <wp:wrapNone/>
              <wp:docPr id="605" name="Надпись 605"/>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lang w:val="ru-RU"/>
                                  </w:rPr>
                                </w:pP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xix</w:t>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28DA9" id="_x0000_t202" coordsize="21600,21600" o:spt="202" path="m,l,21600r21600,l21600,xe">
              <v:stroke joinstyle="miter"/>
              <v:path gradientshapeok="t" o:connecttype="rect"/>
            </v:shapetype>
            <v:shape id="Надпись 605" o:spid="_x0000_s1116" type="#_x0000_t202" style="position:absolute;margin-left:36.85pt;margin-top:765.45pt;width:537.45pt;height:36.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Ck4B5K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lang w:val="ru-RU"/>
                            </w:rPr>
                          </w:pP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xix</w:t>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85888" behindDoc="0" locked="0" layoutInCell="1" allowOverlap="1" wp14:anchorId="681B46CA" wp14:editId="7977A7E5">
              <wp:simplePos x="0" y="0"/>
              <wp:positionH relativeFrom="page">
                <wp:posOffset>467995</wp:posOffset>
              </wp:positionH>
              <wp:positionV relativeFrom="page">
                <wp:posOffset>9721215</wp:posOffset>
              </wp:positionV>
              <wp:extent cx="6825600" cy="468000"/>
              <wp:effectExtent l="0" t="0" r="0" b="8255"/>
              <wp:wrapNone/>
              <wp:docPr id="606" name="Надпись 606"/>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xx</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B46CA" id="_x0000_t202" coordsize="21600,21600" o:spt="202" path="m,l,21600r21600,l21600,xe">
              <v:stroke joinstyle="miter"/>
              <v:path gradientshapeok="t" o:connecttype="rect"/>
            </v:shapetype>
            <v:shape id="Надпись 606" o:spid="_x0000_s1117" type="#_x0000_t202" style="position:absolute;margin-left:36.85pt;margin-top:765.45pt;width:537.45pt;height:36.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BSYBEU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xx</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87936" behindDoc="0" locked="0" layoutInCell="1" allowOverlap="1" wp14:anchorId="156794E8" wp14:editId="41C850AA">
              <wp:simplePos x="0" y="0"/>
              <wp:positionH relativeFrom="page">
                <wp:posOffset>467995</wp:posOffset>
              </wp:positionH>
              <wp:positionV relativeFrom="page">
                <wp:posOffset>9721215</wp:posOffset>
              </wp:positionV>
              <wp:extent cx="6825600" cy="468000"/>
              <wp:effectExtent l="0" t="0" r="0" b="8255"/>
              <wp:wrapNone/>
              <wp:docPr id="607" name="Надпись 607"/>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lang w:val="ru-RU"/>
                                  </w:rPr>
                                </w:pP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794E8" id="_x0000_t202" coordsize="21600,21600" o:spt="202" path="m,l,21600r21600,l21600,xe">
              <v:stroke joinstyle="miter"/>
              <v:path gradientshapeok="t" o:connecttype="rect"/>
            </v:shapetype>
            <v:shape id="Надпись 607" o:spid="_x0000_s1118" type="#_x0000_t202" style="position:absolute;margin-left:36.85pt;margin-top:765.45pt;width:537.45pt;height:36.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D4C/fG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lang w:val="ru-RU"/>
                            </w:rPr>
                          </w:pP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89984" behindDoc="0" locked="0" layoutInCell="1" allowOverlap="1" wp14:anchorId="1EE0675C" wp14:editId="21E9FD67">
              <wp:simplePos x="0" y="0"/>
              <wp:positionH relativeFrom="page">
                <wp:posOffset>467995</wp:posOffset>
              </wp:positionH>
              <wp:positionV relativeFrom="page">
                <wp:posOffset>9721215</wp:posOffset>
              </wp:positionV>
              <wp:extent cx="6825600" cy="468000"/>
              <wp:effectExtent l="0" t="0" r="0" b="8255"/>
              <wp:wrapNone/>
              <wp:docPr id="608" name="Надпись 608"/>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20</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0675C" id="_x0000_t202" coordsize="21600,21600" o:spt="202" path="m,l,21600r21600,l21600,xe">
              <v:stroke joinstyle="miter"/>
              <v:path gradientshapeok="t" o:connecttype="rect"/>
            </v:shapetype>
            <v:shape id="Надпись 608" o:spid="_x0000_s1119" type="#_x0000_t202" style="position:absolute;margin-left:36.85pt;margin-top:765.45pt;width:537.45pt;height:36.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JMQJa9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20</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92032" behindDoc="0" locked="0" layoutInCell="1" allowOverlap="1" wp14:anchorId="6BD15C6C" wp14:editId="59D382EF">
              <wp:simplePos x="0" y="0"/>
              <wp:positionH relativeFrom="page">
                <wp:posOffset>467995</wp:posOffset>
              </wp:positionH>
              <wp:positionV relativeFrom="page">
                <wp:posOffset>9721215</wp:posOffset>
              </wp:positionV>
              <wp:extent cx="6825600" cy="468000"/>
              <wp:effectExtent l="0" t="0" r="0" b="8255"/>
              <wp:wrapNone/>
              <wp:docPr id="609" name="Надпись 609"/>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1. Вступ</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3</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15C6C" id="_x0000_t202" coordsize="21600,21600" o:spt="202" path="m,l,21600r21600,l21600,xe">
              <v:stroke joinstyle="miter"/>
              <v:path gradientshapeok="t" o:connecttype="rect"/>
            </v:shapetype>
            <v:shape id="Надпись 609" o:spid="_x0000_s1120" type="#_x0000_t202" style="position:absolute;margin-left:36.85pt;margin-top:765.45pt;width:537.45pt;height:36.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A95VHp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1. Вступ</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3</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94080" behindDoc="0" locked="0" layoutInCell="1" allowOverlap="1" wp14:anchorId="7B80E65D" wp14:editId="1B12766C">
              <wp:simplePos x="0" y="0"/>
              <wp:positionH relativeFrom="page">
                <wp:posOffset>467995</wp:posOffset>
              </wp:positionH>
              <wp:positionV relativeFrom="page">
                <wp:posOffset>9721215</wp:posOffset>
              </wp:positionV>
              <wp:extent cx="6825600" cy="468000"/>
              <wp:effectExtent l="0" t="0" r="0" b="8255"/>
              <wp:wrapNone/>
              <wp:docPr id="610" name="Надпись 610"/>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lang w:val="ru-RU"/>
                                  </w:rPr>
                                </w:pP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5</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0E65D" id="_x0000_t202" coordsize="21600,21600" o:spt="202" path="m,l,21600r21600,l21600,xe">
              <v:stroke joinstyle="miter"/>
              <v:path gradientshapeok="t" o:connecttype="rect"/>
            </v:shapetype>
            <v:shape id="Надпись 610" o:spid="_x0000_s1121" type="#_x0000_t202" style="position:absolute;margin-left:36.85pt;margin-top:765.45pt;width:537.45pt;height:36.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ND1IzN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lang w:val="ru-RU"/>
                            </w:rPr>
                          </w:pP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5</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96128" behindDoc="0" locked="0" layoutInCell="1" allowOverlap="1" wp14:anchorId="289530CB" wp14:editId="7E7D9A02">
              <wp:simplePos x="0" y="0"/>
              <wp:positionH relativeFrom="page">
                <wp:posOffset>467995</wp:posOffset>
              </wp:positionH>
              <wp:positionV relativeFrom="page">
                <wp:posOffset>9721215</wp:posOffset>
              </wp:positionV>
              <wp:extent cx="6825600" cy="468000"/>
              <wp:effectExtent l="0" t="0" r="0" b="8255"/>
              <wp:wrapNone/>
              <wp:docPr id="611" name="Надпись 611"/>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21</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530CB" id="_x0000_t202" coordsize="21600,21600" o:spt="202" path="m,l,21600r21600,l21600,xe">
              <v:stroke joinstyle="miter"/>
              <v:path gradientshapeok="t" o:connecttype="rect"/>
            </v:shapetype>
            <v:shape id="Надпись 611" o:spid="_x0000_s1122" type="#_x0000_t202" style="position:absolute;margin-left:36.85pt;margin-top:765.45pt;width:537.45pt;height:36.8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DOkkRN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21</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61312" behindDoc="0" locked="0" layoutInCell="1" allowOverlap="1" wp14:anchorId="7EC79677" wp14:editId="49E44D70">
              <wp:simplePos x="0" y="0"/>
              <wp:positionH relativeFrom="page">
                <wp:posOffset>467995</wp:posOffset>
              </wp:positionH>
              <wp:positionV relativeFrom="page">
                <wp:posOffset>9721215</wp:posOffset>
              </wp:positionV>
              <wp:extent cx="6825600" cy="468000"/>
              <wp:effectExtent l="0" t="0" r="0" b="8255"/>
              <wp:wrapNone/>
              <wp:docPr id="594" name="Надпись 594"/>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viii</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79677" id="_x0000_t202" coordsize="21600,21600" o:spt="202" path="m,l,21600r21600,l21600,xe">
              <v:stroke joinstyle="miter"/>
              <v:path gradientshapeok="t" o:connecttype="rect"/>
            </v:shapetype>
            <v:shape id="Надпись 594" o:spid="_x0000_s1105" type="#_x0000_t202" style="position:absolute;margin-left:36.85pt;margin-top:765.45pt;width:537.45pt;height:36.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Az0UaxUAgAAeg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viii</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Pr="00A92CF5" w:rsidRDefault="00BE6F5B" w:rsidP="00A92CF5">
    <w:pPr>
      <w:pStyle w:val="a8"/>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Pr="00A92CF5" w:rsidRDefault="00BE6F5B" w:rsidP="00A92CF5">
    <w:pPr>
      <w:pStyle w:val="a8"/>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14560" behindDoc="0" locked="0" layoutInCell="1" allowOverlap="1" wp14:anchorId="46F94A64" wp14:editId="64A7CAE6">
              <wp:simplePos x="0" y="0"/>
              <wp:positionH relativeFrom="page">
                <wp:posOffset>467995</wp:posOffset>
              </wp:positionH>
              <wp:positionV relativeFrom="page">
                <wp:posOffset>9721215</wp:posOffset>
              </wp:positionV>
              <wp:extent cx="6825600" cy="468000"/>
              <wp:effectExtent l="0" t="0" r="0" b="8255"/>
              <wp:wrapNone/>
              <wp:docPr id="622" name="Надпись 622"/>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37</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94A64" id="_x0000_t202" coordsize="21600,21600" o:spt="202" path="m,l,21600r21600,l21600,xe">
              <v:stroke joinstyle="miter"/>
              <v:path gradientshapeok="t" o:connecttype="rect"/>
            </v:shapetype>
            <v:shape id="Надпись 622" o:spid="_x0000_s1125" type="#_x0000_t202" style="position:absolute;margin-left:36.85pt;margin-top:765.45pt;width:537.45pt;height:36.8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EZuDgV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37</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16608" behindDoc="0" locked="0" layoutInCell="1" allowOverlap="1" wp14:anchorId="37EB9102" wp14:editId="6326DBE1">
              <wp:simplePos x="0" y="0"/>
              <wp:positionH relativeFrom="page">
                <wp:posOffset>467995</wp:posOffset>
              </wp:positionH>
              <wp:positionV relativeFrom="page">
                <wp:posOffset>9721215</wp:posOffset>
              </wp:positionV>
              <wp:extent cx="6825600" cy="468000"/>
              <wp:effectExtent l="0" t="0" r="0" b="8255"/>
              <wp:wrapNone/>
              <wp:docPr id="623" name="Надпись 623"/>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38</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B9102" id="_x0000_t202" coordsize="21600,21600" o:spt="202" path="m,l,21600r21600,l21600,xe">
              <v:stroke joinstyle="miter"/>
              <v:path gradientshapeok="t" o:connecttype="rect"/>
            </v:shapetype>
            <v:shape id="Надпись 623" o:spid="_x0000_s1126" type="#_x0000_t202" style="position:absolute;margin-left:36.85pt;margin-top:765.45pt;width:537.45pt;height:36.8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Dom3pD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38</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Pr="005A7714" w:rsidRDefault="00BE6F5B" w:rsidP="005A7714">
    <w:pPr>
      <w:pStyle w:val="a8"/>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Pr="005A7714" w:rsidRDefault="00BE6F5B" w:rsidP="005A7714">
    <w:pPr>
      <w:pStyle w:val="a8"/>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26848" behindDoc="0" locked="0" layoutInCell="1" allowOverlap="1" wp14:anchorId="1045C392" wp14:editId="5F6C83A4">
              <wp:simplePos x="0" y="0"/>
              <wp:positionH relativeFrom="page">
                <wp:posOffset>467995</wp:posOffset>
              </wp:positionH>
              <wp:positionV relativeFrom="page">
                <wp:posOffset>9721215</wp:posOffset>
              </wp:positionV>
              <wp:extent cx="6825600" cy="468000"/>
              <wp:effectExtent l="0" t="0" r="0" b="8255"/>
              <wp:wrapNone/>
              <wp:docPr id="628" name="Надпись 628"/>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45</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5C392" id="_x0000_t202" coordsize="21600,21600" o:spt="202" path="m,l,21600r21600,l21600,xe">
              <v:stroke joinstyle="miter"/>
              <v:path gradientshapeok="t" o:connecttype="rect"/>
            </v:shapetype>
            <v:shape id="Надпись 628" o:spid="_x0000_s1129" type="#_x0000_t202" style="position:absolute;margin-left:36.85pt;margin-top:765.45pt;width:537.45pt;height:36.8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DElF1B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45</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28896" behindDoc="0" locked="0" layoutInCell="1" allowOverlap="1" wp14:anchorId="5CB53DFE" wp14:editId="301822EC">
              <wp:simplePos x="0" y="0"/>
              <wp:positionH relativeFrom="page">
                <wp:posOffset>467995</wp:posOffset>
              </wp:positionH>
              <wp:positionV relativeFrom="page">
                <wp:posOffset>9721215</wp:posOffset>
              </wp:positionV>
              <wp:extent cx="6825600" cy="468000"/>
              <wp:effectExtent l="0" t="0" r="0" b="8255"/>
              <wp:wrapNone/>
              <wp:docPr id="629" name="Надпись 629"/>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46</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53DFE" id="_x0000_t202" coordsize="21600,21600" o:spt="202" path="m,l,21600r21600,l21600,xe">
              <v:stroke joinstyle="miter"/>
              <v:path gradientshapeok="t" o:connecttype="rect"/>
            </v:shapetype>
            <v:shape id="Надпись 629" o:spid="_x0000_s1130" type="#_x0000_t202" style="position:absolute;margin-left:36.85pt;margin-top:765.45pt;width:537.45pt;height:36.8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Cf0GMW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46</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Pr="005A7714" w:rsidRDefault="00BE6F5B" w:rsidP="005A7714">
    <w:pPr>
      <w:pStyle w:val="a8"/>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Pr="005A7714" w:rsidRDefault="00BE6F5B" w:rsidP="005A7714">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63360" behindDoc="0" locked="0" layoutInCell="1" allowOverlap="1" wp14:anchorId="7B4398AA" wp14:editId="6B449AFE">
              <wp:simplePos x="0" y="0"/>
              <wp:positionH relativeFrom="page">
                <wp:posOffset>467995</wp:posOffset>
              </wp:positionH>
              <wp:positionV relativeFrom="page">
                <wp:posOffset>9721215</wp:posOffset>
              </wp:positionV>
              <wp:extent cx="6825600" cy="468000"/>
              <wp:effectExtent l="0" t="0" r="0" b="8255"/>
              <wp:wrapNone/>
              <wp:docPr id="595" name="Надпись 595"/>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ix</w:t>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398AA" id="_x0000_t202" coordsize="21600,21600" o:spt="202" path="m,l,21600r21600,l21600,xe">
              <v:stroke joinstyle="miter"/>
              <v:path gradientshapeok="t" o:connecttype="rect"/>
            </v:shapetype>
            <v:shape id="Надпись 595" o:spid="_x0000_s1106" type="#_x0000_t202" style="position:absolute;margin-left:36.85pt;margin-top:765.45pt;width:537.45pt;height:36.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Pap6ANUAgAAeg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ix</w:t>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39136" behindDoc="0" locked="0" layoutInCell="1" allowOverlap="1" wp14:anchorId="412256FE" wp14:editId="5D701860">
              <wp:simplePos x="0" y="0"/>
              <wp:positionH relativeFrom="page">
                <wp:posOffset>467995</wp:posOffset>
              </wp:positionH>
              <wp:positionV relativeFrom="page">
                <wp:posOffset>9721215</wp:posOffset>
              </wp:positionV>
              <wp:extent cx="6825600" cy="468000"/>
              <wp:effectExtent l="0" t="0" r="0" b="8255"/>
              <wp:wrapNone/>
              <wp:docPr id="634" name="Надпись 634"/>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79</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256FE" id="_x0000_t202" coordsize="21600,21600" o:spt="202" path="m,l,21600r21600,l21600,xe">
              <v:stroke joinstyle="miter"/>
              <v:path gradientshapeok="t" o:connecttype="rect"/>
            </v:shapetype>
            <v:shape id="Надпись 634" o:spid="_x0000_s1133" type="#_x0000_t202" style="position:absolute;margin-left:36.85pt;margin-top:765.45pt;width:537.45pt;height:36.8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CJX/pE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79</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41184" behindDoc="0" locked="0" layoutInCell="1" allowOverlap="1" wp14:anchorId="540BE5C8" wp14:editId="677AFB7A">
              <wp:simplePos x="0" y="0"/>
              <wp:positionH relativeFrom="page">
                <wp:posOffset>467995</wp:posOffset>
              </wp:positionH>
              <wp:positionV relativeFrom="page">
                <wp:posOffset>9721215</wp:posOffset>
              </wp:positionV>
              <wp:extent cx="6825600" cy="468000"/>
              <wp:effectExtent l="0" t="0" r="0" b="8255"/>
              <wp:wrapNone/>
              <wp:docPr id="635" name="Надпись 635"/>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80</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BE5C8" id="_x0000_t202" coordsize="21600,21600" o:spt="202" path="m,l,21600r21600,l21600,xe">
              <v:stroke joinstyle="miter"/>
              <v:path gradientshapeok="t" o:connecttype="rect"/>
            </v:shapetype>
            <v:shape id="Надпись 635" o:spid="_x0000_s1134" type="#_x0000_t202" style="position:absolute;margin-left:36.85pt;margin-top:765.45pt;width:537.45pt;height:36.8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80</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Pr="003B2A0F" w:rsidRDefault="00BE6F5B" w:rsidP="003B2A0F">
    <w:pPr>
      <w:pStyle w:val="a8"/>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49376" behindDoc="0" locked="0" layoutInCell="1" allowOverlap="1" wp14:anchorId="4711F9DC" wp14:editId="17AB4EDB">
              <wp:simplePos x="0" y="0"/>
              <wp:positionH relativeFrom="page">
                <wp:posOffset>467995</wp:posOffset>
              </wp:positionH>
              <wp:positionV relativeFrom="page">
                <wp:posOffset>9721215</wp:posOffset>
              </wp:positionV>
              <wp:extent cx="6825600" cy="468000"/>
              <wp:effectExtent l="0" t="0" r="0" b="8255"/>
              <wp:wrapNone/>
              <wp:docPr id="639" name="Надпись 639"/>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82</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1F9DC" id="_x0000_t202" coordsize="21600,21600" o:spt="202" path="m,l,21600r21600,l21600,xe">
              <v:stroke joinstyle="miter"/>
              <v:path gradientshapeok="t" o:connecttype="rect"/>
            </v:shapetype>
            <v:shape id="Надпись 639" o:spid="_x0000_s1137" type="#_x0000_t202" style="position:absolute;margin-left:36.85pt;margin-top:765.45pt;width:537.45pt;height:36.8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GM7uXh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82</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51424" behindDoc="0" locked="0" layoutInCell="1" allowOverlap="1" wp14:anchorId="60E63963" wp14:editId="7B3464F3">
              <wp:simplePos x="0" y="0"/>
              <wp:positionH relativeFrom="page">
                <wp:posOffset>467995</wp:posOffset>
              </wp:positionH>
              <wp:positionV relativeFrom="page">
                <wp:posOffset>9721215</wp:posOffset>
              </wp:positionV>
              <wp:extent cx="6825600" cy="468000"/>
              <wp:effectExtent l="0" t="0" r="0" b="8255"/>
              <wp:wrapNone/>
              <wp:docPr id="640" name="Надпись 640"/>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83</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63963" id="_x0000_t202" coordsize="21600,21600" o:spt="202" path="m,l,21600r21600,l21600,xe">
              <v:stroke joinstyle="miter"/>
              <v:path gradientshapeok="t" o:connecttype="rect"/>
            </v:shapetype>
            <v:shape id="Надпись 640" o:spid="_x0000_s1138" type="#_x0000_t202" style="position:absolute;margin-left:36.85pt;margin-top:765.45pt;width:537.45pt;height:36.8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LljVDt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83</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53472" behindDoc="0" locked="0" layoutInCell="1" allowOverlap="1" wp14:anchorId="53ED223F" wp14:editId="4B47B1EA">
              <wp:simplePos x="0" y="0"/>
              <wp:positionH relativeFrom="page">
                <wp:posOffset>467995</wp:posOffset>
              </wp:positionH>
              <wp:positionV relativeFrom="page">
                <wp:posOffset>9721215</wp:posOffset>
              </wp:positionV>
              <wp:extent cx="6825600" cy="468000"/>
              <wp:effectExtent l="0" t="0" r="0" b="8255"/>
              <wp:wrapNone/>
              <wp:docPr id="641" name="Надпись 641"/>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86</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D223F" id="_x0000_t202" coordsize="21600,21600" o:spt="202" path="m,l,21600r21600,l21600,xe">
              <v:stroke joinstyle="miter"/>
              <v:path gradientshapeok="t" o:connecttype="rect"/>
            </v:shapetype>
            <v:shape id="Надпись 641" o:spid="_x0000_s1140" type="#_x0000_t202" style="position:absolute;margin-left:36.85pt;margin-top:765.45pt;width:537.45pt;height:36.8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CWMQRY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86</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55520" behindDoc="0" locked="0" layoutInCell="1" allowOverlap="1" wp14:anchorId="356BB813" wp14:editId="00817C0F">
              <wp:simplePos x="0" y="0"/>
              <wp:positionH relativeFrom="page">
                <wp:posOffset>467995</wp:posOffset>
              </wp:positionH>
              <wp:positionV relativeFrom="page">
                <wp:posOffset>9721215</wp:posOffset>
              </wp:positionV>
              <wp:extent cx="6825600" cy="468000"/>
              <wp:effectExtent l="0" t="0" r="0" b="8255"/>
              <wp:wrapNone/>
              <wp:docPr id="642" name="Надпись 642"/>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85</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BB813" id="_x0000_t202" coordsize="21600,21600" o:spt="202" path="m,l,21600r21600,l21600,xe">
              <v:stroke joinstyle="miter"/>
              <v:path gradientshapeok="t" o:connecttype="rect"/>
            </v:shapetype>
            <v:shape id="Надпись 642" o:spid="_x0000_s1142" type="#_x0000_t202" style="position:absolute;margin-left:36.85pt;margin-top:765.45pt;width:537.45pt;height:36.8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Cu/aAP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85</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57568" behindDoc="0" locked="0" layoutInCell="1" allowOverlap="1" wp14:anchorId="0561AF57" wp14:editId="0F90599A">
              <wp:simplePos x="0" y="0"/>
              <wp:positionH relativeFrom="page">
                <wp:posOffset>467995</wp:posOffset>
              </wp:positionH>
              <wp:positionV relativeFrom="page">
                <wp:posOffset>9721215</wp:posOffset>
              </wp:positionV>
              <wp:extent cx="6825600" cy="468000"/>
              <wp:effectExtent l="0" t="0" r="0" b="8255"/>
              <wp:wrapNone/>
              <wp:docPr id="643" name="Надпись 643"/>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119</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1AF57" id="_x0000_t202" coordsize="21600,21600" o:spt="202" path="m,l,21600r21600,l21600,xe">
              <v:stroke joinstyle="miter"/>
              <v:path gradientshapeok="t" o:connecttype="rect"/>
            </v:shapetype>
            <v:shape id="Надпись 643" o:spid="_x0000_s1143" type="#_x0000_t202" style="position:absolute;margin-left:36.85pt;margin-top:765.45pt;width:537.45pt;height:36.8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2. Рекомендації</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119</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59616" behindDoc="0" locked="0" layoutInCell="1" allowOverlap="1" wp14:anchorId="2AC040AB" wp14:editId="2C7DA5E1">
              <wp:simplePos x="0" y="0"/>
              <wp:positionH relativeFrom="page">
                <wp:posOffset>467995</wp:posOffset>
              </wp:positionH>
              <wp:positionV relativeFrom="page">
                <wp:posOffset>9721215</wp:posOffset>
              </wp:positionV>
              <wp:extent cx="6825600" cy="468000"/>
              <wp:effectExtent l="0" t="0" r="0" b="8255"/>
              <wp:wrapNone/>
              <wp:docPr id="644" name="Надпись 644"/>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118</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040AB" id="_x0000_t202" coordsize="21600,21600" o:spt="202" path="m,l,21600r21600,l21600,xe">
              <v:stroke joinstyle="miter"/>
              <v:path gradientshapeok="t" o:connecttype="rect"/>
            </v:shapetype>
            <v:shape id="Надпись 644" o:spid="_x0000_s1144" type="#_x0000_t202" style="position:absolute;margin-left:36.85pt;margin-top:765.45pt;width:537.45pt;height:36.8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PxghXh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118</w:t>
                          </w:r>
                          <w:r w:rsidRPr="0066564C">
                            <w:rPr>
                              <w:rFonts w:asciiTheme="minorHAnsi" w:hAnsiTheme="minorHAnsi" w:cstheme="minorHAnsi"/>
                              <w:color w:val="009649"/>
                            </w:rPr>
                            <w:fldChar w:fldCharType="end"/>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98176" behindDoc="0" locked="0" layoutInCell="1" allowOverlap="1" wp14:anchorId="0AC09842" wp14:editId="199DD4C6">
              <wp:simplePos x="0" y="0"/>
              <wp:positionH relativeFrom="page">
                <wp:posOffset>467995</wp:posOffset>
              </wp:positionH>
              <wp:positionV relativeFrom="page">
                <wp:posOffset>9721215</wp:posOffset>
              </wp:positionV>
              <wp:extent cx="6825600" cy="468000"/>
              <wp:effectExtent l="0" t="0" r="0" b="8255"/>
              <wp:wrapNone/>
              <wp:docPr id="612" name="Надпись 612"/>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lang w:val="ru-RU"/>
                                  </w:rPr>
                                </w:pP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125</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09842" id="_x0000_t202" coordsize="21600,21600" o:spt="202" path="m,l,21600r21600,l21600,xe">
              <v:stroke joinstyle="miter"/>
              <v:path gradientshapeok="t" o:connecttype="rect"/>
            </v:shapetype>
            <v:shape id="Надпись 612" o:spid="_x0000_s1145" type="#_x0000_t202" style="position:absolute;margin-left:36.85pt;margin-top:765.45pt;width:537.45pt;height:36.8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lang w:val="ru-RU"/>
                            </w:rPr>
                          </w:pP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125</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65408" behindDoc="0" locked="0" layoutInCell="1" allowOverlap="1" wp14:anchorId="72C4EFAE" wp14:editId="082BE6B7">
              <wp:simplePos x="0" y="0"/>
              <wp:positionH relativeFrom="page">
                <wp:posOffset>467995</wp:posOffset>
              </wp:positionH>
              <wp:positionV relativeFrom="page">
                <wp:posOffset>9721215</wp:posOffset>
              </wp:positionV>
              <wp:extent cx="6825600" cy="468000"/>
              <wp:effectExtent l="0" t="0" r="0" b="8255"/>
              <wp:wrapNone/>
              <wp:docPr id="596" name="Надпись 596"/>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x</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4EFAE" id="_x0000_t202" coordsize="21600,21600" o:spt="202" path="m,l,21600r21600,l21600,xe">
              <v:stroke joinstyle="miter"/>
              <v:path gradientshapeok="t" o:connecttype="rect"/>
            </v:shapetype>
            <v:shape id="Надпись 596" o:spid="_x0000_s1107" type="#_x0000_t202" style="position:absolute;margin-left:36.85pt;margin-top:765.45pt;width:537.45pt;height:36.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C918C8VQIAAHo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x</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00224" behindDoc="0" locked="0" layoutInCell="1" allowOverlap="1" wp14:anchorId="3AFF5D1B" wp14:editId="71A3AF18">
              <wp:simplePos x="0" y="0"/>
              <wp:positionH relativeFrom="page">
                <wp:posOffset>467995</wp:posOffset>
              </wp:positionH>
              <wp:positionV relativeFrom="page">
                <wp:posOffset>9721215</wp:posOffset>
              </wp:positionV>
              <wp:extent cx="6825600" cy="468000"/>
              <wp:effectExtent l="0" t="0" r="0" b="8255"/>
              <wp:wrapNone/>
              <wp:docPr id="613" name="Надпись 613"/>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Список літератури</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127</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F5D1B" id="_x0000_t202" coordsize="21600,21600" o:spt="202" path="m,l,21600r21600,l21600,xe">
              <v:stroke joinstyle="miter"/>
              <v:path gradientshapeok="t" o:connecttype="rect"/>
            </v:shapetype>
            <v:shape id="Надпись 613" o:spid="_x0000_s1146" type="#_x0000_t202" style="position:absolute;margin-left:36.85pt;margin-top:765.45pt;width:537.45pt;height:36.8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C0Kt1k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Список літератури</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127</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02272" behindDoc="0" locked="0" layoutInCell="1" allowOverlap="1" wp14:anchorId="06154601" wp14:editId="792B3F85">
              <wp:simplePos x="0" y="0"/>
              <wp:positionH relativeFrom="page">
                <wp:posOffset>467995</wp:posOffset>
              </wp:positionH>
              <wp:positionV relativeFrom="page">
                <wp:posOffset>9721215</wp:posOffset>
              </wp:positionV>
              <wp:extent cx="6825600" cy="468000"/>
              <wp:effectExtent l="0" t="0" r="0" b="8255"/>
              <wp:wrapNone/>
              <wp:docPr id="614" name="Надпись 614"/>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lang w:val="ru-RU"/>
                                  </w:rPr>
                                </w:pP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129</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54601" id="_x0000_t202" coordsize="21600,21600" o:spt="202" path="m,l,21600r21600,l21600,xe">
              <v:stroke joinstyle="miter"/>
              <v:path gradientshapeok="t" o:connecttype="rect"/>
            </v:shapetype>
            <v:shape id="Надпись 614" o:spid="_x0000_s1147" type="#_x0000_t202" style="position:absolute;margin-left:36.85pt;margin-top:765.45pt;width:537.45pt;height:36.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lang w:val="ru-RU"/>
                            </w:rPr>
                          </w:pP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129</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04320" behindDoc="0" locked="0" layoutInCell="1" allowOverlap="1" wp14:anchorId="202CD48D" wp14:editId="72E2F8EA">
              <wp:simplePos x="0" y="0"/>
              <wp:positionH relativeFrom="page">
                <wp:posOffset>467995</wp:posOffset>
              </wp:positionH>
              <wp:positionV relativeFrom="page">
                <wp:posOffset>9721215</wp:posOffset>
              </wp:positionV>
              <wp:extent cx="6825600" cy="468000"/>
              <wp:effectExtent l="0" t="0" r="0" b="8255"/>
              <wp:wrapNone/>
              <wp:docPr id="615" name="Надпись 615"/>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Додаток 1: Методи розробки настанов</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131</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CD48D" id="_x0000_t202" coordsize="21600,21600" o:spt="202" path="m,l,21600r21600,l21600,xe">
              <v:stroke joinstyle="miter"/>
              <v:path gradientshapeok="t" o:connecttype="rect"/>
            </v:shapetype>
            <v:shape id="Надпись 615" o:spid="_x0000_s1148" type="#_x0000_t202" style="position:absolute;margin-left:36.85pt;margin-top:765.45pt;width:537.45pt;height:36.8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BctVBM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Додаток 1: Методи розробки настанов</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131</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06368" behindDoc="0" locked="0" layoutInCell="1" allowOverlap="1" wp14:anchorId="77B12685" wp14:editId="621FB0AE">
              <wp:simplePos x="0" y="0"/>
              <wp:positionH relativeFrom="page">
                <wp:posOffset>467995</wp:posOffset>
              </wp:positionH>
              <wp:positionV relativeFrom="page">
                <wp:posOffset>9721215</wp:posOffset>
              </wp:positionV>
              <wp:extent cx="6825600" cy="468000"/>
              <wp:effectExtent l="0" t="0" r="0" b="8255"/>
              <wp:wrapNone/>
              <wp:docPr id="616" name="Надпись 616"/>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lang w:val="ru-RU"/>
                                  </w:rPr>
                                </w:pP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133</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12685" id="_x0000_t202" coordsize="21600,21600" o:spt="202" path="m,l,21600r21600,l21600,xe">
              <v:stroke joinstyle="miter"/>
              <v:path gradientshapeok="t" o:connecttype="rect"/>
            </v:shapetype>
            <v:shape id="Надпись 616" o:spid="_x0000_s1149" type="#_x0000_t202" style="position:absolute;margin-left:36.85pt;margin-top:765.45pt;width:537.45pt;height:36.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CqNV8S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lang w:val="ru-RU"/>
                            </w:rPr>
                          </w:pP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133</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708416" behindDoc="0" locked="0" layoutInCell="1" allowOverlap="1" wp14:anchorId="491E4F48" wp14:editId="2AD459EB">
              <wp:simplePos x="0" y="0"/>
              <wp:positionH relativeFrom="page">
                <wp:posOffset>467995</wp:posOffset>
              </wp:positionH>
              <wp:positionV relativeFrom="page">
                <wp:posOffset>9721215</wp:posOffset>
              </wp:positionV>
              <wp:extent cx="6825600" cy="468000"/>
              <wp:effectExtent l="0" t="0" r="0" b="8255"/>
              <wp:wrapNone/>
              <wp:docPr id="617" name="Надпись 617"/>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Default="00BE6F5B" w:rsidP="00ED5D96">
                                <w:pPr>
                                  <w:jc w:val="right"/>
                                  <w:rPr>
                                    <w:rFonts w:asciiTheme="minorHAnsi" w:hAnsiTheme="minorHAnsi" w:cstheme="minorHAnsi"/>
                                    <w:color w:val="009649"/>
                                  </w:rPr>
                                </w:pPr>
                                <w:r>
                                  <w:rPr>
                                    <w:rFonts w:asciiTheme="minorHAnsi" w:hAnsiTheme="minorHAnsi"/>
                                    <w:color w:val="009649"/>
                                  </w:rPr>
                                  <w:t xml:space="preserve">Додаток 2: Оцінка конфлікту інтересів для Групи з розробки настанов </w:t>
                                </w:r>
                              </w:p>
                              <w:p w:rsidR="00BE6F5B" w:rsidRPr="00670B1A" w:rsidRDefault="00BE6F5B" w:rsidP="00ED5D96">
                                <w:pPr>
                                  <w:jc w:val="right"/>
                                  <w:rPr>
                                    <w:rFonts w:asciiTheme="minorHAnsi" w:hAnsiTheme="minorHAnsi" w:cstheme="minorHAnsi"/>
                                    <w:color w:val="009649"/>
                                  </w:rPr>
                                </w:pPr>
                                <w:r>
                                  <w:rPr>
                                    <w:rFonts w:asciiTheme="minorHAnsi" w:hAnsiTheme="minorHAnsi"/>
                                    <w:color w:val="009649"/>
                                  </w:rPr>
                                  <w:t>та членів Групи зовнішнього рецензування</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137</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E4F48" id="_x0000_t202" coordsize="21600,21600" o:spt="202" path="m,l,21600r21600,l21600,xe">
              <v:stroke joinstyle="miter"/>
              <v:path gradientshapeok="t" o:connecttype="rect"/>
            </v:shapetype>
            <v:shape id="Надпись 617" o:spid="_x0000_s1150" type="#_x0000_t202" style="position:absolute;margin-left:36.85pt;margin-top:765.45pt;width:537.45pt;height:36.8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AEwCtUVQIAAHs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Default="00BE6F5B" w:rsidP="00ED5D96">
                          <w:pPr>
                            <w:jc w:val="right"/>
                            <w:rPr>
                              <w:rFonts w:asciiTheme="minorHAnsi" w:hAnsiTheme="minorHAnsi" w:cstheme="minorHAnsi"/>
                              <w:color w:val="009649"/>
                            </w:rPr>
                          </w:pPr>
                          <w:r>
                            <w:rPr>
                              <w:rFonts w:asciiTheme="minorHAnsi" w:hAnsiTheme="minorHAnsi"/>
                              <w:color w:val="009649"/>
                            </w:rPr>
                            <w:t xml:space="preserve">Додаток 2: Оцінка конфлікту інтересів для Групи з розробки настанов </w:t>
                          </w:r>
                        </w:p>
                        <w:p w:rsidR="00BE6F5B" w:rsidRPr="00670B1A" w:rsidRDefault="00BE6F5B" w:rsidP="00ED5D96">
                          <w:pPr>
                            <w:jc w:val="right"/>
                            <w:rPr>
                              <w:rFonts w:asciiTheme="minorHAnsi" w:hAnsiTheme="minorHAnsi" w:cstheme="minorHAnsi"/>
                              <w:color w:val="009649"/>
                            </w:rPr>
                          </w:pPr>
                          <w:r>
                            <w:rPr>
                              <w:rFonts w:asciiTheme="minorHAnsi" w:hAnsiTheme="minorHAnsi"/>
                              <w:color w:val="009649"/>
                            </w:rPr>
                            <w:t>та членів Групи зовнішнього рецензування</w:t>
                          </w:r>
                        </w:p>
                      </w:tc>
                      <w:tc>
                        <w:tcPr>
                          <w:tcW w:w="737" w:type="dxa"/>
                          <w:vAlign w:val="center"/>
                        </w:tcPr>
                        <w:p w:rsidR="00BE6F5B" w:rsidRPr="00ED5D96" w:rsidRDefault="00BE6F5B" w:rsidP="00ED5D96">
                          <w:pPr>
                            <w:jc w:val="right"/>
                            <w:rPr>
                              <w:rFonts w:asciiTheme="minorHAnsi" w:hAnsiTheme="minorHAnsi" w:cstheme="minorHAnsi"/>
                              <w:color w:val="009649"/>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137</w:t>
                          </w:r>
                          <w:r w:rsidRPr="0066564C">
                            <w:rPr>
                              <w:rFonts w:asciiTheme="minorHAnsi" w:hAnsiTheme="minorHAnsi" w:cstheme="minorHAnsi"/>
                              <w:color w:val="009649"/>
                            </w:rPr>
                            <w:fldChar w:fldCharType="end"/>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Pr="00670B1A" w:rsidRDefault="00BE6F5B" w:rsidP="00670B1A">
    <w:pPr>
      <w:pStyle w:val="a8"/>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Pr="00670B1A" w:rsidRDefault="00BE6F5B" w:rsidP="00670B1A">
    <w:pPr>
      <w:pStyle w:val="a8"/>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67456" behindDoc="0" locked="0" layoutInCell="1" allowOverlap="1" wp14:anchorId="3436DE22" wp14:editId="37F49AD0">
              <wp:simplePos x="0" y="0"/>
              <wp:positionH relativeFrom="page">
                <wp:posOffset>467995</wp:posOffset>
              </wp:positionH>
              <wp:positionV relativeFrom="page">
                <wp:posOffset>9721215</wp:posOffset>
              </wp:positionV>
              <wp:extent cx="6825600" cy="468000"/>
              <wp:effectExtent l="0" t="0" r="0" b="8255"/>
              <wp:wrapNone/>
              <wp:docPr id="597" name="Надпись 597"/>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xi</w:t>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6DE22" id="_x0000_t202" coordsize="21600,21600" o:spt="202" path="m,l,21600r21600,l21600,xe">
              <v:stroke joinstyle="miter"/>
              <v:path gradientshapeok="t" o:connecttype="rect"/>
            </v:shapetype>
            <v:shape id="Надпись 597" o:spid="_x0000_s1108" type="#_x0000_t202" style="position:absolute;margin-left:36.85pt;margin-top:765.45pt;width:537.45pt;height:36.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BDFOuHVQIAAHo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xi</w:t>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69504" behindDoc="0" locked="0" layoutInCell="1" allowOverlap="1" wp14:anchorId="379E254E" wp14:editId="4909F076">
              <wp:simplePos x="0" y="0"/>
              <wp:positionH relativeFrom="page">
                <wp:posOffset>467995</wp:posOffset>
              </wp:positionH>
              <wp:positionV relativeFrom="page">
                <wp:posOffset>9721215</wp:posOffset>
              </wp:positionV>
              <wp:extent cx="6825600" cy="468000"/>
              <wp:effectExtent l="0" t="0" r="0" b="8255"/>
              <wp:wrapNone/>
              <wp:docPr id="598" name="Надпись 598"/>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xii</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E254E" id="_x0000_t202" coordsize="21600,21600" o:spt="202" path="m,l,21600r21600,l21600,xe">
              <v:stroke joinstyle="miter"/>
              <v:path gradientshapeok="t" o:connecttype="rect"/>
            </v:shapetype>
            <v:shape id="Надпись 598" o:spid="_x0000_s1109" type="#_x0000_t202" style="position:absolute;margin-left:36.85pt;margin-top:765.45pt;width:537.45pt;height:36.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xii</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71552" behindDoc="0" locked="0" layoutInCell="1" allowOverlap="1" wp14:anchorId="52F89184" wp14:editId="24F3699E">
              <wp:simplePos x="0" y="0"/>
              <wp:positionH relativeFrom="page">
                <wp:posOffset>467995</wp:posOffset>
              </wp:positionH>
              <wp:positionV relativeFrom="page">
                <wp:posOffset>9721215</wp:posOffset>
              </wp:positionV>
              <wp:extent cx="6825600" cy="468000"/>
              <wp:effectExtent l="0" t="0" r="0" b="8255"/>
              <wp:wrapNone/>
              <wp:docPr id="599" name="Надпись 599"/>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xiii</w:t>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89184" id="_x0000_t202" coordsize="21600,21600" o:spt="202" path="m,l,21600r21600,l21600,xe">
              <v:stroke joinstyle="miter"/>
              <v:path gradientshapeok="t" o:connecttype="rect"/>
            </v:shapetype>
            <v:shape id="Надпись 599" o:spid="_x0000_s1110" type="#_x0000_t202" style="position:absolute;margin-left:36.85pt;margin-top:765.45pt;width:537.45pt;height:36.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xiii</w:t>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73600" behindDoc="0" locked="0" layoutInCell="1" allowOverlap="1" wp14:anchorId="25B9459C" wp14:editId="4FB0291E">
              <wp:simplePos x="0" y="0"/>
              <wp:positionH relativeFrom="page">
                <wp:posOffset>467995</wp:posOffset>
              </wp:positionH>
              <wp:positionV relativeFrom="page">
                <wp:posOffset>9721215</wp:posOffset>
              </wp:positionV>
              <wp:extent cx="6825600" cy="468000"/>
              <wp:effectExtent l="0" t="0" r="0" b="8255"/>
              <wp:wrapNone/>
              <wp:docPr id="600" name="Надпись 600"/>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xiv</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9459C" id="_x0000_t202" coordsize="21600,21600" o:spt="202" path="m,l,21600r21600,l21600,xe">
              <v:stroke joinstyle="miter"/>
              <v:path gradientshapeok="t" o:connecttype="rect"/>
            </v:shapetype>
            <v:shape id="Надпись 600" o:spid="_x0000_s1111" type="#_x0000_t202" style="position:absolute;margin-left:36.85pt;margin-top:765.45pt;width:537.45pt;height:36.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548"/>
                              <w:sz w:val="16"/>
                            </w:rPr>
                            <w:t>xiv</w:t>
                          </w:r>
                        </w:p>
                      </w:tc>
                      <w:tc>
                        <w:tcPr>
                          <w:tcW w:w="9039" w:type="dxa"/>
                          <w:vAlign w:val="center"/>
                        </w:tcPr>
                        <w:p w:rsidR="00BE6F5B" w:rsidRPr="00ED5D96" w:rsidRDefault="00BE6F5B" w:rsidP="00ED5D96">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ED5D96" w:rsidRDefault="00BE6F5B" w:rsidP="00ED5D96">
                          <w:pPr>
                            <w:rPr>
                              <w:rFonts w:asciiTheme="minorHAnsi" w:hAnsiTheme="minorHAnsi" w:cstheme="minorHAnsi"/>
                              <w:color w:val="009649"/>
                            </w:rPr>
                          </w:pPr>
                          <w:r>
                            <w:rPr>
                              <w:rFonts w:asciiTheme="minorHAnsi" w:hAnsiTheme="minorHAnsi"/>
                              <w:color w:val="009649"/>
                            </w:rPr>
                            <w:t>швидка діагностика для виявлення туберкульозу</w:t>
                          </w:r>
                        </w:p>
                      </w:tc>
                      <w:tc>
                        <w:tcPr>
                          <w:tcW w:w="737" w:type="dxa"/>
                          <w:vAlign w:val="center"/>
                        </w:tcPr>
                        <w:p w:rsidR="00BE6F5B" w:rsidRPr="00ED5D96" w:rsidRDefault="00BE6F5B" w:rsidP="00ED5D96">
                          <w:pPr>
                            <w:jc w:val="right"/>
                            <w:rPr>
                              <w:rFonts w:asciiTheme="minorHAnsi" w:hAnsiTheme="minorHAnsi" w:cstheme="minorHAnsi"/>
                              <w:color w:val="009649"/>
                            </w:rPr>
                          </w:pP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8"/>
    </w:pPr>
    <w:r>
      <w:rPr>
        <w:rFonts w:ascii="Calibri" w:hAnsi="Calibri"/>
        <w:noProof/>
        <w:color w:val="000000"/>
        <w:sz w:val="24"/>
        <w:lang w:val="en-US" w:bidi="ar-SA"/>
      </w:rPr>
      <mc:AlternateContent>
        <mc:Choice Requires="wps">
          <w:drawing>
            <wp:anchor distT="0" distB="0" distL="114300" distR="114300" simplePos="0" relativeHeight="251675648" behindDoc="0" locked="0" layoutInCell="1" allowOverlap="1" wp14:anchorId="11D7A8B0" wp14:editId="196F22E9">
              <wp:simplePos x="0" y="0"/>
              <wp:positionH relativeFrom="page">
                <wp:posOffset>467995</wp:posOffset>
              </wp:positionH>
              <wp:positionV relativeFrom="page">
                <wp:posOffset>9721215</wp:posOffset>
              </wp:positionV>
              <wp:extent cx="6825600" cy="468000"/>
              <wp:effectExtent l="0" t="0" r="0" b="8255"/>
              <wp:wrapNone/>
              <wp:docPr id="601" name="Надпись 601"/>
              <wp:cNvGraphicFramePr/>
              <a:graphic xmlns:a="http://schemas.openxmlformats.org/drawingml/2006/main">
                <a:graphicData uri="http://schemas.microsoft.com/office/word/2010/wordprocessingShape">
                  <wps:wsp>
                    <wps:cNvSpPr txBox="1"/>
                    <wps:spPr>
                      <a:xfrm>
                        <a:off x="0" y="0"/>
                        <a:ext cx="6825600" cy="468000"/>
                      </a:xfrm>
                      <a:prstGeom prst="rect">
                        <a:avLst/>
                      </a:prstGeom>
                      <a:solidFill>
                        <a:schemeClr val="lt1"/>
                      </a:solidFill>
                      <a:ln w="6350">
                        <a:noFill/>
                      </a:ln>
                    </wps:spPr>
                    <wps:txbx>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xv</w:t>
                                </w:r>
                              </w:p>
                            </w:tc>
                          </w:tr>
                        </w:tbl>
                        <w:p w:rsidR="00BE6F5B" w:rsidRPr="00ED5D96" w:rsidRDefault="00BE6F5B" w:rsidP="00ED5D96">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7A8B0" id="_x0000_t202" coordsize="21600,21600" o:spt="202" path="m,l,21600r21600,l21600,xe">
              <v:stroke joinstyle="miter"/>
              <v:path gradientshapeok="t" o:connecttype="rect"/>
            </v:shapetype>
            <v:shape id="Надпись 601" o:spid="_x0000_s1112" type="#_x0000_t202" style="position:absolute;margin-left:36.85pt;margin-top:765.45pt;width:537.45pt;height:36.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" fillcolor="white [3201]" stroked="f" strokeweight=".5pt">
              <v:textbox inset="0,0,0,0">
                <w:txbxContent>
                  <w:tbl>
                    <w:tblPr>
                      <w:tblStyle w:val="a4"/>
                      <w:tblW w:w="10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9039"/>
                      <w:gridCol w:w="737"/>
                    </w:tblGrid>
                    <w:tr w:rsidR="00BE6F5B" w:rsidRPr="00ED5D96" w:rsidTr="00ED5D96">
                      <w:trPr>
                        <w:trHeight w:val="567"/>
                      </w:trPr>
                      <w:tc>
                        <w:tcPr>
                          <w:tcW w:w="737" w:type="dxa"/>
                          <w:vAlign w:val="center"/>
                        </w:tcPr>
                        <w:p w:rsidR="00BE6F5B" w:rsidRPr="00ED5D96" w:rsidRDefault="00BE6F5B" w:rsidP="00ED5D96">
                          <w:pPr>
                            <w:rPr>
                              <w:rFonts w:asciiTheme="minorHAnsi" w:hAnsiTheme="minorHAnsi" w:cstheme="minorHAnsi"/>
                              <w:color w:val="009649"/>
                            </w:rPr>
                          </w:pPr>
                        </w:p>
                      </w:tc>
                      <w:tc>
                        <w:tcPr>
                          <w:tcW w:w="9039"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649"/>
                            </w:rPr>
                            <w:t>Подяка</w:t>
                          </w:r>
                        </w:p>
                      </w:tc>
                      <w:tc>
                        <w:tcPr>
                          <w:tcW w:w="737" w:type="dxa"/>
                          <w:vAlign w:val="center"/>
                        </w:tcPr>
                        <w:p w:rsidR="00BE6F5B" w:rsidRPr="00ED5D96" w:rsidRDefault="00BE6F5B" w:rsidP="00ED5D96">
                          <w:pPr>
                            <w:jc w:val="right"/>
                            <w:rPr>
                              <w:rFonts w:asciiTheme="minorHAnsi" w:hAnsiTheme="minorHAnsi" w:cstheme="minorHAnsi"/>
                              <w:color w:val="009649"/>
                            </w:rPr>
                          </w:pPr>
                          <w:r>
                            <w:rPr>
                              <w:rFonts w:asciiTheme="minorHAnsi" w:hAnsiTheme="minorHAnsi"/>
                              <w:color w:val="009548"/>
                              <w:sz w:val="16"/>
                            </w:rPr>
                            <w:t>xv</w:t>
                          </w:r>
                        </w:p>
                      </w:tc>
                    </w:tr>
                  </w:tbl>
                  <w:p w:rsidR="00BE6F5B" w:rsidRPr="00ED5D96" w:rsidRDefault="00BE6F5B" w:rsidP="00ED5D96">
                    <w:pPr>
                      <w:rPr>
                        <w:rFonts w:asciiTheme="minorHAnsi" w:hAnsiTheme="minorHAnsi" w:cstheme="minorHAns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D9E" w:rsidRDefault="00C02D9E" w:rsidP="00ED5D96">
      <w:r>
        <w:separator/>
      </w:r>
    </w:p>
  </w:footnote>
  <w:footnote w:type="continuationSeparator" w:id="0">
    <w:p w:rsidR="00C02D9E" w:rsidRDefault="00C02D9E" w:rsidP="00ED5D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r>
      <w:rPr>
        <w:noProof/>
        <w:color w:val="000000"/>
        <w:sz w:val="24"/>
        <w:lang w:val="en-US" w:bidi="ar-SA"/>
      </w:rPr>
      <mc:AlternateContent>
        <mc:Choice Requires="wps">
          <w:drawing>
            <wp:anchor distT="0" distB="0" distL="114300" distR="114300" simplePos="0" relativeHeight="251718656" behindDoc="0" locked="0" layoutInCell="1" allowOverlap="1">
              <wp:simplePos x="0" y="0"/>
              <wp:positionH relativeFrom="page">
                <wp:posOffset>360045</wp:posOffset>
              </wp:positionH>
              <wp:positionV relativeFrom="margin">
                <wp:posOffset>-427355</wp:posOffset>
              </wp:positionV>
              <wp:extent cx="554400" cy="6818400"/>
              <wp:effectExtent l="0" t="0" r="0" b="1905"/>
              <wp:wrapNone/>
              <wp:docPr id="624" name="Надпись 624"/>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34</w:t>
                                </w:r>
                                <w:r w:rsidRPr="0066564C">
                                  <w:rPr>
                                    <w:rFonts w:asciiTheme="minorHAnsi" w:hAnsiTheme="minorHAnsi" w:cstheme="minorHAnsi"/>
                                    <w:color w:val="009649"/>
                                  </w:rPr>
                                  <w:fldChar w:fldCharType="end"/>
                                </w:r>
                              </w:p>
                            </w:tc>
                          </w:tr>
                          <w:tr w:rsidR="00BE6F5B" w:rsidRPr="00B05CC8" w:rsidTr="00B05CC8">
                            <w:trPr>
                              <w:cantSplit/>
                              <w:trHeight w:val="9037"/>
                            </w:trPr>
                            <w:tc>
                              <w:tcPr>
                                <w:tcW w:w="567" w:type="dxa"/>
                                <w:textDirection w:val="tbRl"/>
                                <w:vAlign w:val="center"/>
                              </w:tcPr>
                              <w:p w:rsidR="00BE6F5B" w:rsidRPr="00ED5D96" w:rsidRDefault="00BE6F5B"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B05CC8" w:rsidRDefault="00BE6F5B"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BE6F5B" w:rsidRPr="00B05CC8" w:rsidTr="00B05CC8">
                            <w:trPr>
                              <w:cantSplit/>
                              <w:trHeight w:val="737"/>
                            </w:trPr>
                            <w:tc>
                              <w:tcPr>
                                <w:tcW w:w="567" w:type="dxa"/>
                                <w:textDirection w:val="btLr"/>
                                <w:vAlign w:val="center"/>
                              </w:tcPr>
                              <w:p w:rsidR="00BE6F5B" w:rsidRPr="00B05CC8" w:rsidRDefault="00BE6F5B" w:rsidP="00B05CC8">
                                <w:pPr>
                                  <w:ind w:left="113" w:right="113"/>
                                  <w:rPr>
                                    <w:rFonts w:asciiTheme="minorHAnsi" w:hAnsiTheme="minorHAnsi" w:cstheme="minorHAnsi"/>
                                    <w:color w:val="009649"/>
                                    <w:sz w:val="16"/>
                                    <w:szCs w:val="16"/>
                                  </w:rPr>
                                </w:pPr>
                              </w:p>
                            </w:tc>
                          </w:tr>
                        </w:tbl>
                        <w:p w:rsidR="00BE6F5B" w:rsidRPr="00B05CC8" w:rsidRDefault="00BE6F5B">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24" o:spid="_x0000_s1123" type="#_x0000_t202" style="position:absolute;margin-left:28.35pt;margin-top:-33.65pt;width:43.65pt;height:536.9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34</w:t>
                          </w:r>
                          <w:r w:rsidRPr="0066564C">
                            <w:rPr>
                              <w:rFonts w:asciiTheme="minorHAnsi" w:hAnsiTheme="minorHAnsi" w:cstheme="minorHAnsi"/>
                              <w:color w:val="009649"/>
                            </w:rPr>
                            <w:fldChar w:fldCharType="end"/>
                          </w:r>
                        </w:p>
                      </w:tc>
                    </w:tr>
                    <w:tr w:rsidR="00BE6F5B" w:rsidRPr="00B05CC8" w:rsidTr="00B05CC8">
                      <w:trPr>
                        <w:cantSplit/>
                        <w:trHeight w:val="9037"/>
                      </w:trPr>
                      <w:tc>
                        <w:tcPr>
                          <w:tcW w:w="567" w:type="dxa"/>
                          <w:textDirection w:val="tbRl"/>
                          <w:vAlign w:val="center"/>
                        </w:tcPr>
                        <w:p w:rsidR="00BE6F5B" w:rsidRPr="00ED5D96" w:rsidRDefault="00BE6F5B"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B05CC8" w:rsidRDefault="00BE6F5B"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BE6F5B" w:rsidRPr="00B05CC8" w:rsidTr="00B05CC8">
                      <w:trPr>
                        <w:cantSplit/>
                        <w:trHeight w:val="737"/>
                      </w:trPr>
                      <w:tc>
                        <w:tcPr>
                          <w:tcW w:w="567" w:type="dxa"/>
                          <w:textDirection w:val="btLr"/>
                          <w:vAlign w:val="center"/>
                        </w:tcPr>
                        <w:p w:rsidR="00BE6F5B" w:rsidRPr="00B05CC8" w:rsidRDefault="00BE6F5B" w:rsidP="00B05CC8">
                          <w:pPr>
                            <w:ind w:left="113" w:right="113"/>
                            <w:rPr>
                              <w:rFonts w:asciiTheme="minorHAnsi" w:hAnsiTheme="minorHAnsi" w:cstheme="minorHAnsi"/>
                              <w:color w:val="009649"/>
                              <w:sz w:val="16"/>
                              <w:szCs w:val="16"/>
                            </w:rPr>
                          </w:pPr>
                        </w:p>
                      </w:tc>
                    </w:tr>
                  </w:tbl>
                  <w:p w:rsidR="00BE6F5B" w:rsidRPr="00B05CC8" w:rsidRDefault="00BE6F5B">
                    <w:pPr>
                      <w:rPr>
                        <w:rFonts w:asciiTheme="minorHAnsi" w:hAnsiTheme="minorHAnsi" w:cstheme="minorHAnsi"/>
                        <w:color w:val="009649"/>
                        <w:sz w:val="16"/>
                        <w:szCs w:val="16"/>
                      </w:rPr>
                    </w:pPr>
                  </w:p>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r>
      <w:rPr>
        <w:noProof/>
        <w:color w:val="000000"/>
        <w:sz w:val="24"/>
        <w:lang w:val="en-US" w:bidi="ar-SA"/>
      </w:rPr>
      <mc:AlternateContent>
        <mc:Choice Requires="wps">
          <w:drawing>
            <wp:anchor distT="0" distB="0" distL="114300" distR="114300" simplePos="0" relativeHeight="251743232" behindDoc="0" locked="0" layoutInCell="1" allowOverlap="1" wp14:anchorId="58331B98" wp14:editId="3BB688C9">
              <wp:simplePos x="0" y="0"/>
              <wp:positionH relativeFrom="page">
                <wp:posOffset>360045</wp:posOffset>
              </wp:positionH>
              <wp:positionV relativeFrom="margin">
                <wp:posOffset>-429895</wp:posOffset>
              </wp:positionV>
              <wp:extent cx="554400" cy="6818400"/>
              <wp:effectExtent l="0" t="0" r="0" b="1905"/>
              <wp:wrapNone/>
              <wp:docPr id="636" name="Надпись 636"/>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48</w:t>
                                </w:r>
                                <w:r w:rsidRPr="0066564C">
                                  <w:rPr>
                                    <w:rFonts w:asciiTheme="minorHAnsi" w:hAnsiTheme="minorHAnsi" w:cstheme="minorHAnsi"/>
                                    <w:color w:val="009649"/>
                                  </w:rPr>
                                  <w:fldChar w:fldCharType="end"/>
                                </w:r>
                              </w:p>
                            </w:tc>
                          </w:tr>
                          <w:tr w:rsidR="00BE6F5B" w:rsidRPr="00B05CC8" w:rsidTr="00B05CC8">
                            <w:trPr>
                              <w:cantSplit/>
                              <w:trHeight w:val="9037"/>
                            </w:trPr>
                            <w:tc>
                              <w:tcPr>
                                <w:tcW w:w="567" w:type="dxa"/>
                                <w:textDirection w:val="tbRl"/>
                                <w:vAlign w:val="center"/>
                              </w:tcPr>
                              <w:p w:rsidR="00BE6F5B" w:rsidRPr="00ED5D96" w:rsidRDefault="00BE6F5B"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B05CC8" w:rsidRDefault="00BE6F5B"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BE6F5B" w:rsidRPr="00B05CC8" w:rsidTr="00B05CC8">
                            <w:trPr>
                              <w:cantSplit/>
                              <w:trHeight w:val="737"/>
                            </w:trPr>
                            <w:tc>
                              <w:tcPr>
                                <w:tcW w:w="567" w:type="dxa"/>
                                <w:textDirection w:val="btLr"/>
                                <w:vAlign w:val="center"/>
                              </w:tcPr>
                              <w:p w:rsidR="00BE6F5B" w:rsidRPr="00B05CC8" w:rsidRDefault="00BE6F5B" w:rsidP="00B05CC8">
                                <w:pPr>
                                  <w:ind w:left="113" w:right="113"/>
                                  <w:rPr>
                                    <w:rFonts w:asciiTheme="minorHAnsi" w:hAnsiTheme="minorHAnsi" w:cstheme="minorHAnsi"/>
                                    <w:color w:val="009649"/>
                                    <w:sz w:val="16"/>
                                    <w:szCs w:val="16"/>
                                  </w:rPr>
                                </w:pPr>
                              </w:p>
                            </w:tc>
                          </w:tr>
                        </w:tbl>
                        <w:p w:rsidR="00BE6F5B" w:rsidRPr="00B05CC8" w:rsidRDefault="00BE6F5B" w:rsidP="005A7714">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31B98" id="_x0000_t202" coordsize="21600,21600" o:spt="202" path="m,l,21600r21600,l21600,xe">
              <v:stroke joinstyle="miter"/>
              <v:path gradientshapeok="t" o:connecttype="rect"/>
            </v:shapetype>
            <v:shape id="Надпись 636" o:spid="_x0000_s1132" type="#_x0000_t202" style="position:absolute;margin-left:28.35pt;margin-top:-33.85pt;width:43.65pt;height:536.9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48</w:t>
                          </w:r>
                          <w:r w:rsidRPr="0066564C">
                            <w:rPr>
                              <w:rFonts w:asciiTheme="minorHAnsi" w:hAnsiTheme="minorHAnsi" w:cstheme="minorHAnsi"/>
                              <w:color w:val="009649"/>
                            </w:rPr>
                            <w:fldChar w:fldCharType="end"/>
                          </w:r>
                        </w:p>
                      </w:tc>
                    </w:tr>
                    <w:tr w:rsidR="00BE6F5B" w:rsidRPr="00B05CC8" w:rsidTr="00B05CC8">
                      <w:trPr>
                        <w:cantSplit/>
                        <w:trHeight w:val="9037"/>
                      </w:trPr>
                      <w:tc>
                        <w:tcPr>
                          <w:tcW w:w="567" w:type="dxa"/>
                          <w:textDirection w:val="tbRl"/>
                          <w:vAlign w:val="center"/>
                        </w:tcPr>
                        <w:p w:rsidR="00BE6F5B" w:rsidRPr="00ED5D96" w:rsidRDefault="00BE6F5B"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B05CC8" w:rsidRDefault="00BE6F5B"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BE6F5B" w:rsidRPr="00B05CC8" w:rsidTr="00B05CC8">
                      <w:trPr>
                        <w:cantSplit/>
                        <w:trHeight w:val="737"/>
                      </w:trPr>
                      <w:tc>
                        <w:tcPr>
                          <w:tcW w:w="567" w:type="dxa"/>
                          <w:textDirection w:val="btLr"/>
                          <w:vAlign w:val="center"/>
                        </w:tcPr>
                        <w:p w:rsidR="00BE6F5B" w:rsidRPr="00B05CC8" w:rsidRDefault="00BE6F5B" w:rsidP="00B05CC8">
                          <w:pPr>
                            <w:ind w:left="113" w:right="113"/>
                            <w:rPr>
                              <w:rFonts w:asciiTheme="minorHAnsi" w:hAnsiTheme="minorHAnsi" w:cstheme="minorHAnsi"/>
                              <w:color w:val="009649"/>
                              <w:sz w:val="16"/>
                              <w:szCs w:val="16"/>
                            </w:rPr>
                          </w:pPr>
                        </w:p>
                      </w:tc>
                    </w:tr>
                  </w:tbl>
                  <w:p w:rsidR="00BE6F5B" w:rsidRPr="00B05CC8" w:rsidRDefault="00BE6F5B" w:rsidP="005A7714">
                    <w:pPr>
                      <w:rPr>
                        <w:rFonts w:asciiTheme="minorHAnsi" w:hAnsiTheme="minorHAnsi" w:cstheme="minorHAnsi"/>
                        <w:color w:val="009649"/>
                        <w:sz w:val="16"/>
                        <w:szCs w:val="16"/>
                      </w:rPr>
                    </w:pP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r>
      <w:rPr>
        <w:noProof/>
        <w:color w:val="000000"/>
        <w:sz w:val="24"/>
        <w:lang w:val="en-US" w:bidi="ar-SA"/>
      </w:rPr>
      <mc:AlternateContent>
        <mc:Choice Requires="wps">
          <w:drawing>
            <wp:anchor distT="0" distB="0" distL="114300" distR="114300" simplePos="0" relativeHeight="251761664" behindDoc="0" locked="0" layoutInCell="1" allowOverlap="1" wp14:anchorId="14516D51" wp14:editId="12DB77FF">
              <wp:simplePos x="0" y="0"/>
              <wp:positionH relativeFrom="page">
                <wp:posOffset>360045</wp:posOffset>
              </wp:positionH>
              <wp:positionV relativeFrom="margin">
                <wp:posOffset>-429895</wp:posOffset>
              </wp:positionV>
              <wp:extent cx="554400" cy="6818400"/>
              <wp:effectExtent l="0" t="0" r="0" b="1905"/>
              <wp:wrapNone/>
              <wp:docPr id="645" name="Надпись 645"/>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p>
                            </w:tc>
                          </w:tr>
                          <w:tr w:rsidR="00BE6F5B" w:rsidRPr="00B05CC8" w:rsidTr="00B05CC8">
                            <w:trPr>
                              <w:cantSplit/>
                              <w:trHeight w:val="90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BE6F5B" w:rsidRPr="00B05CC8" w:rsidTr="00B05CC8">
                            <w:trPr>
                              <w:cantSplit/>
                              <w:trHeight w:val="7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81</w:t>
                                </w:r>
                                <w:r w:rsidRPr="0066564C">
                                  <w:rPr>
                                    <w:rFonts w:asciiTheme="minorHAnsi" w:hAnsiTheme="minorHAnsi" w:cstheme="minorHAnsi"/>
                                    <w:color w:val="009649"/>
                                  </w:rPr>
                                  <w:fldChar w:fldCharType="end"/>
                                </w:r>
                              </w:p>
                            </w:tc>
                          </w:tr>
                        </w:tbl>
                        <w:p w:rsidR="00BE6F5B" w:rsidRPr="00B05CC8" w:rsidRDefault="00BE6F5B" w:rsidP="003B2A0F">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16D51" id="_x0000_t202" coordsize="21600,21600" o:spt="202" path="m,l,21600r21600,l21600,xe">
              <v:stroke joinstyle="miter"/>
              <v:path gradientshapeok="t" o:connecttype="rect"/>
            </v:shapetype>
            <v:shape id="Надпись 645" o:spid="_x0000_s1135" type="#_x0000_t202" style="position:absolute;margin-left:28.35pt;margin-top:-33.85pt;width:43.65pt;height:536.9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p>
                      </w:tc>
                    </w:tr>
                    <w:tr w:rsidR="00BE6F5B" w:rsidRPr="00B05CC8" w:rsidTr="00B05CC8">
                      <w:trPr>
                        <w:cantSplit/>
                        <w:trHeight w:val="90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BE6F5B" w:rsidRPr="00B05CC8" w:rsidTr="00B05CC8">
                      <w:trPr>
                        <w:cantSplit/>
                        <w:trHeight w:val="7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81</w:t>
                          </w:r>
                          <w:r w:rsidRPr="0066564C">
                            <w:rPr>
                              <w:rFonts w:asciiTheme="minorHAnsi" w:hAnsiTheme="minorHAnsi" w:cstheme="minorHAnsi"/>
                              <w:color w:val="009649"/>
                            </w:rPr>
                            <w:fldChar w:fldCharType="end"/>
                          </w:r>
                        </w:p>
                      </w:tc>
                    </w:tr>
                  </w:tbl>
                  <w:p w:rsidR="00BE6F5B" w:rsidRPr="00B05CC8" w:rsidRDefault="00BE6F5B" w:rsidP="003B2A0F">
                    <w:pPr>
                      <w:rPr>
                        <w:rFonts w:asciiTheme="minorHAnsi" w:hAnsiTheme="minorHAnsi" w:cstheme="minorHAnsi"/>
                        <w:color w:val="009649"/>
                        <w:sz w:val="16"/>
                        <w:szCs w:val="16"/>
                      </w:rPr>
                    </w:pPr>
                  </w:p>
                </w:txbxContent>
              </v:textbox>
              <w10:wrap anchorx="page" anchory="margin"/>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r>
      <w:rPr>
        <w:noProof/>
        <w:color w:val="000000"/>
        <w:sz w:val="24"/>
        <w:lang w:val="en-US" w:bidi="ar-SA"/>
      </w:rPr>
      <mc:AlternateContent>
        <mc:Choice Requires="wps">
          <w:drawing>
            <wp:anchor distT="0" distB="0" distL="114300" distR="114300" simplePos="0" relativeHeight="251763712" behindDoc="0" locked="0" layoutInCell="1" allowOverlap="1" wp14:anchorId="75322E75" wp14:editId="212D39B0">
              <wp:simplePos x="0" y="0"/>
              <wp:positionH relativeFrom="page">
                <wp:posOffset>360045</wp:posOffset>
              </wp:positionH>
              <wp:positionV relativeFrom="margin">
                <wp:posOffset>-428625</wp:posOffset>
              </wp:positionV>
              <wp:extent cx="554400" cy="6818400"/>
              <wp:effectExtent l="0" t="0" r="0" b="1905"/>
              <wp:wrapNone/>
              <wp:docPr id="646" name="Надпись 646"/>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82</w:t>
                                </w:r>
                                <w:r w:rsidRPr="0066564C">
                                  <w:rPr>
                                    <w:rFonts w:asciiTheme="minorHAnsi" w:hAnsiTheme="minorHAnsi" w:cstheme="minorHAnsi"/>
                                    <w:color w:val="009649"/>
                                  </w:rPr>
                                  <w:fldChar w:fldCharType="end"/>
                                </w:r>
                              </w:p>
                            </w:tc>
                          </w:tr>
                          <w:tr w:rsidR="00BE6F5B" w:rsidRPr="00B05CC8" w:rsidTr="00B05CC8">
                            <w:trPr>
                              <w:cantSplit/>
                              <w:trHeight w:val="9037"/>
                            </w:trPr>
                            <w:tc>
                              <w:tcPr>
                                <w:tcW w:w="567" w:type="dxa"/>
                                <w:textDirection w:val="tbRl"/>
                                <w:vAlign w:val="center"/>
                              </w:tcPr>
                              <w:p w:rsidR="00BE6F5B" w:rsidRPr="00ED5D96" w:rsidRDefault="00BE6F5B"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B05CC8" w:rsidRDefault="00BE6F5B"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BE6F5B" w:rsidRPr="00B05CC8" w:rsidTr="00B05CC8">
                            <w:trPr>
                              <w:cantSplit/>
                              <w:trHeight w:val="737"/>
                            </w:trPr>
                            <w:tc>
                              <w:tcPr>
                                <w:tcW w:w="567" w:type="dxa"/>
                                <w:textDirection w:val="btLr"/>
                                <w:vAlign w:val="center"/>
                              </w:tcPr>
                              <w:p w:rsidR="00BE6F5B" w:rsidRPr="00B05CC8" w:rsidRDefault="00BE6F5B" w:rsidP="00B05CC8">
                                <w:pPr>
                                  <w:ind w:left="113" w:right="113"/>
                                  <w:rPr>
                                    <w:rFonts w:asciiTheme="minorHAnsi" w:hAnsiTheme="minorHAnsi" w:cstheme="minorHAnsi"/>
                                    <w:color w:val="009649"/>
                                    <w:sz w:val="16"/>
                                    <w:szCs w:val="16"/>
                                  </w:rPr>
                                </w:pPr>
                              </w:p>
                            </w:tc>
                          </w:tr>
                        </w:tbl>
                        <w:p w:rsidR="00BE6F5B" w:rsidRPr="00B05CC8" w:rsidRDefault="00BE6F5B" w:rsidP="003B2A0F">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22E75" id="_x0000_t202" coordsize="21600,21600" o:spt="202" path="m,l,21600r21600,l21600,xe">
              <v:stroke joinstyle="miter"/>
              <v:path gradientshapeok="t" o:connecttype="rect"/>
            </v:shapetype>
            <v:shape id="Надпись 646" o:spid="_x0000_s1136" type="#_x0000_t202" style="position:absolute;margin-left:28.35pt;margin-top:-33.75pt;width:43.65pt;height:536.9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82</w:t>
                          </w:r>
                          <w:r w:rsidRPr="0066564C">
                            <w:rPr>
                              <w:rFonts w:asciiTheme="minorHAnsi" w:hAnsiTheme="minorHAnsi" w:cstheme="minorHAnsi"/>
                              <w:color w:val="009649"/>
                            </w:rPr>
                            <w:fldChar w:fldCharType="end"/>
                          </w:r>
                        </w:p>
                      </w:tc>
                    </w:tr>
                    <w:tr w:rsidR="00BE6F5B" w:rsidRPr="00B05CC8" w:rsidTr="00B05CC8">
                      <w:trPr>
                        <w:cantSplit/>
                        <w:trHeight w:val="9037"/>
                      </w:trPr>
                      <w:tc>
                        <w:tcPr>
                          <w:tcW w:w="567" w:type="dxa"/>
                          <w:textDirection w:val="tbRl"/>
                          <w:vAlign w:val="center"/>
                        </w:tcPr>
                        <w:p w:rsidR="00BE6F5B" w:rsidRPr="00ED5D96" w:rsidRDefault="00BE6F5B"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B05CC8" w:rsidRDefault="00BE6F5B"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BE6F5B" w:rsidRPr="00B05CC8" w:rsidTr="00B05CC8">
                      <w:trPr>
                        <w:cantSplit/>
                        <w:trHeight w:val="737"/>
                      </w:trPr>
                      <w:tc>
                        <w:tcPr>
                          <w:tcW w:w="567" w:type="dxa"/>
                          <w:textDirection w:val="btLr"/>
                          <w:vAlign w:val="center"/>
                        </w:tcPr>
                        <w:p w:rsidR="00BE6F5B" w:rsidRPr="00B05CC8" w:rsidRDefault="00BE6F5B" w:rsidP="00B05CC8">
                          <w:pPr>
                            <w:ind w:left="113" w:right="113"/>
                            <w:rPr>
                              <w:rFonts w:asciiTheme="minorHAnsi" w:hAnsiTheme="minorHAnsi" w:cstheme="minorHAnsi"/>
                              <w:color w:val="009649"/>
                              <w:sz w:val="16"/>
                              <w:szCs w:val="16"/>
                            </w:rPr>
                          </w:pPr>
                        </w:p>
                      </w:tc>
                    </w:tr>
                  </w:tbl>
                  <w:p w:rsidR="00BE6F5B" w:rsidRPr="00B05CC8" w:rsidRDefault="00BE6F5B" w:rsidP="003B2A0F">
                    <w:pPr>
                      <w:rPr>
                        <w:rFonts w:asciiTheme="minorHAnsi" w:hAnsiTheme="minorHAnsi" w:cstheme="minorHAnsi"/>
                        <w:color w:val="009649"/>
                        <w:sz w:val="16"/>
                        <w:szCs w:val="16"/>
                      </w:rPr>
                    </w:pPr>
                  </w:p>
                </w:txbxContent>
              </v:textbox>
              <w10:wrap anchorx="page" anchory="margin"/>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r>
      <w:rPr>
        <w:noProof/>
        <w:color w:val="000000"/>
        <w:sz w:val="24"/>
        <w:lang w:val="en-US" w:bidi="ar-SA"/>
      </w:rPr>
      <mc:AlternateContent>
        <mc:Choice Requires="wps">
          <w:drawing>
            <wp:anchor distT="0" distB="0" distL="114300" distR="114300" simplePos="0" relativeHeight="251767808" behindDoc="0" locked="0" layoutInCell="1" allowOverlap="1" wp14:anchorId="5A996CAD" wp14:editId="4AEAFF17">
              <wp:simplePos x="0" y="0"/>
              <wp:positionH relativeFrom="page">
                <wp:posOffset>360045</wp:posOffset>
              </wp:positionH>
              <wp:positionV relativeFrom="margin">
                <wp:posOffset>-428625</wp:posOffset>
              </wp:positionV>
              <wp:extent cx="554400" cy="6818400"/>
              <wp:effectExtent l="0" t="0" r="0" b="1905"/>
              <wp:wrapNone/>
              <wp:docPr id="648" name="Надпись 648"/>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86</w:t>
                                </w:r>
                                <w:r w:rsidRPr="0066564C">
                                  <w:rPr>
                                    <w:rFonts w:asciiTheme="minorHAnsi" w:hAnsiTheme="minorHAnsi" w:cstheme="minorHAnsi"/>
                                    <w:color w:val="009649"/>
                                  </w:rPr>
                                  <w:fldChar w:fldCharType="end"/>
                                </w:r>
                              </w:p>
                            </w:tc>
                          </w:tr>
                          <w:tr w:rsidR="00BE6F5B" w:rsidRPr="00B05CC8" w:rsidTr="00B05CC8">
                            <w:trPr>
                              <w:cantSplit/>
                              <w:trHeight w:val="9037"/>
                            </w:trPr>
                            <w:tc>
                              <w:tcPr>
                                <w:tcW w:w="567" w:type="dxa"/>
                                <w:textDirection w:val="tbRl"/>
                                <w:vAlign w:val="center"/>
                              </w:tcPr>
                              <w:p w:rsidR="00BE6F5B" w:rsidRPr="00ED5D96" w:rsidRDefault="00BE6F5B"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B05CC8" w:rsidRDefault="00BE6F5B"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BE6F5B" w:rsidRPr="00B05CC8" w:rsidTr="00B05CC8">
                            <w:trPr>
                              <w:cantSplit/>
                              <w:trHeight w:val="737"/>
                            </w:trPr>
                            <w:tc>
                              <w:tcPr>
                                <w:tcW w:w="567" w:type="dxa"/>
                                <w:textDirection w:val="btLr"/>
                                <w:vAlign w:val="center"/>
                              </w:tcPr>
                              <w:p w:rsidR="00BE6F5B" w:rsidRPr="00B05CC8" w:rsidRDefault="00BE6F5B" w:rsidP="00B05CC8">
                                <w:pPr>
                                  <w:ind w:left="113" w:right="113"/>
                                  <w:rPr>
                                    <w:rFonts w:asciiTheme="minorHAnsi" w:hAnsiTheme="minorHAnsi" w:cstheme="minorHAnsi"/>
                                    <w:color w:val="009649"/>
                                    <w:sz w:val="16"/>
                                    <w:szCs w:val="16"/>
                                  </w:rPr>
                                </w:pPr>
                              </w:p>
                            </w:tc>
                          </w:tr>
                        </w:tbl>
                        <w:p w:rsidR="00BE6F5B" w:rsidRPr="00B05CC8" w:rsidRDefault="00BE6F5B" w:rsidP="003B2A0F">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96CAD" id="_x0000_t202" coordsize="21600,21600" o:spt="202" path="m,l,21600r21600,l21600,xe">
              <v:stroke joinstyle="miter"/>
              <v:path gradientshapeok="t" o:connecttype="rect"/>
            </v:shapetype>
            <v:shape id="Надпись 648" o:spid="_x0000_s1139" type="#_x0000_t202" style="position:absolute;margin-left:28.35pt;margin-top:-33.75pt;width:43.65pt;height:536.9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86</w:t>
                          </w:r>
                          <w:r w:rsidRPr="0066564C">
                            <w:rPr>
                              <w:rFonts w:asciiTheme="minorHAnsi" w:hAnsiTheme="minorHAnsi" w:cstheme="minorHAnsi"/>
                              <w:color w:val="009649"/>
                            </w:rPr>
                            <w:fldChar w:fldCharType="end"/>
                          </w:r>
                        </w:p>
                      </w:tc>
                    </w:tr>
                    <w:tr w:rsidR="00BE6F5B" w:rsidRPr="00B05CC8" w:rsidTr="00B05CC8">
                      <w:trPr>
                        <w:cantSplit/>
                        <w:trHeight w:val="9037"/>
                      </w:trPr>
                      <w:tc>
                        <w:tcPr>
                          <w:tcW w:w="567" w:type="dxa"/>
                          <w:textDirection w:val="tbRl"/>
                          <w:vAlign w:val="center"/>
                        </w:tcPr>
                        <w:p w:rsidR="00BE6F5B" w:rsidRPr="00ED5D96" w:rsidRDefault="00BE6F5B"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B05CC8" w:rsidRDefault="00BE6F5B"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BE6F5B" w:rsidRPr="00B05CC8" w:rsidTr="00B05CC8">
                      <w:trPr>
                        <w:cantSplit/>
                        <w:trHeight w:val="737"/>
                      </w:trPr>
                      <w:tc>
                        <w:tcPr>
                          <w:tcW w:w="567" w:type="dxa"/>
                          <w:textDirection w:val="btLr"/>
                          <w:vAlign w:val="center"/>
                        </w:tcPr>
                        <w:p w:rsidR="00BE6F5B" w:rsidRPr="00B05CC8" w:rsidRDefault="00BE6F5B" w:rsidP="00B05CC8">
                          <w:pPr>
                            <w:ind w:left="113" w:right="113"/>
                            <w:rPr>
                              <w:rFonts w:asciiTheme="minorHAnsi" w:hAnsiTheme="minorHAnsi" w:cstheme="minorHAnsi"/>
                              <w:color w:val="009649"/>
                              <w:sz w:val="16"/>
                              <w:szCs w:val="16"/>
                            </w:rPr>
                          </w:pPr>
                        </w:p>
                      </w:tc>
                    </w:tr>
                  </w:tbl>
                  <w:p w:rsidR="00BE6F5B" w:rsidRPr="00B05CC8" w:rsidRDefault="00BE6F5B" w:rsidP="003B2A0F">
                    <w:pPr>
                      <w:rPr>
                        <w:rFonts w:asciiTheme="minorHAnsi" w:hAnsiTheme="minorHAnsi" w:cstheme="minorHAnsi"/>
                        <w:color w:val="009649"/>
                        <w:sz w:val="16"/>
                        <w:szCs w:val="16"/>
                      </w:rPr>
                    </w:pPr>
                  </w:p>
                </w:txbxContent>
              </v:textbox>
              <w10:wrap anchorx="page" anchory="margin"/>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r>
      <w:rPr>
        <w:noProof/>
        <w:color w:val="000000"/>
        <w:sz w:val="24"/>
        <w:lang w:val="en-US" w:bidi="ar-SA"/>
      </w:rPr>
      <mc:AlternateContent>
        <mc:Choice Requires="wps">
          <w:drawing>
            <wp:anchor distT="0" distB="0" distL="114300" distR="114300" simplePos="0" relativeHeight="251769856" behindDoc="0" locked="0" layoutInCell="1" allowOverlap="1" wp14:anchorId="11CB3B81" wp14:editId="3CB67FA8">
              <wp:simplePos x="0" y="0"/>
              <wp:positionH relativeFrom="page">
                <wp:posOffset>360045</wp:posOffset>
              </wp:positionH>
              <wp:positionV relativeFrom="margin">
                <wp:posOffset>-428625</wp:posOffset>
              </wp:positionV>
              <wp:extent cx="554400" cy="6818400"/>
              <wp:effectExtent l="0" t="0" r="0" b="1905"/>
              <wp:wrapNone/>
              <wp:docPr id="647" name="Надпись 647"/>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p>
                            </w:tc>
                          </w:tr>
                          <w:tr w:rsidR="00BE6F5B" w:rsidRPr="00B05CC8" w:rsidTr="00B05CC8">
                            <w:trPr>
                              <w:cantSplit/>
                              <w:trHeight w:val="90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BE6F5B" w:rsidRPr="00B05CC8" w:rsidTr="00B05CC8">
                            <w:trPr>
                              <w:cantSplit/>
                              <w:trHeight w:val="7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85</w:t>
                                </w:r>
                                <w:r w:rsidRPr="0066564C">
                                  <w:rPr>
                                    <w:rFonts w:asciiTheme="minorHAnsi" w:hAnsiTheme="minorHAnsi" w:cstheme="minorHAnsi"/>
                                    <w:color w:val="009649"/>
                                  </w:rPr>
                                  <w:fldChar w:fldCharType="end"/>
                                </w:r>
                              </w:p>
                            </w:tc>
                          </w:tr>
                        </w:tbl>
                        <w:p w:rsidR="00BE6F5B" w:rsidRPr="00B05CC8" w:rsidRDefault="00BE6F5B" w:rsidP="003B2A0F">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B3B81" id="_x0000_t202" coordsize="21600,21600" o:spt="202" path="m,l,21600r21600,l21600,xe">
              <v:stroke joinstyle="miter"/>
              <v:path gradientshapeok="t" o:connecttype="rect"/>
            </v:shapetype>
            <v:shape id="Надпись 647" o:spid="_x0000_s1141" type="#_x0000_t202" style="position:absolute;margin-left:28.35pt;margin-top:-33.75pt;width:43.65pt;height:536.9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p>
                      </w:tc>
                    </w:tr>
                    <w:tr w:rsidR="00BE6F5B" w:rsidRPr="00B05CC8" w:rsidTr="00B05CC8">
                      <w:trPr>
                        <w:cantSplit/>
                        <w:trHeight w:val="90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BE6F5B" w:rsidRPr="00B05CC8" w:rsidTr="00B05CC8">
                      <w:trPr>
                        <w:cantSplit/>
                        <w:trHeight w:val="7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85</w:t>
                          </w:r>
                          <w:r w:rsidRPr="0066564C">
                            <w:rPr>
                              <w:rFonts w:asciiTheme="minorHAnsi" w:hAnsiTheme="minorHAnsi" w:cstheme="minorHAnsi"/>
                              <w:color w:val="009649"/>
                            </w:rPr>
                            <w:fldChar w:fldCharType="end"/>
                          </w:r>
                        </w:p>
                      </w:tc>
                    </w:tr>
                  </w:tbl>
                  <w:p w:rsidR="00BE6F5B" w:rsidRPr="00B05CC8" w:rsidRDefault="00BE6F5B" w:rsidP="003B2A0F">
                    <w:pPr>
                      <w:rPr>
                        <w:rFonts w:asciiTheme="minorHAnsi" w:hAnsiTheme="minorHAnsi" w:cstheme="minorHAnsi"/>
                        <w:color w:val="009649"/>
                        <w:sz w:val="16"/>
                        <w:szCs w:val="16"/>
                      </w:rPr>
                    </w:pPr>
                  </w:p>
                </w:txbxContent>
              </v:textbox>
              <w10:wrap anchorx="page" anchory="margin"/>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r>
      <w:rPr>
        <w:noProof/>
        <w:color w:val="000000"/>
        <w:sz w:val="24"/>
        <w:lang w:val="en-US" w:bidi="ar-SA"/>
      </w:rPr>
      <mc:AlternateContent>
        <mc:Choice Requires="wps">
          <w:drawing>
            <wp:anchor distT="0" distB="0" distL="114300" distR="114300" simplePos="0" relativeHeight="251720704" behindDoc="0" locked="0" layoutInCell="1" allowOverlap="1" wp14:anchorId="2116928A" wp14:editId="7A007FD6">
              <wp:simplePos x="0" y="0"/>
              <wp:positionH relativeFrom="page">
                <wp:posOffset>360045</wp:posOffset>
              </wp:positionH>
              <wp:positionV relativeFrom="margin">
                <wp:posOffset>-429895</wp:posOffset>
              </wp:positionV>
              <wp:extent cx="554400" cy="6818400"/>
              <wp:effectExtent l="0" t="0" r="0" b="1905"/>
              <wp:wrapNone/>
              <wp:docPr id="625" name="Надпись 625"/>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p>
                            </w:tc>
                          </w:tr>
                          <w:tr w:rsidR="00BE6F5B" w:rsidRPr="00B05CC8" w:rsidTr="00B05CC8">
                            <w:trPr>
                              <w:cantSplit/>
                              <w:trHeight w:val="90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BE6F5B" w:rsidRPr="00B05CC8" w:rsidTr="00B05CC8">
                            <w:trPr>
                              <w:cantSplit/>
                              <w:trHeight w:val="7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33</w:t>
                                </w:r>
                                <w:r w:rsidRPr="0066564C">
                                  <w:rPr>
                                    <w:rFonts w:asciiTheme="minorHAnsi" w:hAnsiTheme="minorHAnsi" w:cstheme="minorHAnsi"/>
                                    <w:color w:val="009649"/>
                                  </w:rPr>
                                  <w:fldChar w:fldCharType="end"/>
                                </w:r>
                              </w:p>
                            </w:tc>
                          </w:tr>
                        </w:tbl>
                        <w:p w:rsidR="00BE6F5B" w:rsidRPr="00B05CC8" w:rsidRDefault="00BE6F5B" w:rsidP="00B05CC8">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6928A" id="_x0000_t202" coordsize="21600,21600" o:spt="202" path="m,l,21600r21600,l21600,xe">
              <v:stroke joinstyle="miter"/>
              <v:path gradientshapeok="t" o:connecttype="rect"/>
            </v:shapetype>
            <v:shape id="Надпись 625" o:spid="_x0000_s1124" type="#_x0000_t202" style="position:absolute;margin-left:28.35pt;margin-top:-33.85pt;width:43.65pt;height:536.9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p>
                      </w:tc>
                    </w:tr>
                    <w:tr w:rsidR="00BE6F5B" w:rsidRPr="00B05CC8" w:rsidTr="00B05CC8">
                      <w:trPr>
                        <w:cantSplit/>
                        <w:trHeight w:val="90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BE6F5B" w:rsidRPr="00B05CC8" w:rsidTr="00B05CC8">
                      <w:trPr>
                        <w:cantSplit/>
                        <w:trHeight w:val="7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33</w:t>
                          </w:r>
                          <w:r w:rsidRPr="0066564C">
                            <w:rPr>
                              <w:rFonts w:asciiTheme="minorHAnsi" w:hAnsiTheme="minorHAnsi" w:cstheme="minorHAnsi"/>
                              <w:color w:val="009649"/>
                            </w:rPr>
                            <w:fldChar w:fldCharType="end"/>
                          </w:r>
                        </w:p>
                      </w:tc>
                    </w:tr>
                  </w:tbl>
                  <w:p w:rsidR="00BE6F5B" w:rsidRPr="00B05CC8" w:rsidRDefault="00BE6F5B" w:rsidP="00B05CC8">
                    <w:pPr>
                      <w:rPr>
                        <w:rFonts w:asciiTheme="minorHAnsi" w:hAnsiTheme="minorHAnsi" w:cstheme="minorHAnsi"/>
                        <w:color w:val="009649"/>
                        <w:sz w:val="16"/>
                        <w:szCs w:val="16"/>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r>
      <w:rPr>
        <w:noProof/>
        <w:color w:val="000000"/>
        <w:sz w:val="24"/>
        <w:lang w:val="en-US" w:bidi="ar-SA"/>
      </w:rPr>
      <mc:AlternateContent>
        <mc:Choice Requires="wps">
          <w:drawing>
            <wp:anchor distT="0" distB="0" distL="114300" distR="114300" simplePos="0" relativeHeight="251730944" behindDoc="0" locked="0" layoutInCell="1" allowOverlap="1" wp14:anchorId="6A615DF3" wp14:editId="345E173C">
              <wp:simplePos x="0" y="0"/>
              <wp:positionH relativeFrom="page">
                <wp:posOffset>360045</wp:posOffset>
              </wp:positionH>
              <wp:positionV relativeFrom="margin">
                <wp:posOffset>-428625</wp:posOffset>
              </wp:positionV>
              <wp:extent cx="554400" cy="6818400"/>
              <wp:effectExtent l="0" t="0" r="0" b="1905"/>
              <wp:wrapNone/>
              <wp:docPr id="630" name="Надпись 630"/>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p>
                            </w:tc>
                          </w:tr>
                          <w:tr w:rsidR="00BE6F5B" w:rsidRPr="00B05CC8" w:rsidTr="00B05CC8">
                            <w:trPr>
                              <w:cantSplit/>
                              <w:trHeight w:val="90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BE6F5B" w:rsidRPr="00B05CC8" w:rsidTr="00B05CC8">
                            <w:trPr>
                              <w:cantSplit/>
                              <w:trHeight w:val="7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39</w:t>
                                </w:r>
                                <w:r w:rsidRPr="0066564C">
                                  <w:rPr>
                                    <w:rFonts w:asciiTheme="minorHAnsi" w:hAnsiTheme="minorHAnsi" w:cstheme="minorHAnsi"/>
                                    <w:color w:val="009649"/>
                                  </w:rPr>
                                  <w:fldChar w:fldCharType="end"/>
                                </w:r>
                              </w:p>
                            </w:tc>
                          </w:tr>
                        </w:tbl>
                        <w:p w:rsidR="00BE6F5B" w:rsidRPr="00B05CC8" w:rsidRDefault="00BE6F5B" w:rsidP="005D43E4">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15DF3" id="_x0000_t202" coordsize="21600,21600" o:spt="202" path="m,l,21600r21600,l21600,xe">
              <v:stroke joinstyle="miter"/>
              <v:path gradientshapeok="t" o:connecttype="rect"/>
            </v:shapetype>
            <v:shape id="Надпись 630" o:spid="_x0000_s1127" type="#_x0000_t202" style="position:absolute;margin-left:28.35pt;margin-top:-33.75pt;width:43.65pt;height:536.9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p>
                      </w:tc>
                    </w:tr>
                    <w:tr w:rsidR="00BE6F5B" w:rsidRPr="00B05CC8" w:rsidTr="00B05CC8">
                      <w:trPr>
                        <w:cantSplit/>
                        <w:trHeight w:val="90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BE6F5B" w:rsidRPr="00B05CC8" w:rsidTr="00B05CC8">
                      <w:trPr>
                        <w:cantSplit/>
                        <w:trHeight w:val="7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39</w:t>
                          </w:r>
                          <w:r w:rsidRPr="0066564C">
                            <w:rPr>
                              <w:rFonts w:asciiTheme="minorHAnsi" w:hAnsiTheme="minorHAnsi" w:cstheme="minorHAnsi"/>
                              <w:color w:val="009649"/>
                            </w:rPr>
                            <w:fldChar w:fldCharType="end"/>
                          </w:r>
                        </w:p>
                      </w:tc>
                    </w:tr>
                  </w:tbl>
                  <w:p w:rsidR="00BE6F5B" w:rsidRPr="00B05CC8" w:rsidRDefault="00BE6F5B" w:rsidP="005D43E4">
                    <w:pPr>
                      <w:rPr>
                        <w:rFonts w:asciiTheme="minorHAnsi" w:hAnsiTheme="minorHAnsi" w:cstheme="minorHAnsi"/>
                        <w:color w:val="009649"/>
                        <w:sz w:val="16"/>
                        <w:szCs w:val="16"/>
                      </w:rPr>
                    </w:pP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r>
      <w:rPr>
        <w:noProof/>
        <w:color w:val="000000"/>
        <w:sz w:val="24"/>
        <w:lang w:val="en-US" w:bidi="ar-SA"/>
      </w:rPr>
      <mc:AlternateContent>
        <mc:Choice Requires="wps">
          <w:drawing>
            <wp:anchor distT="0" distB="0" distL="114300" distR="114300" simplePos="0" relativeHeight="251732992" behindDoc="0" locked="0" layoutInCell="1" allowOverlap="1" wp14:anchorId="58331B98" wp14:editId="3BB688C9">
              <wp:simplePos x="0" y="0"/>
              <wp:positionH relativeFrom="page">
                <wp:posOffset>360045</wp:posOffset>
              </wp:positionH>
              <wp:positionV relativeFrom="margin">
                <wp:posOffset>-428625</wp:posOffset>
              </wp:positionV>
              <wp:extent cx="554400" cy="6818400"/>
              <wp:effectExtent l="0" t="0" r="0" b="1905"/>
              <wp:wrapNone/>
              <wp:docPr id="631" name="Надпись 631"/>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42</w:t>
                                </w:r>
                                <w:r w:rsidRPr="0066564C">
                                  <w:rPr>
                                    <w:rFonts w:asciiTheme="minorHAnsi" w:hAnsiTheme="minorHAnsi" w:cstheme="minorHAnsi"/>
                                    <w:color w:val="009649"/>
                                  </w:rPr>
                                  <w:fldChar w:fldCharType="end"/>
                                </w:r>
                              </w:p>
                            </w:tc>
                          </w:tr>
                          <w:tr w:rsidR="00BE6F5B" w:rsidRPr="00B05CC8" w:rsidTr="00B05CC8">
                            <w:trPr>
                              <w:cantSplit/>
                              <w:trHeight w:val="9037"/>
                            </w:trPr>
                            <w:tc>
                              <w:tcPr>
                                <w:tcW w:w="567" w:type="dxa"/>
                                <w:textDirection w:val="tbRl"/>
                                <w:vAlign w:val="center"/>
                              </w:tcPr>
                              <w:p w:rsidR="00BE6F5B" w:rsidRPr="00ED5D96" w:rsidRDefault="00BE6F5B"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B05CC8" w:rsidRDefault="00BE6F5B"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BE6F5B" w:rsidRPr="00B05CC8" w:rsidTr="00B05CC8">
                            <w:trPr>
                              <w:cantSplit/>
                              <w:trHeight w:val="737"/>
                            </w:trPr>
                            <w:tc>
                              <w:tcPr>
                                <w:tcW w:w="567" w:type="dxa"/>
                                <w:textDirection w:val="btLr"/>
                                <w:vAlign w:val="center"/>
                              </w:tcPr>
                              <w:p w:rsidR="00BE6F5B" w:rsidRPr="00B05CC8" w:rsidRDefault="00BE6F5B" w:rsidP="00B05CC8">
                                <w:pPr>
                                  <w:ind w:left="113" w:right="113"/>
                                  <w:rPr>
                                    <w:rFonts w:asciiTheme="minorHAnsi" w:hAnsiTheme="minorHAnsi" w:cstheme="minorHAnsi"/>
                                    <w:color w:val="009649"/>
                                    <w:sz w:val="16"/>
                                    <w:szCs w:val="16"/>
                                  </w:rPr>
                                </w:pPr>
                              </w:p>
                            </w:tc>
                          </w:tr>
                        </w:tbl>
                        <w:p w:rsidR="00BE6F5B" w:rsidRPr="00B05CC8" w:rsidRDefault="00BE6F5B" w:rsidP="005D43E4">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31B98" id="_x0000_t202" coordsize="21600,21600" o:spt="202" path="m,l,21600r21600,l21600,xe">
              <v:stroke joinstyle="miter"/>
              <v:path gradientshapeok="t" o:connecttype="rect"/>
            </v:shapetype>
            <v:shape id="Надпись 631" o:spid="_x0000_s1128" type="#_x0000_t202" style="position:absolute;margin-left:28.35pt;margin-top:-33.75pt;width:43.65pt;height:536.9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42</w:t>
                          </w:r>
                          <w:r w:rsidRPr="0066564C">
                            <w:rPr>
                              <w:rFonts w:asciiTheme="minorHAnsi" w:hAnsiTheme="minorHAnsi" w:cstheme="minorHAnsi"/>
                              <w:color w:val="009649"/>
                            </w:rPr>
                            <w:fldChar w:fldCharType="end"/>
                          </w:r>
                        </w:p>
                      </w:tc>
                    </w:tr>
                    <w:tr w:rsidR="00BE6F5B" w:rsidRPr="00B05CC8" w:rsidTr="00B05CC8">
                      <w:trPr>
                        <w:cantSplit/>
                        <w:trHeight w:val="9037"/>
                      </w:trPr>
                      <w:tc>
                        <w:tcPr>
                          <w:tcW w:w="567" w:type="dxa"/>
                          <w:textDirection w:val="tbRl"/>
                          <w:vAlign w:val="center"/>
                        </w:tcPr>
                        <w:p w:rsidR="00BE6F5B" w:rsidRPr="00ED5D96" w:rsidRDefault="00BE6F5B" w:rsidP="00B05CC8">
                          <w:pPr>
                            <w:rPr>
                              <w:rFonts w:asciiTheme="minorHAnsi" w:hAnsiTheme="minorHAnsi" w:cstheme="minorHAnsi"/>
                              <w:color w:val="009649"/>
                            </w:rPr>
                          </w:pPr>
                          <w:r>
                            <w:rPr>
                              <w:rFonts w:asciiTheme="minorHAnsi" w:hAnsiTheme="minorHAnsi"/>
                              <w:color w:val="009649"/>
                            </w:rPr>
                            <w:t xml:space="preserve">Консолідовані </w:t>
                          </w:r>
                          <w:r>
                            <w:rPr>
                              <w:rFonts w:asciiTheme="minorHAnsi" w:hAnsiTheme="minorHAnsi"/>
                              <w:color w:val="FF0000"/>
                            </w:rPr>
                            <w:t xml:space="preserve">настанови </w:t>
                          </w:r>
                          <w:r>
                            <w:rPr>
                              <w:rFonts w:asciiTheme="minorHAnsi" w:hAnsiTheme="minorHAnsi"/>
                              <w:color w:val="009649"/>
                            </w:rPr>
                            <w:t>ВООЗ із туберкульозу:</w:t>
                          </w:r>
                        </w:p>
                        <w:p w:rsidR="00BE6F5B" w:rsidRPr="00B05CC8" w:rsidRDefault="00BE6F5B" w:rsidP="00B05CC8">
                          <w:pPr>
                            <w:rPr>
                              <w:rFonts w:asciiTheme="minorHAnsi" w:hAnsiTheme="minorHAnsi" w:cstheme="minorHAnsi"/>
                              <w:color w:val="009649"/>
                              <w:sz w:val="16"/>
                              <w:szCs w:val="16"/>
                            </w:rPr>
                          </w:pPr>
                          <w:r>
                            <w:rPr>
                              <w:rFonts w:asciiTheme="minorHAnsi" w:hAnsiTheme="minorHAnsi"/>
                              <w:color w:val="009649"/>
                            </w:rPr>
                            <w:t>швидка діагностика для виявлення туберкульозу</w:t>
                          </w:r>
                        </w:p>
                      </w:tc>
                    </w:tr>
                    <w:tr w:rsidR="00BE6F5B" w:rsidRPr="00B05CC8" w:rsidTr="00B05CC8">
                      <w:trPr>
                        <w:cantSplit/>
                        <w:trHeight w:val="737"/>
                      </w:trPr>
                      <w:tc>
                        <w:tcPr>
                          <w:tcW w:w="567" w:type="dxa"/>
                          <w:textDirection w:val="btLr"/>
                          <w:vAlign w:val="center"/>
                        </w:tcPr>
                        <w:p w:rsidR="00BE6F5B" w:rsidRPr="00B05CC8" w:rsidRDefault="00BE6F5B" w:rsidP="00B05CC8">
                          <w:pPr>
                            <w:ind w:left="113" w:right="113"/>
                            <w:rPr>
                              <w:rFonts w:asciiTheme="minorHAnsi" w:hAnsiTheme="minorHAnsi" w:cstheme="minorHAnsi"/>
                              <w:color w:val="009649"/>
                              <w:sz w:val="16"/>
                              <w:szCs w:val="16"/>
                            </w:rPr>
                          </w:pPr>
                        </w:p>
                      </w:tc>
                    </w:tr>
                  </w:tbl>
                  <w:p w:rsidR="00BE6F5B" w:rsidRPr="00B05CC8" w:rsidRDefault="00BE6F5B" w:rsidP="005D43E4">
                    <w:pPr>
                      <w:rPr>
                        <w:rFonts w:asciiTheme="minorHAnsi" w:hAnsiTheme="minorHAnsi" w:cstheme="minorHAnsi"/>
                        <w:color w:val="009649"/>
                        <w:sz w:val="16"/>
                        <w:szCs w:val="16"/>
                      </w:rPr>
                    </w:pP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F5B" w:rsidRDefault="00BE6F5B">
    <w:pPr>
      <w:pStyle w:val="a5"/>
    </w:pPr>
    <w:r>
      <w:rPr>
        <w:noProof/>
        <w:color w:val="000000"/>
        <w:sz w:val="24"/>
        <w:lang w:val="en-US" w:bidi="ar-SA"/>
      </w:rPr>
      <mc:AlternateContent>
        <mc:Choice Requires="wps">
          <w:drawing>
            <wp:anchor distT="0" distB="0" distL="114300" distR="114300" simplePos="0" relativeHeight="251745280" behindDoc="0" locked="0" layoutInCell="1" allowOverlap="1" wp14:anchorId="14516D51" wp14:editId="12DB77FF">
              <wp:simplePos x="0" y="0"/>
              <wp:positionH relativeFrom="page">
                <wp:posOffset>360045</wp:posOffset>
              </wp:positionH>
              <wp:positionV relativeFrom="margin">
                <wp:posOffset>-428625</wp:posOffset>
              </wp:positionV>
              <wp:extent cx="554400" cy="6818400"/>
              <wp:effectExtent l="0" t="0" r="0" b="1905"/>
              <wp:wrapNone/>
              <wp:docPr id="637" name="Надпись 637"/>
              <wp:cNvGraphicFramePr/>
              <a:graphic xmlns:a="http://schemas.openxmlformats.org/drawingml/2006/main">
                <a:graphicData uri="http://schemas.microsoft.com/office/word/2010/wordprocessingShape">
                  <wps:wsp>
                    <wps:cNvSpPr txBox="1"/>
                    <wps:spPr>
                      <a:xfrm>
                        <a:off x="0" y="0"/>
                        <a:ext cx="554400" cy="6818400"/>
                      </a:xfrm>
                      <a:prstGeom prst="rect">
                        <a:avLst/>
                      </a:prstGeom>
                      <a:solidFill>
                        <a:schemeClr val="lt1"/>
                      </a:solidFill>
                      <a:ln w="6350">
                        <a:noFill/>
                      </a:ln>
                    </wps:spPr>
                    <wps:txbx>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p>
                            </w:tc>
                          </w:tr>
                          <w:tr w:rsidR="00BE6F5B" w:rsidRPr="00B05CC8" w:rsidTr="00B05CC8">
                            <w:trPr>
                              <w:cantSplit/>
                              <w:trHeight w:val="90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BE6F5B" w:rsidRPr="00B05CC8" w:rsidTr="00B05CC8">
                            <w:trPr>
                              <w:cantSplit/>
                              <w:trHeight w:val="7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47</w:t>
                                </w:r>
                                <w:r w:rsidRPr="0066564C">
                                  <w:rPr>
                                    <w:rFonts w:asciiTheme="minorHAnsi" w:hAnsiTheme="minorHAnsi" w:cstheme="minorHAnsi"/>
                                    <w:color w:val="009649"/>
                                  </w:rPr>
                                  <w:fldChar w:fldCharType="end"/>
                                </w:r>
                              </w:p>
                            </w:tc>
                          </w:tr>
                        </w:tbl>
                        <w:p w:rsidR="00BE6F5B" w:rsidRPr="00B05CC8" w:rsidRDefault="00BE6F5B" w:rsidP="005A7714">
                          <w:pPr>
                            <w:rPr>
                              <w:rFonts w:asciiTheme="minorHAnsi" w:hAnsiTheme="minorHAnsi" w:cstheme="minorHAnsi"/>
                              <w:color w:val="009649"/>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16D51" id="_x0000_t202" coordsize="21600,21600" o:spt="202" path="m,l,21600r21600,l21600,xe">
              <v:stroke joinstyle="miter"/>
              <v:path gradientshapeok="t" o:connecttype="rect"/>
            </v:shapetype>
            <v:shape id="Надпись 637" o:spid="_x0000_s1131" type="#_x0000_t202" style="position:absolute;margin-left:28.35pt;margin-top:-33.75pt;width:43.65pt;height:536.9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" fillcolor="white [3201]" stroked="f" strokeweight=".5pt">
              <v:textbox inset="0,0,0,0">
                <w:txbxContent>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tblGrid>
                    <w:tr w:rsidR="00BE6F5B" w:rsidRPr="00B05CC8" w:rsidTr="00B05CC8">
                      <w:trPr>
                        <w:cantSplit/>
                        <w:trHeight w:val="737"/>
                      </w:trPr>
                      <w:tc>
                        <w:tcPr>
                          <w:tcW w:w="567" w:type="dxa"/>
                          <w:textDirection w:val="tbRl"/>
                          <w:vAlign w:val="center"/>
                        </w:tcPr>
                        <w:p w:rsidR="00BE6F5B" w:rsidRPr="00B05CC8" w:rsidRDefault="00BE6F5B" w:rsidP="00B05CC8">
                          <w:pPr>
                            <w:ind w:left="113" w:right="113"/>
                            <w:rPr>
                              <w:rFonts w:asciiTheme="minorHAnsi" w:hAnsiTheme="minorHAnsi" w:cstheme="minorHAnsi"/>
                              <w:color w:val="009649"/>
                              <w:sz w:val="16"/>
                              <w:szCs w:val="16"/>
                            </w:rPr>
                          </w:pPr>
                        </w:p>
                      </w:tc>
                    </w:tr>
                    <w:tr w:rsidR="00BE6F5B" w:rsidRPr="00B05CC8" w:rsidTr="00B05CC8">
                      <w:trPr>
                        <w:cantSplit/>
                        <w:trHeight w:val="90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Pr>
                              <w:rFonts w:asciiTheme="minorHAnsi" w:hAnsiTheme="minorHAnsi"/>
                              <w:color w:val="009649"/>
                            </w:rPr>
                            <w:t>2. Рекомендації</w:t>
                          </w:r>
                        </w:p>
                      </w:tc>
                    </w:tr>
                    <w:tr w:rsidR="00BE6F5B" w:rsidRPr="00B05CC8" w:rsidTr="00B05CC8">
                      <w:trPr>
                        <w:cantSplit/>
                        <w:trHeight w:val="737"/>
                      </w:trPr>
                      <w:tc>
                        <w:tcPr>
                          <w:tcW w:w="567" w:type="dxa"/>
                          <w:textDirection w:val="tbRl"/>
                          <w:vAlign w:val="center"/>
                        </w:tcPr>
                        <w:p w:rsidR="00BE6F5B" w:rsidRPr="00B05CC8" w:rsidRDefault="00BE6F5B" w:rsidP="00B05CC8">
                          <w:pPr>
                            <w:ind w:left="113" w:right="113"/>
                            <w:jc w:val="right"/>
                            <w:rPr>
                              <w:rFonts w:asciiTheme="minorHAnsi" w:hAnsiTheme="minorHAnsi" w:cstheme="minorHAnsi"/>
                              <w:color w:val="009649"/>
                              <w:sz w:val="16"/>
                              <w:szCs w:val="16"/>
                            </w:rPr>
                          </w:pPr>
                          <w:r w:rsidRPr="0066564C">
                            <w:rPr>
                              <w:rFonts w:asciiTheme="minorHAnsi" w:hAnsiTheme="minorHAnsi" w:cstheme="minorHAnsi"/>
                              <w:color w:val="009649"/>
                            </w:rPr>
                            <w:fldChar w:fldCharType="begin"/>
                          </w:r>
                          <w:r w:rsidRPr="0066564C">
                            <w:rPr>
                              <w:rFonts w:asciiTheme="minorHAnsi" w:hAnsiTheme="minorHAnsi" w:cstheme="minorHAnsi"/>
                              <w:color w:val="009649"/>
                            </w:rPr>
                            <w:instrText>PAGE   \* MERGEFORMAT</w:instrText>
                          </w:r>
                          <w:r w:rsidRPr="0066564C">
                            <w:rPr>
                              <w:rFonts w:asciiTheme="minorHAnsi" w:hAnsiTheme="minorHAnsi" w:cstheme="minorHAnsi"/>
                              <w:color w:val="009649"/>
                            </w:rPr>
                            <w:fldChar w:fldCharType="separate"/>
                          </w:r>
                          <w:r w:rsidR="009B3894">
                            <w:rPr>
                              <w:rFonts w:asciiTheme="minorHAnsi" w:hAnsiTheme="minorHAnsi" w:cstheme="minorHAnsi"/>
                              <w:noProof/>
                              <w:color w:val="009649"/>
                            </w:rPr>
                            <w:t>47</w:t>
                          </w:r>
                          <w:r w:rsidRPr="0066564C">
                            <w:rPr>
                              <w:rFonts w:asciiTheme="minorHAnsi" w:hAnsiTheme="minorHAnsi" w:cstheme="minorHAnsi"/>
                              <w:color w:val="009649"/>
                            </w:rPr>
                            <w:fldChar w:fldCharType="end"/>
                          </w:r>
                        </w:p>
                      </w:tc>
                    </w:tr>
                  </w:tbl>
                  <w:p w:rsidR="00BE6F5B" w:rsidRPr="00B05CC8" w:rsidRDefault="00BE6F5B" w:rsidP="005A7714">
                    <w:pPr>
                      <w:rPr>
                        <w:rFonts w:asciiTheme="minorHAnsi" w:hAnsiTheme="minorHAnsi" w:cstheme="minorHAnsi"/>
                        <w:color w:val="009649"/>
                        <w:sz w:val="16"/>
                        <w:szCs w:val="16"/>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1pt;height:30.45pt" o:bullet="t">
        <v:imagedata r:id="rId1" o:title="стрелочка"/>
      </v:shape>
    </w:pict>
  </w:numPicBullet>
  <w:abstractNum w:abstractNumId="0" w15:restartNumberingAfterBreak="0">
    <w:nsid w:val="EA84CADA"/>
    <w:multiLevelType w:val="hybridMultilevel"/>
    <w:tmpl w:val="E9A1E0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9FC850B8"/>
    <w:lvl w:ilvl="0">
      <w:numFmt w:val="bullet"/>
      <w:lvlText w:val="*"/>
      <w:lvlJc w:val="left"/>
    </w:lvl>
  </w:abstractNum>
  <w:abstractNum w:abstractNumId="2" w15:restartNumberingAfterBreak="0">
    <w:nsid w:val="11DB2B2C"/>
    <w:multiLevelType w:val="singleLevel"/>
    <w:tmpl w:val="D7A8D49E"/>
    <w:lvl w:ilvl="0">
      <w:start w:val="1"/>
      <w:numFmt w:val="decimal"/>
      <w:lvlText w:val="2.%1"/>
      <w:legacy w:legacy="1" w:legacySpace="0" w:legacyIndent="331"/>
      <w:lvlJc w:val="left"/>
      <w:rPr>
        <w:rFonts w:ascii="Arial" w:hAnsi="Arial" w:cs="Arial" w:hint="default"/>
      </w:rPr>
    </w:lvl>
  </w:abstractNum>
  <w:abstractNum w:abstractNumId="3" w15:restartNumberingAfterBreak="0">
    <w:nsid w:val="15353CF5"/>
    <w:multiLevelType w:val="singleLevel"/>
    <w:tmpl w:val="AFF0FB7C"/>
    <w:lvl w:ilvl="0">
      <w:start w:val="1"/>
      <w:numFmt w:val="decimal"/>
      <w:lvlText w:val="%1."/>
      <w:legacy w:legacy="1" w:legacySpace="0" w:legacyIndent="283"/>
      <w:lvlJc w:val="left"/>
      <w:rPr>
        <w:rFonts w:asciiTheme="minorHAnsi" w:hAnsiTheme="minorHAnsi" w:cstheme="minorHAnsi" w:hint="default"/>
      </w:rPr>
    </w:lvl>
  </w:abstractNum>
  <w:abstractNum w:abstractNumId="4" w15:restartNumberingAfterBreak="0">
    <w:nsid w:val="1A44540A"/>
    <w:multiLevelType w:val="singleLevel"/>
    <w:tmpl w:val="7F1E3520"/>
    <w:lvl w:ilvl="0">
      <w:start w:val="1"/>
      <w:numFmt w:val="decimal"/>
      <w:lvlText w:val="%1)"/>
      <w:legacy w:legacy="1" w:legacySpace="0" w:legacyIndent="283"/>
      <w:lvlJc w:val="left"/>
      <w:rPr>
        <w:rFonts w:asciiTheme="minorHAnsi" w:hAnsiTheme="minorHAnsi" w:cstheme="minorHAnsi" w:hint="default"/>
      </w:rPr>
    </w:lvl>
  </w:abstractNum>
  <w:abstractNum w:abstractNumId="5" w15:restartNumberingAfterBreak="0">
    <w:nsid w:val="2449449E"/>
    <w:multiLevelType w:val="singleLevel"/>
    <w:tmpl w:val="94F27DF0"/>
    <w:lvl w:ilvl="0">
      <w:start w:val="1"/>
      <w:numFmt w:val="decimal"/>
      <w:lvlText w:val="%1."/>
      <w:legacy w:legacy="1" w:legacySpace="0" w:legacyIndent="216"/>
      <w:lvlJc w:val="left"/>
      <w:rPr>
        <w:rFonts w:asciiTheme="minorHAnsi" w:hAnsiTheme="minorHAnsi" w:cstheme="minorHAnsi" w:hint="default"/>
      </w:rPr>
    </w:lvl>
  </w:abstractNum>
  <w:abstractNum w:abstractNumId="6" w15:restartNumberingAfterBreak="0">
    <w:nsid w:val="256E3295"/>
    <w:multiLevelType w:val="singleLevel"/>
    <w:tmpl w:val="57E2D54E"/>
    <w:lvl w:ilvl="0">
      <w:start w:val="1"/>
      <w:numFmt w:val="decimal"/>
      <w:lvlText w:val="3.%1"/>
      <w:legacy w:legacy="1" w:legacySpace="0" w:legacyIndent="326"/>
      <w:lvlJc w:val="left"/>
      <w:rPr>
        <w:rFonts w:ascii="Arial" w:hAnsi="Arial" w:cs="Arial" w:hint="default"/>
      </w:rPr>
    </w:lvl>
  </w:abstractNum>
  <w:abstractNum w:abstractNumId="7" w15:restartNumberingAfterBreak="0">
    <w:nsid w:val="274D782F"/>
    <w:multiLevelType w:val="singleLevel"/>
    <w:tmpl w:val="004CDCA2"/>
    <w:lvl w:ilvl="0">
      <w:start w:val="1"/>
      <w:numFmt w:val="decimal"/>
      <w:lvlText w:val="%1."/>
      <w:legacy w:legacy="1" w:legacySpace="0" w:legacyIndent="283"/>
      <w:lvlJc w:val="left"/>
      <w:rPr>
        <w:rFonts w:asciiTheme="minorHAnsi" w:hAnsiTheme="minorHAnsi" w:cstheme="minorHAnsi" w:hint="default"/>
      </w:rPr>
    </w:lvl>
  </w:abstractNum>
  <w:abstractNum w:abstractNumId="8" w15:restartNumberingAfterBreak="0">
    <w:nsid w:val="317C2ECC"/>
    <w:multiLevelType w:val="singleLevel"/>
    <w:tmpl w:val="0F104974"/>
    <w:lvl w:ilvl="0">
      <w:start w:val="1"/>
      <w:numFmt w:val="decimal"/>
      <w:lvlText w:val="%1."/>
      <w:legacy w:legacy="1" w:legacySpace="0" w:legacyIndent="225"/>
      <w:lvlJc w:val="left"/>
      <w:rPr>
        <w:rFonts w:ascii="Arial" w:hAnsi="Arial" w:cs="Arial" w:hint="default"/>
      </w:rPr>
    </w:lvl>
  </w:abstractNum>
  <w:abstractNum w:abstractNumId="9" w15:restartNumberingAfterBreak="0">
    <w:nsid w:val="3474125B"/>
    <w:multiLevelType w:val="singleLevel"/>
    <w:tmpl w:val="070467C2"/>
    <w:lvl w:ilvl="0">
      <w:start w:val="2"/>
      <w:numFmt w:val="decimal"/>
      <w:lvlText w:val="%1."/>
      <w:legacy w:legacy="1" w:legacySpace="0" w:legacyIndent="283"/>
      <w:lvlJc w:val="left"/>
      <w:rPr>
        <w:rFonts w:asciiTheme="minorHAnsi" w:hAnsiTheme="minorHAnsi" w:cstheme="minorHAnsi" w:hint="default"/>
      </w:rPr>
    </w:lvl>
  </w:abstractNum>
  <w:abstractNum w:abstractNumId="10" w15:restartNumberingAfterBreak="0">
    <w:nsid w:val="3B72357A"/>
    <w:multiLevelType w:val="singleLevel"/>
    <w:tmpl w:val="C764D0D6"/>
    <w:lvl w:ilvl="0">
      <w:start w:val="1"/>
      <w:numFmt w:val="decimal"/>
      <w:lvlText w:val="%1."/>
      <w:legacy w:legacy="1" w:legacySpace="0" w:legacyIndent="283"/>
      <w:lvlJc w:val="left"/>
      <w:rPr>
        <w:rFonts w:asciiTheme="minorHAnsi" w:hAnsiTheme="minorHAnsi" w:cstheme="minorHAnsi" w:hint="default"/>
      </w:rPr>
    </w:lvl>
  </w:abstractNum>
  <w:abstractNum w:abstractNumId="11" w15:restartNumberingAfterBreak="0">
    <w:nsid w:val="426E44E9"/>
    <w:multiLevelType w:val="singleLevel"/>
    <w:tmpl w:val="583A04D8"/>
    <w:lvl w:ilvl="0">
      <w:start w:val="1"/>
      <w:numFmt w:val="decimal"/>
      <w:lvlText w:val="1.%1"/>
      <w:legacy w:legacy="1" w:legacySpace="0" w:legacyIndent="336"/>
      <w:lvlJc w:val="left"/>
      <w:rPr>
        <w:rFonts w:asciiTheme="minorHAnsi" w:hAnsiTheme="minorHAnsi" w:cstheme="minorHAnsi" w:hint="default"/>
      </w:rPr>
    </w:lvl>
  </w:abstractNum>
  <w:abstractNum w:abstractNumId="12" w15:restartNumberingAfterBreak="0">
    <w:nsid w:val="469B7A7F"/>
    <w:multiLevelType w:val="hybridMultilevel"/>
    <w:tmpl w:val="45E6F22A"/>
    <w:lvl w:ilvl="0" w:tplc="73CA87AC">
      <w:start w:val="1"/>
      <w:numFmt w:val="bullet"/>
      <w:lvlText w:val=""/>
      <w:lvlJc w:val="left"/>
      <w:pPr>
        <w:ind w:left="720" w:hanging="360"/>
      </w:pPr>
      <w:rPr>
        <w:rFonts w:ascii="Wingdings" w:hAnsi="Wingdings" w:hint="default"/>
        <w:color w:val="009649"/>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D019B9"/>
    <w:multiLevelType w:val="singleLevel"/>
    <w:tmpl w:val="2CF061A0"/>
    <w:lvl w:ilvl="0">
      <w:start w:val="1"/>
      <w:numFmt w:val="decimal"/>
      <w:lvlText w:val="4.%1."/>
      <w:legacy w:legacy="1" w:legacySpace="0" w:legacyIndent="437"/>
      <w:lvlJc w:val="left"/>
      <w:rPr>
        <w:rFonts w:asciiTheme="minorHAnsi" w:hAnsiTheme="minorHAnsi" w:cstheme="minorHAnsi" w:hint="default"/>
      </w:rPr>
    </w:lvl>
  </w:abstractNum>
  <w:abstractNum w:abstractNumId="14" w15:restartNumberingAfterBreak="0">
    <w:nsid w:val="4F041028"/>
    <w:multiLevelType w:val="singleLevel"/>
    <w:tmpl w:val="28187874"/>
    <w:lvl w:ilvl="0">
      <w:start w:val="1"/>
      <w:numFmt w:val="decimal"/>
      <w:lvlText w:val="%1."/>
      <w:legacy w:legacy="1" w:legacySpace="0" w:legacyIndent="283"/>
      <w:lvlJc w:val="left"/>
      <w:rPr>
        <w:rFonts w:asciiTheme="minorHAnsi" w:hAnsiTheme="minorHAnsi" w:cstheme="minorHAnsi" w:hint="default"/>
      </w:rPr>
    </w:lvl>
  </w:abstractNum>
  <w:abstractNum w:abstractNumId="15" w15:restartNumberingAfterBreak="0">
    <w:nsid w:val="54A2033A"/>
    <w:multiLevelType w:val="singleLevel"/>
    <w:tmpl w:val="B12427EC"/>
    <w:lvl w:ilvl="0">
      <w:start w:val="1"/>
      <w:numFmt w:val="decimal"/>
      <w:lvlText w:val="%1."/>
      <w:legacy w:legacy="1" w:legacySpace="0" w:legacyIndent="283"/>
      <w:lvlJc w:val="left"/>
      <w:rPr>
        <w:rFonts w:asciiTheme="minorHAnsi" w:hAnsiTheme="minorHAnsi" w:cstheme="minorHAnsi" w:hint="default"/>
      </w:rPr>
    </w:lvl>
  </w:abstractNum>
  <w:abstractNum w:abstractNumId="16" w15:restartNumberingAfterBreak="0">
    <w:nsid w:val="5C3E70DD"/>
    <w:multiLevelType w:val="singleLevel"/>
    <w:tmpl w:val="3F60CE0E"/>
    <w:lvl w:ilvl="0">
      <w:start w:val="1"/>
      <w:numFmt w:val="decimal"/>
      <w:lvlText w:val="6.%1"/>
      <w:legacy w:legacy="1" w:legacySpace="0" w:legacyIndent="341"/>
      <w:lvlJc w:val="left"/>
      <w:rPr>
        <w:rFonts w:ascii="Arial" w:hAnsi="Arial" w:cs="Arial" w:hint="default"/>
      </w:rPr>
    </w:lvl>
  </w:abstractNum>
  <w:abstractNum w:abstractNumId="17" w15:restartNumberingAfterBreak="0">
    <w:nsid w:val="5F2D1B0F"/>
    <w:multiLevelType w:val="singleLevel"/>
    <w:tmpl w:val="997E1CF8"/>
    <w:lvl w:ilvl="0">
      <w:start w:val="1"/>
      <w:numFmt w:val="decimal"/>
      <w:lvlText w:val="4.%1"/>
      <w:legacy w:legacy="1" w:legacySpace="0" w:legacyIndent="331"/>
      <w:lvlJc w:val="left"/>
      <w:rPr>
        <w:rFonts w:ascii="Arial" w:hAnsi="Arial" w:cs="Arial" w:hint="default"/>
      </w:rPr>
    </w:lvl>
  </w:abstractNum>
  <w:abstractNum w:abstractNumId="18" w15:restartNumberingAfterBreak="0">
    <w:nsid w:val="5FAE5AC7"/>
    <w:multiLevelType w:val="singleLevel"/>
    <w:tmpl w:val="32463828"/>
    <w:lvl w:ilvl="0">
      <w:start w:val="1"/>
      <w:numFmt w:val="decimal"/>
      <w:lvlText w:val="%1."/>
      <w:legacy w:legacy="1" w:legacySpace="0" w:legacyIndent="283"/>
      <w:lvlJc w:val="left"/>
      <w:rPr>
        <w:rFonts w:asciiTheme="minorHAnsi" w:hAnsiTheme="minorHAnsi" w:cstheme="minorHAnsi" w:hint="default"/>
      </w:rPr>
    </w:lvl>
  </w:abstractNum>
  <w:abstractNum w:abstractNumId="19" w15:restartNumberingAfterBreak="0">
    <w:nsid w:val="60631327"/>
    <w:multiLevelType w:val="singleLevel"/>
    <w:tmpl w:val="E946B650"/>
    <w:lvl w:ilvl="0">
      <w:start w:val="1"/>
      <w:numFmt w:val="decimal"/>
      <w:lvlText w:val="5.%1"/>
      <w:legacy w:legacy="1" w:legacySpace="0" w:legacyIndent="336"/>
      <w:lvlJc w:val="left"/>
      <w:rPr>
        <w:rFonts w:ascii="Arial" w:hAnsi="Arial" w:cs="Arial" w:hint="default"/>
      </w:rPr>
    </w:lvl>
  </w:abstractNum>
  <w:abstractNum w:abstractNumId="20" w15:restartNumberingAfterBreak="0">
    <w:nsid w:val="6271607B"/>
    <w:multiLevelType w:val="hybridMultilevel"/>
    <w:tmpl w:val="9EC6AB5E"/>
    <w:lvl w:ilvl="0" w:tplc="E21CEE54">
      <w:start w:val="65535"/>
      <w:numFmt w:val="bullet"/>
      <w:lvlText w:val="•"/>
      <w:lvlJc w:val="left"/>
      <w:pPr>
        <w:ind w:left="744" w:hanging="360"/>
      </w:pPr>
      <w:rPr>
        <w:rFonts w:ascii="Arial" w:hAnsi="Arial" w:cs="Arial" w:hint="default"/>
        <w:color w:val="009649"/>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1" w15:restartNumberingAfterBreak="0">
    <w:nsid w:val="6BB95595"/>
    <w:multiLevelType w:val="singleLevel"/>
    <w:tmpl w:val="FA6A367E"/>
    <w:lvl w:ilvl="0">
      <w:start w:val="1"/>
      <w:numFmt w:val="decimal"/>
      <w:lvlText w:val="%1."/>
      <w:legacy w:legacy="1" w:legacySpace="0" w:legacyIndent="283"/>
      <w:lvlJc w:val="left"/>
      <w:rPr>
        <w:rFonts w:asciiTheme="minorHAnsi" w:hAnsiTheme="minorHAnsi" w:cstheme="minorHAnsi" w:hint="default"/>
      </w:rPr>
    </w:lvl>
  </w:abstractNum>
  <w:abstractNum w:abstractNumId="22" w15:restartNumberingAfterBreak="0">
    <w:nsid w:val="71A22475"/>
    <w:multiLevelType w:val="singleLevel"/>
    <w:tmpl w:val="9C920C1A"/>
    <w:lvl w:ilvl="0">
      <w:start w:val="1"/>
      <w:numFmt w:val="decimal"/>
      <w:lvlText w:val="1.%1."/>
      <w:legacy w:legacy="1" w:legacySpace="0" w:legacyIndent="374"/>
      <w:lvlJc w:val="left"/>
      <w:rPr>
        <w:rFonts w:ascii="Calibri" w:hAnsi="Calibri" w:cs="Calibri" w:hint="default"/>
      </w:rPr>
    </w:lvl>
  </w:abstractNum>
  <w:abstractNum w:abstractNumId="23" w15:restartNumberingAfterBreak="0">
    <w:nsid w:val="77942DDA"/>
    <w:multiLevelType w:val="singleLevel"/>
    <w:tmpl w:val="CBC24C28"/>
    <w:lvl w:ilvl="0">
      <w:start w:val="1"/>
      <w:numFmt w:val="decimal"/>
      <w:lvlText w:val="%1."/>
      <w:legacy w:legacy="1" w:legacySpace="0" w:legacyIndent="360"/>
      <w:lvlJc w:val="left"/>
      <w:rPr>
        <w:rFonts w:asciiTheme="minorHAnsi" w:hAnsiTheme="minorHAnsi" w:cstheme="minorHAnsi" w:hint="default"/>
      </w:rPr>
    </w:lvl>
  </w:abstractNum>
  <w:num w:numId="1">
    <w:abstractNumId w:val="22"/>
  </w:num>
  <w:num w:numId="2">
    <w:abstractNumId w:val="1"/>
    <w:lvlOverride w:ilvl="0">
      <w:lvl w:ilvl="0">
        <w:start w:val="65535"/>
        <w:numFmt w:val="bullet"/>
        <w:lvlText w:val="•"/>
        <w:legacy w:legacy="1" w:legacySpace="0" w:legacyIndent="240"/>
        <w:lvlJc w:val="left"/>
        <w:rPr>
          <w:rFonts w:ascii="Arial" w:hAnsi="Arial" w:cs="Arial" w:hint="default"/>
        </w:rPr>
      </w:lvl>
    </w:lvlOverride>
  </w:num>
  <w:num w:numId="3">
    <w:abstractNumId w:val="2"/>
  </w:num>
  <w:num w:numId="4">
    <w:abstractNumId w:val="6"/>
  </w:num>
  <w:num w:numId="5">
    <w:abstractNumId w:val="17"/>
  </w:num>
  <w:num w:numId="6">
    <w:abstractNumId w:val="19"/>
  </w:num>
  <w:num w:numId="7">
    <w:abstractNumId w:val="16"/>
  </w:num>
  <w:num w:numId="8">
    <w:abstractNumId w:val="13"/>
  </w:num>
  <w:num w:numId="9">
    <w:abstractNumId w:val="10"/>
  </w:num>
  <w:num w:numId="10">
    <w:abstractNumId w:val="1"/>
    <w:lvlOverride w:ilvl="0">
      <w:lvl w:ilvl="0">
        <w:start w:val="65535"/>
        <w:numFmt w:val="bullet"/>
        <w:lvlText w:val="•"/>
        <w:legacy w:legacy="1" w:legacySpace="0" w:legacyIndent="259"/>
        <w:lvlJc w:val="left"/>
        <w:rPr>
          <w:rFonts w:ascii="Arial" w:hAnsi="Arial" w:cs="Arial" w:hint="default"/>
        </w:rPr>
      </w:lvl>
    </w:lvlOverride>
  </w:num>
  <w:num w:numId="11">
    <w:abstractNumId w:val="11"/>
  </w:num>
  <w:num w:numId="12">
    <w:abstractNumId w:val="1"/>
    <w:lvlOverride w:ilvl="0">
      <w:lvl w:ilvl="0">
        <w:start w:val="65535"/>
        <w:numFmt w:val="bullet"/>
        <w:lvlText w:val="•"/>
        <w:legacy w:legacy="1" w:legacySpace="0" w:legacyIndent="221"/>
        <w:lvlJc w:val="left"/>
        <w:rPr>
          <w:rFonts w:ascii="Arial" w:hAnsi="Arial" w:cs="Arial" w:hint="default"/>
        </w:rPr>
      </w:lvl>
    </w:lvlOverride>
  </w:num>
  <w:num w:numId="13">
    <w:abstractNumId w:val="7"/>
  </w:num>
  <w:num w:numId="14">
    <w:abstractNumId w:val="9"/>
  </w:num>
  <w:num w:numId="15">
    <w:abstractNumId w:val="5"/>
  </w:num>
  <w:num w:numId="16">
    <w:abstractNumId w:val="3"/>
  </w:num>
  <w:num w:numId="17">
    <w:abstractNumId w:val="15"/>
  </w:num>
  <w:num w:numId="18">
    <w:abstractNumId w:val="15"/>
    <w:lvlOverride w:ilvl="0">
      <w:lvl w:ilvl="0">
        <w:start w:val="3"/>
        <w:numFmt w:val="decimal"/>
        <w:lvlText w:val="%1."/>
        <w:legacy w:legacy="1" w:legacySpace="0" w:legacyIndent="283"/>
        <w:lvlJc w:val="left"/>
        <w:rPr>
          <w:rFonts w:asciiTheme="minorHAnsi" w:hAnsiTheme="minorHAnsi" w:cstheme="minorHAnsi" w:hint="default"/>
        </w:rPr>
      </w:lvl>
    </w:lvlOverride>
  </w:num>
  <w:num w:numId="19">
    <w:abstractNumId w:val="1"/>
    <w:lvlOverride w:ilvl="0">
      <w:lvl w:ilvl="0">
        <w:start w:val="65535"/>
        <w:numFmt w:val="bullet"/>
        <w:lvlText w:val="•"/>
        <w:legacy w:legacy="1" w:legacySpace="0" w:legacyIndent="206"/>
        <w:lvlJc w:val="left"/>
        <w:rPr>
          <w:rFonts w:ascii="Arial" w:hAnsi="Arial" w:cs="Arial" w:hint="default"/>
        </w:rPr>
      </w:lvl>
    </w:lvlOverride>
  </w:num>
  <w:num w:numId="20">
    <w:abstractNumId w:val="21"/>
  </w:num>
  <w:num w:numId="21">
    <w:abstractNumId w:val="18"/>
  </w:num>
  <w:num w:numId="22">
    <w:abstractNumId w:val="8"/>
  </w:num>
  <w:num w:numId="23">
    <w:abstractNumId w:val="4"/>
  </w:num>
  <w:num w:numId="24">
    <w:abstractNumId w:val="1"/>
    <w:lvlOverride w:ilvl="0">
      <w:lvl w:ilvl="0">
        <w:start w:val="65535"/>
        <w:numFmt w:val="bullet"/>
        <w:lvlText w:val="•"/>
        <w:legacy w:legacy="1" w:legacySpace="0" w:legacyIndent="225"/>
        <w:lvlJc w:val="left"/>
        <w:rPr>
          <w:rFonts w:ascii="Arial" w:hAnsi="Arial" w:cs="Arial" w:hint="default"/>
        </w:rPr>
      </w:lvl>
    </w:lvlOverride>
  </w:num>
  <w:num w:numId="25">
    <w:abstractNumId w:val="14"/>
  </w:num>
  <w:num w:numId="26">
    <w:abstractNumId w:val="23"/>
  </w:num>
  <w:num w:numId="27">
    <w:abstractNumId w:val="23"/>
    <w:lvlOverride w:ilvl="0">
      <w:lvl w:ilvl="0">
        <w:start w:val="13"/>
        <w:numFmt w:val="decimal"/>
        <w:lvlText w:val="%1."/>
        <w:legacy w:legacy="1" w:legacySpace="0" w:legacyIndent="360"/>
        <w:lvlJc w:val="left"/>
        <w:rPr>
          <w:rFonts w:asciiTheme="minorHAnsi" w:hAnsiTheme="minorHAnsi" w:cstheme="minorHAnsi" w:hint="default"/>
        </w:rPr>
      </w:lvl>
    </w:lvlOverride>
  </w:num>
  <w:num w:numId="28">
    <w:abstractNumId w:val="23"/>
    <w:lvlOverride w:ilvl="0">
      <w:lvl w:ilvl="0">
        <w:start w:val="30"/>
        <w:numFmt w:val="decimal"/>
        <w:lvlText w:val="%1."/>
        <w:legacy w:legacy="1" w:legacySpace="0" w:legacyIndent="360"/>
        <w:lvlJc w:val="left"/>
        <w:rPr>
          <w:rFonts w:asciiTheme="minorHAnsi" w:hAnsiTheme="minorHAnsi" w:cstheme="minorHAnsi" w:hint="default"/>
        </w:rPr>
      </w:lvl>
    </w:lvlOverride>
  </w:num>
  <w:num w:numId="29">
    <w:abstractNumId w:val="23"/>
    <w:lvlOverride w:ilvl="0">
      <w:lvl w:ilvl="0">
        <w:start w:val="45"/>
        <w:numFmt w:val="decimal"/>
        <w:lvlText w:val="%1."/>
        <w:legacy w:legacy="1" w:legacySpace="0" w:legacyIndent="360"/>
        <w:lvlJc w:val="left"/>
        <w:rPr>
          <w:rFonts w:asciiTheme="minorHAnsi" w:hAnsiTheme="minorHAnsi" w:cstheme="minorHAnsi" w:hint="default"/>
        </w:rPr>
      </w:lvl>
    </w:lvlOverride>
  </w:num>
  <w:num w:numId="30">
    <w:abstractNumId w:val="12"/>
  </w:num>
  <w:num w:numId="31">
    <w:abstractNumId w:val="0"/>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embedSystemFonts/>
  <w:bordersDoNotSurroundHeader/>
  <w:bordersDoNotSurroundFooter/>
  <w:hideSpellingErrors/>
  <w:hideGrammaticalError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2F"/>
    <w:rsid w:val="000010CC"/>
    <w:rsid w:val="0000373D"/>
    <w:rsid w:val="000039A3"/>
    <w:rsid w:val="000514E8"/>
    <w:rsid w:val="00067E50"/>
    <w:rsid w:val="00071A6F"/>
    <w:rsid w:val="00072378"/>
    <w:rsid w:val="000735AD"/>
    <w:rsid w:val="000A7B71"/>
    <w:rsid w:val="00114CB4"/>
    <w:rsid w:val="00121646"/>
    <w:rsid w:val="00136014"/>
    <w:rsid w:val="00153807"/>
    <w:rsid w:val="001F19DE"/>
    <w:rsid w:val="00243C66"/>
    <w:rsid w:val="002725D9"/>
    <w:rsid w:val="00290BDD"/>
    <w:rsid w:val="002A4324"/>
    <w:rsid w:val="0031040C"/>
    <w:rsid w:val="00314EE5"/>
    <w:rsid w:val="0034777B"/>
    <w:rsid w:val="00375B3E"/>
    <w:rsid w:val="00382A93"/>
    <w:rsid w:val="0038684E"/>
    <w:rsid w:val="003B2A0F"/>
    <w:rsid w:val="003E096B"/>
    <w:rsid w:val="003E67D4"/>
    <w:rsid w:val="00406A04"/>
    <w:rsid w:val="00413839"/>
    <w:rsid w:val="00457AB2"/>
    <w:rsid w:val="0049537D"/>
    <w:rsid w:val="004C1698"/>
    <w:rsid w:val="004F1793"/>
    <w:rsid w:val="005410EA"/>
    <w:rsid w:val="005A7714"/>
    <w:rsid w:val="005D43E4"/>
    <w:rsid w:val="005E185E"/>
    <w:rsid w:val="0061089A"/>
    <w:rsid w:val="0061334C"/>
    <w:rsid w:val="00636128"/>
    <w:rsid w:val="00640824"/>
    <w:rsid w:val="00653165"/>
    <w:rsid w:val="0066564C"/>
    <w:rsid w:val="00670B1A"/>
    <w:rsid w:val="006A232C"/>
    <w:rsid w:val="006A6E8C"/>
    <w:rsid w:val="006C7D2F"/>
    <w:rsid w:val="006E0CAA"/>
    <w:rsid w:val="006E1B94"/>
    <w:rsid w:val="00723D9B"/>
    <w:rsid w:val="0075369F"/>
    <w:rsid w:val="00761A99"/>
    <w:rsid w:val="00770DB4"/>
    <w:rsid w:val="007B12F0"/>
    <w:rsid w:val="007C33E8"/>
    <w:rsid w:val="007D1ED3"/>
    <w:rsid w:val="007E777D"/>
    <w:rsid w:val="007F67D5"/>
    <w:rsid w:val="0083735C"/>
    <w:rsid w:val="00860142"/>
    <w:rsid w:val="00861EB9"/>
    <w:rsid w:val="008821D9"/>
    <w:rsid w:val="008E12CA"/>
    <w:rsid w:val="008E41A3"/>
    <w:rsid w:val="00902A3C"/>
    <w:rsid w:val="0090323B"/>
    <w:rsid w:val="00907702"/>
    <w:rsid w:val="0093763E"/>
    <w:rsid w:val="00962BA7"/>
    <w:rsid w:val="00981A43"/>
    <w:rsid w:val="00983321"/>
    <w:rsid w:val="009B3894"/>
    <w:rsid w:val="009D47B7"/>
    <w:rsid w:val="009D59CA"/>
    <w:rsid w:val="009D73BB"/>
    <w:rsid w:val="00A06243"/>
    <w:rsid w:val="00A12C02"/>
    <w:rsid w:val="00A23E6E"/>
    <w:rsid w:val="00A3729E"/>
    <w:rsid w:val="00A37E9E"/>
    <w:rsid w:val="00A6774D"/>
    <w:rsid w:val="00A71B1E"/>
    <w:rsid w:val="00A874E7"/>
    <w:rsid w:val="00A92CF5"/>
    <w:rsid w:val="00AC0097"/>
    <w:rsid w:val="00B05CC8"/>
    <w:rsid w:val="00B1493F"/>
    <w:rsid w:val="00B32E34"/>
    <w:rsid w:val="00B537E4"/>
    <w:rsid w:val="00B638B8"/>
    <w:rsid w:val="00B716E5"/>
    <w:rsid w:val="00B92A7A"/>
    <w:rsid w:val="00BD40D2"/>
    <w:rsid w:val="00BE5914"/>
    <w:rsid w:val="00BE5B48"/>
    <w:rsid w:val="00BE6F5B"/>
    <w:rsid w:val="00BF6AF6"/>
    <w:rsid w:val="00BF7753"/>
    <w:rsid w:val="00C02D9E"/>
    <w:rsid w:val="00C1177C"/>
    <w:rsid w:val="00C53235"/>
    <w:rsid w:val="00C54801"/>
    <w:rsid w:val="00C55168"/>
    <w:rsid w:val="00C955FF"/>
    <w:rsid w:val="00CA4657"/>
    <w:rsid w:val="00CD1F71"/>
    <w:rsid w:val="00CF4735"/>
    <w:rsid w:val="00D4245B"/>
    <w:rsid w:val="00D5611F"/>
    <w:rsid w:val="00D76BF6"/>
    <w:rsid w:val="00D9219B"/>
    <w:rsid w:val="00DC2656"/>
    <w:rsid w:val="00DC4299"/>
    <w:rsid w:val="00DE1976"/>
    <w:rsid w:val="00DE3ED7"/>
    <w:rsid w:val="00DF25B6"/>
    <w:rsid w:val="00E012D4"/>
    <w:rsid w:val="00E02100"/>
    <w:rsid w:val="00E26C0F"/>
    <w:rsid w:val="00E35A03"/>
    <w:rsid w:val="00E64898"/>
    <w:rsid w:val="00E81769"/>
    <w:rsid w:val="00ED5D96"/>
    <w:rsid w:val="00ED665B"/>
    <w:rsid w:val="00F03F89"/>
    <w:rsid w:val="00F22286"/>
    <w:rsid w:val="00F43368"/>
    <w:rsid w:val="00F44E6E"/>
    <w:rsid w:val="00F67926"/>
    <w:rsid w:val="00F67B06"/>
    <w:rsid w:val="00F85B2E"/>
    <w:rsid w:val="00FA1569"/>
    <w:rsid w:val="00FB6EBF"/>
    <w:rsid w:val="00FC3C49"/>
    <w:rsid w:val="00FE7B24"/>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11489756-7169-49E5-8E4C-029F259D7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Mangal"/>
        <w:lang w:val="uk-UA" w:eastAsia="en-US" w:bidi="ne-NP"/>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C2656"/>
    <w:pPr>
      <w:autoSpaceDE w:val="0"/>
      <w:autoSpaceDN w:val="0"/>
      <w:adjustRightInd w:val="0"/>
    </w:pPr>
    <w:rPr>
      <w:rFonts w:ascii="FXFYD H+ Avenir LT Std" w:hAnsi="FXFYD H+ Avenir LT Std" w:cs="FXFYD H+ Avenir LT Std"/>
      <w:color w:val="000000"/>
      <w:sz w:val="24"/>
      <w:szCs w:val="24"/>
    </w:rPr>
  </w:style>
  <w:style w:type="paragraph" w:styleId="a3">
    <w:name w:val="List Paragraph"/>
    <w:basedOn w:val="a"/>
    <w:uiPriority w:val="34"/>
    <w:qFormat/>
    <w:rsid w:val="00A3729E"/>
    <w:pPr>
      <w:ind w:left="720"/>
      <w:contextualSpacing/>
    </w:pPr>
    <w:rPr>
      <w:szCs w:val="18"/>
    </w:rPr>
  </w:style>
  <w:style w:type="paragraph" w:customStyle="1" w:styleId="Pa19">
    <w:name w:val="Pa19"/>
    <w:basedOn w:val="Default"/>
    <w:next w:val="Default"/>
    <w:uiPriority w:val="99"/>
    <w:rsid w:val="00C1177C"/>
    <w:pPr>
      <w:spacing w:line="221" w:lineRule="atLeast"/>
    </w:pPr>
    <w:rPr>
      <w:rFonts w:ascii="Frutiger Neue LT Light" w:hAnsi="Frutiger Neue LT Light" w:cs="Arial Unicode MS"/>
      <w:color w:val="auto"/>
    </w:rPr>
  </w:style>
  <w:style w:type="paragraph" w:customStyle="1" w:styleId="Pa14">
    <w:name w:val="Pa14"/>
    <w:basedOn w:val="Default"/>
    <w:next w:val="Default"/>
    <w:uiPriority w:val="99"/>
    <w:rsid w:val="00B638B8"/>
    <w:pPr>
      <w:spacing w:line="221" w:lineRule="atLeast"/>
    </w:pPr>
    <w:rPr>
      <w:rFonts w:ascii="Frutiger Neue LT Light" w:hAnsi="Frutiger Neue LT Light" w:cs="Arial Unicode MS"/>
      <w:color w:val="auto"/>
    </w:rPr>
  </w:style>
  <w:style w:type="character" w:customStyle="1" w:styleId="A7">
    <w:name w:val="A7"/>
    <w:uiPriority w:val="99"/>
    <w:rsid w:val="00B638B8"/>
    <w:rPr>
      <w:rFonts w:cs="Frutiger Neue LT Light"/>
      <w:color w:val="000000"/>
      <w:sz w:val="22"/>
      <w:szCs w:val="22"/>
    </w:rPr>
  </w:style>
  <w:style w:type="table" w:styleId="a4">
    <w:name w:val="Table Grid"/>
    <w:basedOn w:val="a1"/>
    <w:uiPriority w:val="39"/>
    <w:rsid w:val="00ED5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D5D96"/>
    <w:pPr>
      <w:tabs>
        <w:tab w:val="center" w:pos="4677"/>
        <w:tab w:val="right" w:pos="9355"/>
      </w:tabs>
    </w:pPr>
    <w:rPr>
      <w:szCs w:val="18"/>
    </w:rPr>
  </w:style>
  <w:style w:type="character" w:customStyle="1" w:styleId="a6">
    <w:name w:val="Верхний колонтитул Знак"/>
    <w:basedOn w:val="a0"/>
    <w:link w:val="a5"/>
    <w:uiPriority w:val="99"/>
    <w:rsid w:val="00ED5D96"/>
    <w:rPr>
      <w:rFonts w:ascii="Arial" w:hAnsi="Arial" w:cs="Arial"/>
      <w:szCs w:val="18"/>
    </w:rPr>
  </w:style>
  <w:style w:type="paragraph" w:styleId="a8">
    <w:name w:val="footer"/>
    <w:basedOn w:val="a"/>
    <w:link w:val="a9"/>
    <w:uiPriority w:val="99"/>
    <w:unhideWhenUsed/>
    <w:rsid w:val="00ED5D96"/>
    <w:pPr>
      <w:tabs>
        <w:tab w:val="center" w:pos="4677"/>
        <w:tab w:val="right" w:pos="9355"/>
      </w:tabs>
    </w:pPr>
    <w:rPr>
      <w:szCs w:val="18"/>
    </w:rPr>
  </w:style>
  <w:style w:type="character" w:customStyle="1" w:styleId="a9">
    <w:name w:val="Нижний колонтитул Знак"/>
    <w:basedOn w:val="a0"/>
    <w:link w:val="a8"/>
    <w:uiPriority w:val="99"/>
    <w:rsid w:val="00ED5D96"/>
    <w:rPr>
      <w:rFonts w:ascii="Arial" w:hAnsi="Arial" w:cs="Ari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99" Type="http://schemas.openxmlformats.org/officeDocument/2006/relationships/image" Target="media/image236.png"/><Relationship Id="rId21" Type="http://schemas.openxmlformats.org/officeDocument/2006/relationships/footer" Target="footer7.xml"/><Relationship Id="rId63" Type="http://schemas.openxmlformats.org/officeDocument/2006/relationships/image" Target="media/image14.png"/><Relationship Id="rId159" Type="http://schemas.openxmlformats.org/officeDocument/2006/relationships/image" Target="media/image110.png"/><Relationship Id="rId170" Type="http://schemas.openxmlformats.org/officeDocument/2006/relationships/image" Target="media/image121.png"/><Relationship Id="rId226" Type="http://schemas.openxmlformats.org/officeDocument/2006/relationships/header" Target="header19.xml"/><Relationship Id="rId268" Type="http://schemas.openxmlformats.org/officeDocument/2006/relationships/image" Target="media/image205.png"/><Relationship Id="rId32" Type="http://schemas.openxmlformats.org/officeDocument/2006/relationships/footer" Target="footer17.xml"/><Relationship Id="rId74" Type="http://schemas.openxmlformats.org/officeDocument/2006/relationships/image" Target="media/image25.png"/><Relationship Id="rId128" Type="http://schemas.openxmlformats.org/officeDocument/2006/relationships/image" Target="media/image79.png"/><Relationship Id="rId5" Type="http://schemas.openxmlformats.org/officeDocument/2006/relationships/webSettings" Target="webSettings.xml"/><Relationship Id="rId181" Type="http://schemas.openxmlformats.org/officeDocument/2006/relationships/image" Target="media/image132.png"/><Relationship Id="rId237" Type="http://schemas.openxmlformats.org/officeDocument/2006/relationships/image" Target="media/image174.png"/><Relationship Id="rId279" Type="http://schemas.openxmlformats.org/officeDocument/2006/relationships/image" Target="media/image216.png"/><Relationship Id="rId43" Type="http://schemas.openxmlformats.org/officeDocument/2006/relationships/header" Target="header4.xml"/><Relationship Id="rId139" Type="http://schemas.openxmlformats.org/officeDocument/2006/relationships/image" Target="media/image90.png"/><Relationship Id="rId290" Type="http://schemas.openxmlformats.org/officeDocument/2006/relationships/image" Target="media/image227.png"/><Relationship Id="rId304" Type="http://schemas.openxmlformats.org/officeDocument/2006/relationships/footer" Target="footer41.xml"/><Relationship Id="rId85" Type="http://schemas.openxmlformats.org/officeDocument/2006/relationships/image" Target="media/image36.png"/><Relationship Id="rId150" Type="http://schemas.openxmlformats.org/officeDocument/2006/relationships/image" Target="media/image101.png"/><Relationship Id="rId192" Type="http://schemas.openxmlformats.org/officeDocument/2006/relationships/image" Target="media/image143.png"/><Relationship Id="rId206" Type="http://schemas.openxmlformats.org/officeDocument/2006/relationships/image" Target="media/image157.png"/><Relationship Id="rId248" Type="http://schemas.openxmlformats.org/officeDocument/2006/relationships/image" Target="media/image185.png"/><Relationship Id="rId12" Type="http://schemas.openxmlformats.org/officeDocument/2006/relationships/image" Target="media/image6.jpeg"/><Relationship Id="rId108" Type="http://schemas.openxmlformats.org/officeDocument/2006/relationships/image" Target="media/image59.png"/><Relationship Id="rId54" Type="http://schemas.openxmlformats.org/officeDocument/2006/relationships/header" Target="header9.xml"/><Relationship Id="rId96" Type="http://schemas.openxmlformats.org/officeDocument/2006/relationships/image" Target="media/image47.png"/><Relationship Id="rId161" Type="http://schemas.openxmlformats.org/officeDocument/2006/relationships/image" Target="media/image112.png"/><Relationship Id="rId217" Type="http://schemas.openxmlformats.org/officeDocument/2006/relationships/footer" Target="footer33.xml"/><Relationship Id="rId259" Type="http://schemas.openxmlformats.org/officeDocument/2006/relationships/image" Target="media/image196.png"/><Relationship Id="rId23" Type="http://schemas.openxmlformats.org/officeDocument/2006/relationships/footer" Target="footer9.xml"/><Relationship Id="rId119" Type="http://schemas.openxmlformats.org/officeDocument/2006/relationships/image" Target="media/image70.png"/><Relationship Id="rId270" Type="http://schemas.openxmlformats.org/officeDocument/2006/relationships/image" Target="media/image207.png"/><Relationship Id="rId44" Type="http://schemas.openxmlformats.org/officeDocument/2006/relationships/footer" Target="footer23.xml"/><Relationship Id="rId65" Type="http://schemas.openxmlformats.org/officeDocument/2006/relationships/image" Target="media/image16.png"/><Relationship Id="rId86" Type="http://schemas.openxmlformats.org/officeDocument/2006/relationships/image" Target="media/image37.png"/><Relationship Id="rId130" Type="http://schemas.openxmlformats.org/officeDocument/2006/relationships/image" Target="media/image81.png"/><Relationship Id="rId151" Type="http://schemas.openxmlformats.org/officeDocument/2006/relationships/image" Target="media/image102.png"/><Relationship Id="rId172" Type="http://schemas.openxmlformats.org/officeDocument/2006/relationships/image" Target="media/image123.png"/><Relationship Id="rId193" Type="http://schemas.openxmlformats.org/officeDocument/2006/relationships/image" Target="media/image144.png"/><Relationship Id="rId207" Type="http://schemas.openxmlformats.org/officeDocument/2006/relationships/image" Target="media/image158.png"/><Relationship Id="rId228" Type="http://schemas.openxmlformats.org/officeDocument/2006/relationships/image" Target="media/image165.png"/><Relationship Id="rId249" Type="http://schemas.openxmlformats.org/officeDocument/2006/relationships/image" Target="media/image186.png"/><Relationship Id="rId13" Type="http://schemas.openxmlformats.org/officeDocument/2006/relationships/image" Target="media/image7.jpeg"/><Relationship Id="rId109" Type="http://schemas.openxmlformats.org/officeDocument/2006/relationships/image" Target="media/image60.png"/><Relationship Id="rId260" Type="http://schemas.openxmlformats.org/officeDocument/2006/relationships/image" Target="media/image197.png"/><Relationship Id="rId281" Type="http://schemas.openxmlformats.org/officeDocument/2006/relationships/image" Target="media/image218.png"/><Relationship Id="rId34" Type="http://schemas.openxmlformats.org/officeDocument/2006/relationships/footer" Target="footer19.xml"/><Relationship Id="rId55" Type="http://schemas.openxmlformats.org/officeDocument/2006/relationships/footer" Target="footer28.xml"/><Relationship Id="rId76" Type="http://schemas.openxmlformats.org/officeDocument/2006/relationships/image" Target="media/image27.png"/><Relationship Id="rId97" Type="http://schemas.openxmlformats.org/officeDocument/2006/relationships/image" Target="media/image48.png"/><Relationship Id="rId120" Type="http://schemas.openxmlformats.org/officeDocument/2006/relationships/image" Target="media/image71.png"/><Relationship Id="rId141" Type="http://schemas.openxmlformats.org/officeDocument/2006/relationships/image" Target="media/image92.png"/><Relationship Id="rId7" Type="http://schemas.openxmlformats.org/officeDocument/2006/relationships/endnotes" Target="endnotes.xml"/><Relationship Id="rId162" Type="http://schemas.openxmlformats.org/officeDocument/2006/relationships/image" Target="media/image113.png"/><Relationship Id="rId183" Type="http://schemas.openxmlformats.org/officeDocument/2006/relationships/image" Target="media/image134.png"/><Relationship Id="rId218" Type="http://schemas.openxmlformats.org/officeDocument/2006/relationships/header" Target="header15.xml"/><Relationship Id="rId239" Type="http://schemas.openxmlformats.org/officeDocument/2006/relationships/image" Target="media/image176.png"/><Relationship Id="rId250" Type="http://schemas.openxmlformats.org/officeDocument/2006/relationships/image" Target="media/image187.png"/><Relationship Id="rId271" Type="http://schemas.openxmlformats.org/officeDocument/2006/relationships/image" Target="media/image208.png"/><Relationship Id="rId292" Type="http://schemas.openxmlformats.org/officeDocument/2006/relationships/image" Target="media/image229.png"/><Relationship Id="rId306" Type="http://schemas.openxmlformats.org/officeDocument/2006/relationships/footer" Target="footer43.xml"/><Relationship Id="rId24" Type="http://schemas.openxmlformats.org/officeDocument/2006/relationships/image" Target="media/image9.jpeg"/><Relationship Id="rId45" Type="http://schemas.openxmlformats.org/officeDocument/2006/relationships/header" Target="header5.xml"/><Relationship Id="rId66" Type="http://schemas.openxmlformats.org/officeDocument/2006/relationships/image" Target="media/image17.png"/><Relationship Id="rId87" Type="http://schemas.openxmlformats.org/officeDocument/2006/relationships/image" Target="media/image38.png"/><Relationship Id="rId110" Type="http://schemas.openxmlformats.org/officeDocument/2006/relationships/image" Target="media/image61.png"/><Relationship Id="rId131" Type="http://schemas.openxmlformats.org/officeDocument/2006/relationships/image" Target="media/image82.png"/><Relationship Id="rId152" Type="http://schemas.openxmlformats.org/officeDocument/2006/relationships/image" Target="media/image103.png"/><Relationship Id="rId173" Type="http://schemas.openxmlformats.org/officeDocument/2006/relationships/image" Target="media/image124.png"/><Relationship Id="rId194" Type="http://schemas.openxmlformats.org/officeDocument/2006/relationships/image" Target="media/image145.png"/><Relationship Id="rId208" Type="http://schemas.openxmlformats.org/officeDocument/2006/relationships/image" Target="media/image159.png"/><Relationship Id="rId229" Type="http://schemas.openxmlformats.org/officeDocument/2006/relationships/image" Target="media/image166.png"/><Relationship Id="rId240" Type="http://schemas.openxmlformats.org/officeDocument/2006/relationships/image" Target="media/image177.png"/><Relationship Id="rId261" Type="http://schemas.openxmlformats.org/officeDocument/2006/relationships/image" Target="media/image198.png"/><Relationship Id="rId14" Type="http://schemas.openxmlformats.org/officeDocument/2006/relationships/image" Target="media/image8.jpeg"/><Relationship Id="rId35" Type="http://schemas.openxmlformats.org/officeDocument/2006/relationships/image" Target="media/image10.png"/><Relationship Id="rId56" Type="http://schemas.openxmlformats.org/officeDocument/2006/relationships/header" Target="header10.xml"/><Relationship Id="rId77" Type="http://schemas.openxmlformats.org/officeDocument/2006/relationships/image" Target="media/image28.png"/><Relationship Id="rId100" Type="http://schemas.openxmlformats.org/officeDocument/2006/relationships/image" Target="media/image51.png"/><Relationship Id="rId282" Type="http://schemas.openxmlformats.org/officeDocument/2006/relationships/image" Target="media/image219.png"/><Relationship Id="rId8" Type="http://schemas.openxmlformats.org/officeDocument/2006/relationships/image" Target="media/image2.jpeg"/><Relationship Id="rId98" Type="http://schemas.openxmlformats.org/officeDocument/2006/relationships/image" Target="media/image49.png"/><Relationship Id="rId121" Type="http://schemas.openxmlformats.org/officeDocument/2006/relationships/image" Target="media/image72.png"/><Relationship Id="rId142" Type="http://schemas.openxmlformats.org/officeDocument/2006/relationships/image" Target="media/image93.png"/><Relationship Id="rId163" Type="http://schemas.openxmlformats.org/officeDocument/2006/relationships/image" Target="media/image114.png"/><Relationship Id="rId184" Type="http://schemas.openxmlformats.org/officeDocument/2006/relationships/image" Target="media/image135.png"/><Relationship Id="rId219" Type="http://schemas.openxmlformats.org/officeDocument/2006/relationships/footer" Target="footer34.xml"/><Relationship Id="rId230" Type="http://schemas.openxmlformats.org/officeDocument/2006/relationships/image" Target="media/image167.png"/><Relationship Id="rId251" Type="http://schemas.openxmlformats.org/officeDocument/2006/relationships/image" Target="media/image188.png"/><Relationship Id="rId25" Type="http://schemas.openxmlformats.org/officeDocument/2006/relationships/footer" Target="footer10.xml"/><Relationship Id="rId46" Type="http://schemas.openxmlformats.org/officeDocument/2006/relationships/footer" Target="footer24.xml"/><Relationship Id="rId67" Type="http://schemas.openxmlformats.org/officeDocument/2006/relationships/image" Target="media/image18.png"/><Relationship Id="rId272" Type="http://schemas.openxmlformats.org/officeDocument/2006/relationships/image" Target="media/image209.png"/><Relationship Id="rId293" Type="http://schemas.openxmlformats.org/officeDocument/2006/relationships/image" Target="media/image230.png"/><Relationship Id="rId307" Type="http://schemas.openxmlformats.org/officeDocument/2006/relationships/footer" Target="footer44.xml"/><Relationship Id="rId88" Type="http://schemas.openxmlformats.org/officeDocument/2006/relationships/image" Target="media/image39.png"/><Relationship Id="rId111" Type="http://schemas.openxmlformats.org/officeDocument/2006/relationships/image" Target="media/image62.png"/><Relationship Id="rId132" Type="http://schemas.openxmlformats.org/officeDocument/2006/relationships/image" Target="media/image83.png"/><Relationship Id="rId153" Type="http://schemas.openxmlformats.org/officeDocument/2006/relationships/image" Target="media/image104.png"/><Relationship Id="rId174" Type="http://schemas.openxmlformats.org/officeDocument/2006/relationships/image" Target="media/image125.png"/><Relationship Id="rId195" Type="http://schemas.openxmlformats.org/officeDocument/2006/relationships/image" Target="media/image146.png"/><Relationship Id="rId209" Type="http://schemas.openxmlformats.org/officeDocument/2006/relationships/image" Target="media/image160.png"/><Relationship Id="rId220" Type="http://schemas.openxmlformats.org/officeDocument/2006/relationships/header" Target="header16.xml"/><Relationship Id="rId241" Type="http://schemas.openxmlformats.org/officeDocument/2006/relationships/image" Target="media/image178.png"/><Relationship Id="rId15" Type="http://schemas.openxmlformats.org/officeDocument/2006/relationships/footer" Target="footer1.xml"/><Relationship Id="rId36" Type="http://schemas.openxmlformats.org/officeDocument/2006/relationships/image" Target="media/image11.png"/><Relationship Id="rId57" Type="http://schemas.openxmlformats.org/officeDocument/2006/relationships/footer" Target="footer29.xml"/><Relationship Id="rId262" Type="http://schemas.openxmlformats.org/officeDocument/2006/relationships/image" Target="media/image199.png"/><Relationship Id="rId283" Type="http://schemas.openxmlformats.org/officeDocument/2006/relationships/image" Target="media/image220.png"/><Relationship Id="rId78" Type="http://schemas.openxmlformats.org/officeDocument/2006/relationships/image" Target="media/image29.png"/><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image" Target="media/image73.png"/><Relationship Id="rId143" Type="http://schemas.openxmlformats.org/officeDocument/2006/relationships/image" Target="media/image94.png"/><Relationship Id="rId164" Type="http://schemas.openxmlformats.org/officeDocument/2006/relationships/image" Target="media/image115.png"/><Relationship Id="rId185" Type="http://schemas.openxmlformats.org/officeDocument/2006/relationships/image" Target="media/image136.png"/><Relationship Id="rId9" Type="http://schemas.openxmlformats.org/officeDocument/2006/relationships/image" Target="media/image3.png"/><Relationship Id="rId210" Type="http://schemas.openxmlformats.org/officeDocument/2006/relationships/image" Target="media/image161.png"/><Relationship Id="rId26" Type="http://schemas.openxmlformats.org/officeDocument/2006/relationships/footer" Target="footer11.xml"/><Relationship Id="rId231" Type="http://schemas.openxmlformats.org/officeDocument/2006/relationships/image" Target="media/image168.png"/><Relationship Id="rId252" Type="http://schemas.openxmlformats.org/officeDocument/2006/relationships/image" Target="media/image189.png"/><Relationship Id="rId273" Type="http://schemas.openxmlformats.org/officeDocument/2006/relationships/image" Target="media/image210.png"/><Relationship Id="rId294" Type="http://schemas.openxmlformats.org/officeDocument/2006/relationships/image" Target="media/image231.png"/><Relationship Id="rId308" Type="http://schemas.openxmlformats.org/officeDocument/2006/relationships/footer" Target="footer45.xml"/><Relationship Id="rId47" Type="http://schemas.openxmlformats.org/officeDocument/2006/relationships/header" Target="header6.xml"/><Relationship Id="rId68" Type="http://schemas.openxmlformats.org/officeDocument/2006/relationships/image" Target="media/image19.png"/><Relationship Id="rId89" Type="http://schemas.openxmlformats.org/officeDocument/2006/relationships/image" Target="media/image40.png"/><Relationship Id="rId112" Type="http://schemas.openxmlformats.org/officeDocument/2006/relationships/image" Target="media/image63.png"/><Relationship Id="rId133" Type="http://schemas.openxmlformats.org/officeDocument/2006/relationships/image" Target="media/image84.png"/><Relationship Id="rId154" Type="http://schemas.openxmlformats.org/officeDocument/2006/relationships/image" Target="media/image105.png"/><Relationship Id="rId175" Type="http://schemas.openxmlformats.org/officeDocument/2006/relationships/image" Target="media/image126.png"/><Relationship Id="rId196" Type="http://schemas.openxmlformats.org/officeDocument/2006/relationships/image" Target="media/image147.png"/><Relationship Id="rId200" Type="http://schemas.openxmlformats.org/officeDocument/2006/relationships/image" Target="media/image151.png"/><Relationship Id="rId16" Type="http://schemas.openxmlformats.org/officeDocument/2006/relationships/footer" Target="footer2.xml"/><Relationship Id="rId221" Type="http://schemas.openxmlformats.org/officeDocument/2006/relationships/footer" Target="footer35.xml"/><Relationship Id="rId242" Type="http://schemas.openxmlformats.org/officeDocument/2006/relationships/image" Target="media/image179.png"/><Relationship Id="rId263" Type="http://schemas.openxmlformats.org/officeDocument/2006/relationships/image" Target="media/image200.png"/><Relationship Id="rId284" Type="http://schemas.openxmlformats.org/officeDocument/2006/relationships/image" Target="media/image221.png"/><Relationship Id="rId37" Type="http://schemas.openxmlformats.org/officeDocument/2006/relationships/header" Target="header1.xml"/><Relationship Id="rId58" Type="http://schemas.openxmlformats.org/officeDocument/2006/relationships/header" Target="header11.xml"/><Relationship Id="rId79" Type="http://schemas.openxmlformats.org/officeDocument/2006/relationships/image" Target="media/image30.png"/><Relationship Id="rId102" Type="http://schemas.openxmlformats.org/officeDocument/2006/relationships/image" Target="media/image53.png"/><Relationship Id="rId123" Type="http://schemas.openxmlformats.org/officeDocument/2006/relationships/image" Target="media/image74.png"/><Relationship Id="rId144" Type="http://schemas.openxmlformats.org/officeDocument/2006/relationships/image" Target="media/image95.png"/><Relationship Id="rId90" Type="http://schemas.openxmlformats.org/officeDocument/2006/relationships/image" Target="media/image41.png"/><Relationship Id="rId165" Type="http://schemas.openxmlformats.org/officeDocument/2006/relationships/image" Target="media/image116.png"/><Relationship Id="rId186" Type="http://schemas.openxmlformats.org/officeDocument/2006/relationships/image" Target="media/image137.png"/><Relationship Id="rId211" Type="http://schemas.openxmlformats.org/officeDocument/2006/relationships/image" Target="media/image162.png"/><Relationship Id="rId232" Type="http://schemas.openxmlformats.org/officeDocument/2006/relationships/image" Target="media/image169.png"/><Relationship Id="rId253" Type="http://schemas.openxmlformats.org/officeDocument/2006/relationships/image" Target="media/image190.png"/><Relationship Id="rId274" Type="http://schemas.openxmlformats.org/officeDocument/2006/relationships/image" Target="media/image211.png"/><Relationship Id="rId295" Type="http://schemas.openxmlformats.org/officeDocument/2006/relationships/image" Target="media/image232.png"/><Relationship Id="rId309" Type="http://schemas.openxmlformats.org/officeDocument/2006/relationships/footer" Target="footer46.xml"/><Relationship Id="rId27" Type="http://schemas.openxmlformats.org/officeDocument/2006/relationships/footer" Target="footer12.xml"/><Relationship Id="rId48" Type="http://schemas.openxmlformats.org/officeDocument/2006/relationships/footer" Target="footer25.xml"/><Relationship Id="rId69" Type="http://schemas.openxmlformats.org/officeDocument/2006/relationships/image" Target="media/image20.png"/><Relationship Id="rId113" Type="http://schemas.openxmlformats.org/officeDocument/2006/relationships/image" Target="media/image64.png"/><Relationship Id="rId134" Type="http://schemas.openxmlformats.org/officeDocument/2006/relationships/image" Target="media/image85.png"/><Relationship Id="rId80" Type="http://schemas.openxmlformats.org/officeDocument/2006/relationships/image" Target="media/image31.png"/><Relationship Id="rId155" Type="http://schemas.openxmlformats.org/officeDocument/2006/relationships/image" Target="media/image106.png"/><Relationship Id="rId176" Type="http://schemas.openxmlformats.org/officeDocument/2006/relationships/image" Target="media/image127.png"/><Relationship Id="rId197" Type="http://schemas.openxmlformats.org/officeDocument/2006/relationships/image" Target="media/image148.png"/><Relationship Id="rId201" Type="http://schemas.openxmlformats.org/officeDocument/2006/relationships/image" Target="media/image152.png"/><Relationship Id="rId222" Type="http://schemas.openxmlformats.org/officeDocument/2006/relationships/header" Target="header17.xml"/><Relationship Id="rId243" Type="http://schemas.openxmlformats.org/officeDocument/2006/relationships/image" Target="media/image180.png"/><Relationship Id="rId264" Type="http://schemas.openxmlformats.org/officeDocument/2006/relationships/image" Target="media/image201.png"/><Relationship Id="rId285" Type="http://schemas.openxmlformats.org/officeDocument/2006/relationships/image" Target="media/image222.png"/><Relationship Id="rId17" Type="http://schemas.openxmlformats.org/officeDocument/2006/relationships/footer" Target="footer3.xml"/><Relationship Id="rId38" Type="http://schemas.openxmlformats.org/officeDocument/2006/relationships/footer" Target="footer20.xml"/><Relationship Id="rId59" Type="http://schemas.openxmlformats.org/officeDocument/2006/relationships/footer" Target="footer30.xml"/><Relationship Id="rId103" Type="http://schemas.openxmlformats.org/officeDocument/2006/relationships/image" Target="media/image54.png"/><Relationship Id="rId124" Type="http://schemas.openxmlformats.org/officeDocument/2006/relationships/image" Target="media/image75.png"/><Relationship Id="rId310" Type="http://schemas.openxmlformats.org/officeDocument/2006/relationships/image" Target="media/image239.jpeg"/><Relationship Id="rId70" Type="http://schemas.openxmlformats.org/officeDocument/2006/relationships/image" Target="media/image21.png"/><Relationship Id="rId91" Type="http://schemas.openxmlformats.org/officeDocument/2006/relationships/image" Target="media/image42.png"/><Relationship Id="rId145" Type="http://schemas.openxmlformats.org/officeDocument/2006/relationships/image" Target="media/image96.png"/><Relationship Id="rId166" Type="http://schemas.openxmlformats.org/officeDocument/2006/relationships/image" Target="media/image117.png"/><Relationship Id="rId187" Type="http://schemas.openxmlformats.org/officeDocument/2006/relationships/image" Target="media/image138.png"/><Relationship Id="rId1" Type="http://schemas.openxmlformats.org/officeDocument/2006/relationships/customXml" Target="../customXml/item1.xml"/><Relationship Id="rId212" Type="http://schemas.openxmlformats.org/officeDocument/2006/relationships/image" Target="media/image163.png"/><Relationship Id="rId233" Type="http://schemas.openxmlformats.org/officeDocument/2006/relationships/image" Target="media/image170.png"/><Relationship Id="rId254" Type="http://schemas.openxmlformats.org/officeDocument/2006/relationships/image" Target="media/image191.png"/><Relationship Id="rId28" Type="http://schemas.openxmlformats.org/officeDocument/2006/relationships/footer" Target="footer13.xml"/><Relationship Id="rId49" Type="http://schemas.openxmlformats.org/officeDocument/2006/relationships/header" Target="header7.xml"/><Relationship Id="rId114" Type="http://schemas.openxmlformats.org/officeDocument/2006/relationships/image" Target="media/image65.png"/><Relationship Id="rId275" Type="http://schemas.openxmlformats.org/officeDocument/2006/relationships/image" Target="media/image212.png"/><Relationship Id="rId296" Type="http://schemas.openxmlformats.org/officeDocument/2006/relationships/image" Target="media/image233.png"/><Relationship Id="rId300" Type="http://schemas.openxmlformats.org/officeDocument/2006/relationships/image" Target="media/image237.png"/><Relationship Id="rId60" Type="http://schemas.openxmlformats.org/officeDocument/2006/relationships/header" Target="header12.xml"/><Relationship Id="rId81" Type="http://schemas.openxmlformats.org/officeDocument/2006/relationships/image" Target="media/image32.png"/><Relationship Id="rId135" Type="http://schemas.openxmlformats.org/officeDocument/2006/relationships/image" Target="media/image86.png"/><Relationship Id="rId156" Type="http://schemas.openxmlformats.org/officeDocument/2006/relationships/image" Target="media/image107.png"/><Relationship Id="rId177" Type="http://schemas.openxmlformats.org/officeDocument/2006/relationships/image" Target="media/image128.png"/><Relationship Id="rId198" Type="http://schemas.openxmlformats.org/officeDocument/2006/relationships/image" Target="media/image149.png"/><Relationship Id="rId202" Type="http://schemas.openxmlformats.org/officeDocument/2006/relationships/image" Target="media/image153.png"/><Relationship Id="rId223" Type="http://schemas.openxmlformats.org/officeDocument/2006/relationships/footer" Target="footer36.xml"/><Relationship Id="rId244" Type="http://schemas.openxmlformats.org/officeDocument/2006/relationships/image" Target="media/image181.png"/><Relationship Id="rId18" Type="http://schemas.openxmlformats.org/officeDocument/2006/relationships/footer" Target="footer4.xml"/><Relationship Id="rId39" Type="http://schemas.openxmlformats.org/officeDocument/2006/relationships/header" Target="header2.xml"/><Relationship Id="rId265" Type="http://schemas.openxmlformats.org/officeDocument/2006/relationships/image" Target="media/image202.png"/><Relationship Id="rId286" Type="http://schemas.openxmlformats.org/officeDocument/2006/relationships/image" Target="media/image223.png"/><Relationship Id="rId50" Type="http://schemas.openxmlformats.org/officeDocument/2006/relationships/footer" Target="footer26.xml"/><Relationship Id="rId104" Type="http://schemas.openxmlformats.org/officeDocument/2006/relationships/image" Target="media/image55.png"/><Relationship Id="rId125" Type="http://schemas.openxmlformats.org/officeDocument/2006/relationships/image" Target="media/image76.png"/><Relationship Id="rId146" Type="http://schemas.openxmlformats.org/officeDocument/2006/relationships/image" Target="media/image97.png"/><Relationship Id="rId167" Type="http://schemas.openxmlformats.org/officeDocument/2006/relationships/image" Target="media/image118.png"/><Relationship Id="rId188" Type="http://schemas.openxmlformats.org/officeDocument/2006/relationships/image" Target="media/image139.png"/><Relationship Id="rId311" Type="http://schemas.openxmlformats.org/officeDocument/2006/relationships/fontTable" Target="fontTable.xml"/><Relationship Id="rId71" Type="http://schemas.openxmlformats.org/officeDocument/2006/relationships/image" Target="media/image22.png"/><Relationship Id="rId92" Type="http://schemas.openxmlformats.org/officeDocument/2006/relationships/image" Target="media/image43.png"/><Relationship Id="rId213" Type="http://schemas.openxmlformats.org/officeDocument/2006/relationships/image" Target="media/image164.png"/><Relationship Id="rId234" Type="http://schemas.openxmlformats.org/officeDocument/2006/relationships/image" Target="media/image171.png"/><Relationship Id="rId2" Type="http://schemas.openxmlformats.org/officeDocument/2006/relationships/numbering" Target="numbering.xml"/><Relationship Id="rId29" Type="http://schemas.openxmlformats.org/officeDocument/2006/relationships/footer" Target="footer14.xml"/><Relationship Id="rId255" Type="http://schemas.openxmlformats.org/officeDocument/2006/relationships/image" Target="media/image192.png"/><Relationship Id="rId276" Type="http://schemas.openxmlformats.org/officeDocument/2006/relationships/image" Target="media/image213.png"/><Relationship Id="rId297" Type="http://schemas.openxmlformats.org/officeDocument/2006/relationships/image" Target="media/image234.png"/><Relationship Id="rId40" Type="http://schemas.openxmlformats.org/officeDocument/2006/relationships/footer" Target="footer21.xml"/><Relationship Id="rId115" Type="http://schemas.openxmlformats.org/officeDocument/2006/relationships/image" Target="media/image66.png"/><Relationship Id="rId136" Type="http://schemas.openxmlformats.org/officeDocument/2006/relationships/image" Target="media/image87.png"/><Relationship Id="rId157" Type="http://schemas.openxmlformats.org/officeDocument/2006/relationships/image" Target="media/image108.png"/><Relationship Id="rId178" Type="http://schemas.openxmlformats.org/officeDocument/2006/relationships/image" Target="media/image129.png"/><Relationship Id="rId301" Type="http://schemas.openxmlformats.org/officeDocument/2006/relationships/image" Target="media/image238.png"/><Relationship Id="rId61" Type="http://schemas.openxmlformats.org/officeDocument/2006/relationships/footer" Target="footer31.xml"/><Relationship Id="rId82" Type="http://schemas.openxmlformats.org/officeDocument/2006/relationships/image" Target="media/image33.png"/><Relationship Id="rId199" Type="http://schemas.openxmlformats.org/officeDocument/2006/relationships/image" Target="media/image150.png"/><Relationship Id="rId203" Type="http://schemas.openxmlformats.org/officeDocument/2006/relationships/image" Target="media/image154.png"/><Relationship Id="rId19" Type="http://schemas.openxmlformats.org/officeDocument/2006/relationships/footer" Target="footer5.xml"/><Relationship Id="rId224" Type="http://schemas.openxmlformats.org/officeDocument/2006/relationships/header" Target="header18.xml"/><Relationship Id="rId245" Type="http://schemas.openxmlformats.org/officeDocument/2006/relationships/image" Target="media/image182.png"/><Relationship Id="rId266" Type="http://schemas.openxmlformats.org/officeDocument/2006/relationships/image" Target="media/image203.png"/><Relationship Id="rId287" Type="http://schemas.openxmlformats.org/officeDocument/2006/relationships/image" Target="media/image224.png"/><Relationship Id="rId30" Type="http://schemas.openxmlformats.org/officeDocument/2006/relationships/footer" Target="footer15.xml"/><Relationship Id="rId105" Type="http://schemas.openxmlformats.org/officeDocument/2006/relationships/image" Target="media/image56.png"/><Relationship Id="rId126" Type="http://schemas.openxmlformats.org/officeDocument/2006/relationships/image" Target="media/image77.png"/><Relationship Id="rId147" Type="http://schemas.openxmlformats.org/officeDocument/2006/relationships/image" Target="media/image98.png"/><Relationship Id="rId168" Type="http://schemas.openxmlformats.org/officeDocument/2006/relationships/image" Target="media/image119.png"/><Relationship Id="rId312" Type="http://schemas.openxmlformats.org/officeDocument/2006/relationships/theme" Target="theme/theme1.xml"/><Relationship Id="rId51" Type="http://schemas.openxmlformats.org/officeDocument/2006/relationships/image" Target="media/image12.png"/><Relationship Id="rId72" Type="http://schemas.openxmlformats.org/officeDocument/2006/relationships/image" Target="media/image23.png"/><Relationship Id="rId93" Type="http://schemas.openxmlformats.org/officeDocument/2006/relationships/image" Target="media/image44.png"/><Relationship Id="rId189" Type="http://schemas.openxmlformats.org/officeDocument/2006/relationships/image" Target="media/image140.png"/><Relationship Id="rId3" Type="http://schemas.openxmlformats.org/officeDocument/2006/relationships/styles" Target="styles.xml"/><Relationship Id="rId214" Type="http://schemas.openxmlformats.org/officeDocument/2006/relationships/header" Target="header13.xml"/><Relationship Id="rId235" Type="http://schemas.openxmlformats.org/officeDocument/2006/relationships/image" Target="media/image172.png"/><Relationship Id="rId256" Type="http://schemas.openxmlformats.org/officeDocument/2006/relationships/image" Target="media/image193.png"/><Relationship Id="rId277" Type="http://schemas.openxmlformats.org/officeDocument/2006/relationships/image" Target="media/image214.png"/><Relationship Id="rId298" Type="http://schemas.openxmlformats.org/officeDocument/2006/relationships/image" Target="media/image235.png"/><Relationship Id="rId116" Type="http://schemas.openxmlformats.org/officeDocument/2006/relationships/image" Target="media/image67.png"/><Relationship Id="rId137" Type="http://schemas.openxmlformats.org/officeDocument/2006/relationships/image" Target="media/image88.png"/><Relationship Id="rId158" Type="http://schemas.openxmlformats.org/officeDocument/2006/relationships/image" Target="media/image109.png"/><Relationship Id="rId302" Type="http://schemas.openxmlformats.org/officeDocument/2006/relationships/footer" Target="footer39.xml"/><Relationship Id="rId20" Type="http://schemas.openxmlformats.org/officeDocument/2006/relationships/footer" Target="footer6.xml"/><Relationship Id="rId41" Type="http://schemas.openxmlformats.org/officeDocument/2006/relationships/header" Target="header3.xml"/><Relationship Id="rId62" Type="http://schemas.openxmlformats.org/officeDocument/2006/relationships/image" Target="media/image13.png"/><Relationship Id="rId83" Type="http://schemas.openxmlformats.org/officeDocument/2006/relationships/image" Target="media/image34.png"/><Relationship Id="rId179" Type="http://schemas.openxmlformats.org/officeDocument/2006/relationships/image" Target="media/image130.png"/><Relationship Id="rId190" Type="http://schemas.openxmlformats.org/officeDocument/2006/relationships/image" Target="media/image141.png"/><Relationship Id="rId204" Type="http://schemas.openxmlformats.org/officeDocument/2006/relationships/image" Target="media/image155.png"/><Relationship Id="rId225" Type="http://schemas.openxmlformats.org/officeDocument/2006/relationships/footer" Target="footer37.xml"/><Relationship Id="rId246" Type="http://schemas.openxmlformats.org/officeDocument/2006/relationships/image" Target="media/image183.png"/><Relationship Id="rId267" Type="http://schemas.openxmlformats.org/officeDocument/2006/relationships/image" Target="media/image204.png"/><Relationship Id="rId288" Type="http://schemas.openxmlformats.org/officeDocument/2006/relationships/image" Target="media/image225.png"/><Relationship Id="rId106" Type="http://schemas.openxmlformats.org/officeDocument/2006/relationships/image" Target="media/image57.png"/><Relationship Id="rId127" Type="http://schemas.openxmlformats.org/officeDocument/2006/relationships/image" Target="media/image78.png"/><Relationship Id="rId10" Type="http://schemas.openxmlformats.org/officeDocument/2006/relationships/image" Target="media/image4.jpeg"/><Relationship Id="rId31" Type="http://schemas.openxmlformats.org/officeDocument/2006/relationships/footer" Target="footer16.xml"/><Relationship Id="rId52" Type="http://schemas.openxmlformats.org/officeDocument/2006/relationships/header" Target="header8.xml"/><Relationship Id="rId73" Type="http://schemas.openxmlformats.org/officeDocument/2006/relationships/image" Target="media/image24.png"/><Relationship Id="rId94" Type="http://schemas.openxmlformats.org/officeDocument/2006/relationships/image" Target="media/image45.png"/><Relationship Id="rId148" Type="http://schemas.openxmlformats.org/officeDocument/2006/relationships/image" Target="media/image99.png"/><Relationship Id="rId169" Type="http://schemas.openxmlformats.org/officeDocument/2006/relationships/image" Target="media/image120.png"/><Relationship Id="rId4" Type="http://schemas.openxmlformats.org/officeDocument/2006/relationships/settings" Target="settings.xml"/><Relationship Id="rId180" Type="http://schemas.openxmlformats.org/officeDocument/2006/relationships/image" Target="media/image131.png"/><Relationship Id="rId215" Type="http://schemas.openxmlformats.org/officeDocument/2006/relationships/footer" Target="footer32.xml"/><Relationship Id="rId236" Type="http://schemas.openxmlformats.org/officeDocument/2006/relationships/image" Target="media/image173.png"/><Relationship Id="rId257" Type="http://schemas.openxmlformats.org/officeDocument/2006/relationships/image" Target="media/image194.png"/><Relationship Id="rId278" Type="http://schemas.openxmlformats.org/officeDocument/2006/relationships/image" Target="media/image215.png"/><Relationship Id="rId303" Type="http://schemas.openxmlformats.org/officeDocument/2006/relationships/footer" Target="footer40.xml"/><Relationship Id="rId42" Type="http://schemas.openxmlformats.org/officeDocument/2006/relationships/footer" Target="footer22.xml"/><Relationship Id="rId84" Type="http://schemas.openxmlformats.org/officeDocument/2006/relationships/image" Target="media/image35.png"/><Relationship Id="rId138" Type="http://schemas.openxmlformats.org/officeDocument/2006/relationships/image" Target="media/image89.png"/><Relationship Id="rId191" Type="http://schemas.openxmlformats.org/officeDocument/2006/relationships/image" Target="media/image142.png"/><Relationship Id="rId205" Type="http://schemas.openxmlformats.org/officeDocument/2006/relationships/image" Target="media/image156.png"/><Relationship Id="rId247" Type="http://schemas.openxmlformats.org/officeDocument/2006/relationships/image" Target="media/image184.png"/><Relationship Id="rId107" Type="http://schemas.openxmlformats.org/officeDocument/2006/relationships/image" Target="media/image58.png"/><Relationship Id="rId289" Type="http://schemas.openxmlformats.org/officeDocument/2006/relationships/image" Target="media/image226.png"/><Relationship Id="rId11" Type="http://schemas.openxmlformats.org/officeDocument/2006/relationships/image" Target="media/image5.jpeg"/><Relationship Id="rId53" Type="http://schemas.openxmlformats.org/officeDocument/2006/relationships/footer" Target="footer27.xml"/><Relationship Id="rId149" Type="http://schemas.openxmlformats.org/officeDocument/2006/relationships/image" Target="media/image100.png"/><Relationship Id="rId95" Type="http://schemas.openxmlformats.org/officeDocument/2006/relationships/image" Target="media/image46.png"/><Relationship Id="rId160" Type="http://schemas.openxmlformats.org/officeDocument/2006/relationships/image" Target="media/image111.png"/><Relationship Id="rId216" Type="http://schemas.openxmlformats.org/officeDocument/2006/relationships/header" Target="header14.xml"/><Relationship Id="rId258" Type="http://schemas.openxmlformats.org/officeDocument/2006/relationships/image" Target="media/image195.png"/><Relationship Id="rId22" Type="http://schemas.openxmlformats.org/officeDocument/2006/relationships/footer" Target="footer8.xml"/><Relationship Id="rId64" Type="http://schemas.openxmlformats.org/officeDocument/2006/relationships/image" Target="media/image15.png"/><Relationship Id="rId118" Type="http://schemas.openxmlformats.org/officeDocument/2006/relationships/image" Target="media/image69.png"/><Relationship Id="rId171" Type="http://schemas.openxmlformats.org/officeDocument/2006/relationships/image" Target="media/image122.png"/><Relationship Id="rId227" Type="http://schemas.openxmlformats.org/officeDocument/2006/relationships/footer" Target="footer38.xml"/><Relationship Id="rId269" Type="http://schemas.openxmlformats.org/officeDocument/2006/relationships/image" Target="media/image206.png"/><Relationship Id="rId33" Type="http://schemas.openxmlformats.org/officeDocument/2006/relationships/footer" Target="footer18.xml"/><Relationship Id="rId129" Type="http://schemas.openxmlformats.org/officeDocument/2006/relationships/image" Target="media/image80.png"/><Relationship Id="rId280" Type="http://schemas.openxmlformats.org/officeDocument/2006/relationships/image" Target="media/image217.png"/><Relationship Id="rId75" Type="http://schemas.openxmlformats.org/officeDocument/2006/relationships/image" Target="media/image26.png"/><Relationship Id="rId140" Type="http://schemas.openxmlformats.org/officeDocument/2006/relationships/image" Target="media/image91.png"/><Relationship Id="rId182" Type="http://schemas.openxmlformats.org/officeDocument/2006/relationships/image" Target="media/image133.png"/><Relationship Id="rId6" Type="http://schemas.openxmlformats.org/officeDocument/2006/relationships/footnotes" Target="footnotes.xml"/><Relationship Id="rId238" Type="http://schemas.openxmlformats.org/officeDocument/2006/relationships/image" Target="media/image175.png"/><Relationship Id="rId291" Type="http://schemas.openxmlformats.org/officeDocument/2006/relationships/image" Target="media/image228.png"/><Relationship Id="rId305" Type="http://schemas.openxmlformats.org/officeDocument/2006/relationships/footer" Target="footer4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20517-8179-48BA-ACF2-ECFF8F251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1770</TotalTime>
  <Pages>164</Pages>
  <Words>59112</Words>
  <Characters>336945</Characters>
  <Application>Microsoft Office Word</Application>
  <DocSecurity>0</DocSecurity>
  <Lines>2807</Lines>
  <Paragraphs>790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Olena Kramchenko</dc:creator>
  <cp:keywords/>
  <dc:description/>
  <cp:lastModifiedBy>Evgeniy Litvintsev</cp:lastModifiedBy>
  <cp:revision>82</cp:revision>
  <dcterms:created xsi:type="dcterms:W3CDTF">2021-07-28T07:46:00Z</dcterms:created>
  <dcterms:modified xsi:type="dcterms:W3CDTF">2021-08-17T12:15:00Z</dcterms:modified>
</cp:coreProperties>
</file>