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word/header4.xml" ContentType="application/vnd.openxmlformats-officedocument.wordprocessingml.head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header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7.xml" ContentType="application/vnd.openxmlformats-officedocument.wordprocessingml.header+xml"/>
  <Override PartName="/word/footer2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2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24.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0A87" w:rsidRPr="006263CF" w:rsidRDefault="007E6088" w:rsidP="006263CF">
      <w:pPr>
        <w:framePr w:w="7929" w:h="8933" w:hRule="exact" w:hSpace="10080" w:wrap="notBeside" w:vAnchor="text" w:hAnchor="margin" w:x="702" w:y="3222"/>
        <w:rPr>
          <w:rFonts w:asciiTheme="minorHAnsi" w:hAnsiTheme="minorHAnsi" w:cstheme="minorHAnsi"/>
          <w:color w:val="FF0000"/>
        </w:rPr>
      </w:pPr>
      <w:bookmarkStart w:id="0" w:name="_GoBack"/>
      <w:bookmarkEnd w:id="0"/>
      <w:r w:rsidRPr="006263CF">
        <w:rPr>
          <w:rFonts w:asciiTheme="minorHAnsi" w:hAnsiTheme="minorHAnsi" w:cstheme="minorHAnsi"/>
          <w:noProof/>
        </w:rPr>
        <w:drawing>
          <wp:anchor distT="0" distB="0" distL="6400800" distR="6400800" simplePos="0" relativeHeight="251658240" behindDoc="1" locked="0" layoutInCell="0" allowOverlap="1" wp14:anchorId="6E5D46EF" wp14:editId="0B772E3F">
            <wp:simplePos x="0" y="0"/>
            <wp:positionH relativeFrom="margin">
              <wp:posOffset>635</wp:posOffset>
            </wp:positionH>
            <wp:positionV relativeFrom="paragraph">
              <wp:posOffset>-2045335</wp:posOffset>
            </wp:positionV>
            <wp:extent cx="7559040" cy="10692130"/>
            <wp:effectExtent l="0" t="0" r="3810" b="0"/>
            <wp:wrapNone/>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0A87" w:rsidRPr="006263CF" w:rsidRDefault="005C0A87" w:rsidP="006263CF">
      <w:pPr>
        <w:framePr w:w="2017" w:h="846" w:hRule="exact" w:hSpace="10080" w:wrap="notBeside" w:vAnchor="text" w:hAnchor="margin" w:x="9150" w:y="14919"/>
        <w:shd w:val="clear" w:color="auto" w:fill="4270AB"/>
        <w:rPr>
          <w:rFonts w:asciiTheme="minorHAnsi" w:hAnsiTheme="minorHAnsi" w:cstheme="minorHAnsi"/>
          <w:sz w:val="16"/>
        </w:rPr>
      </w:pPr>
      <w:r w:rsidRPr="006263CF">
        <w:rPr>
          <w:rFonts w:asciiTheme="minorHAnsi" w:hAnsiTheme="minorHAnsi" w:cstheme="minorHAnsi"/>
          <w:b/>
          <w:bCs/>
          <w:color w:val="FFFFFF"/>
          <w:sz w:val="24"/>
          <w:szCs w:val="32"/>
        </w:rPr>
        <w:t>Всесвітня організація охорони здоров’я</w:t>
      </w:r>
    </w:p>
    <w:p w:rsidR="005C0A87" w:rsidRPr="006263CF" w:rsidRDefault="007E6088" w:rsidP="006263CF">
      <w:pPr>
        <w:rPr>
          <w:rFonts w:asciiTheme="minorHAnsi" w:hAnsiTheme="minorHAnsi" w:cstheme="minorHAnsi"/>
          <w:sz w:val="4"/>
          <w:szCs w:val="2"/>
        </w:rPr>
      </w:pPr>
      <w:r w:rsidRPr="006263CF">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5E20ADD" wp14:editId="1BC785AC">
                <wp:simplePos x="0" y="0"/>
                <wp:positionH relativeFrom="page">
                  <wp:posOffset>322580</wp:posOffset>
                </wp:positionH>
                <wp:positionV relativeFrom="page">
                  <wp:posOffset>1986915</wp:posOffset>
                </wp:positionV>
                <wp:extent cx="6833870" cy="6474460"/>
                <wp:effectExtent l="0" t="0" r="0" b="0"/>
                <wp:wrapNone/>
                <wp:docPr id="19" name="Поле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3870" cy="647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5867" w:rsidRPr="006263CF" w:rsidRDefault="00395867" w:rsidP="00445738">
                            <w:pPr>
                              <w:pStyle w:val="Default"/>
                              <w:rPr>
                                <w:rFonts w:asciiTheme="minorHAnsi" w:hAnsiTheme="minorHAnsi" w:cstheme="minorHAnsi"/>
                              </w:rPr>
                            </w:pPr>
                          </w:p>
                          <w:p w:rsidR="00395867" w:rsidRPr="006263CF" w:rsidRDefault="00395867" w:rsidP="00445738">
                            <w:pPr>
                              <w:pStyle w:val="Default"/>
                              <w:rPr>
                                <w:rFonts w:asciiTheme="minorHAnsi" w:hAnsiTheme="minorHAnsi" w:cstheme="minorHAnsi"/>
                                <w:color w:val="FFFFFF"/>
                                <w:sz w:val="112"/>
                                <w:szCs w:val="112"/>
                              </w:rPr>
                            </w:pPr>
                            <w:r w:rsidRPr="006263CF">
                              <w:rPr>
                                <w:rFonts w:asciiTheme="minorHAnsi" w:hAnsiTheme="minorHAnsi" w:cstheme="minorHAnsi"/>
                              </w:rPr>
                              <w:t xml:space="preserve"> </w:t>
                            </w:r>
                            <w:r w:rsidRPr="006263CF">
                              <w:rPr>
                                <w:rFonts w:asciiTheme="minorHAnsi" w:hAnsiTheme="minorHAnsi" w:cstheme="minorHAnsi"/>
                                <w:color w:val="FFFFFF"/>
                                <w:sz w:val="112"/>
                                <w:szCs w:val="112"/>
                              </w:rPr>
                              <w:t xml:space="preserve">Операційне </w:t>
                            </w:r>
                            <w:r w:rsidRPr="006263CF">
                              <w:rPr>
                                <w:rFonts w:asciiTheme="minorHAnsi" w:hAnsiTheme="minorHAnsi" w:cstheme="minorHAnsi"/>
                                <w:color w:val="FF0000"/>
                                <w:sz w:val="112"/>
                                <w:szCs w:val="112"/>
                              </w:rPr>
                              <w:t xml:space="preserve">керівництво </w:t>
                            </w:r>
                            <w:r w:rsidRPr="006263CF">
                              <w:rPr>
                                <w:rFonts w:asciiTheme="minorHAnsi" w:hAnsiTheme="minorHAnsi" w:cstheme="minorHAnsi"/>
                                <w:color w:val="EB2428"/>
                                <w:sz w:val="112"/>
                                <w:szCs w:val="112"/>
                              </w:rPr>
                              <w:t xml:space="preserve">ВООЗ </w:t>
                            </w:r>
                            <w:r w:rsidRPr="006263CF">
                              <w:rPr>
                                <w:rFonts w:asciiTheme="minorHAnsi" w:hAnsiTheme="minorHAnsi" w:cstheme="minorHAnsi"/>
                                <w:color w:val="FFFFFF"/>
                                <w:sz w:val="112"/>
                                <w:szCs w:val="112"/>
                              </w:rPr>
                              <w:t xml:space="preserve">щодо туберкульозу </w:t>
                            </w:r>
                          </w:p>
                          <w:p w:rsidR="00395867" w:rsidRPr="006263CF" w:rsidRDefault="00395867" w:rsidP="00445738">
                            <w:pPr>
                              <w:pStyle w:val="Default"/>
                              <w:spacing w:before="840"/>
                              <w:rPr>
                                <w:rFonts w:asciiTheme="minorHAnsi" w:hAnsiTheme="minorHAnsi" w:cstheme="minorHAnsi"/>
                                <w:color w:val="FFFFFF"/>
                                <w:sz w:val="121"/>
                                <w:szCs w:val="121"/>
                              </w:rPr>
                            </w:pPr>
                            <w:r w:rsidRPr="006263CF">
                              <w:rPr>
                                <w:rFonts w:asciiTheme="minorHAnsi" w:hAnsiTheme="minorHAnsi" w:cstheme="minorHAnsi"/>
                                <w:color w:val="FFFFFF"/>
                                <w:sz w:val="58"/>
                                <w:szCs w:val="58"/>
                              </w:rPr>
                              <w:t>Модуль 4: Лікування</w:t>
                            </w:r>
                          </w:p>
                          <w:p w:rsidR="00395867" w:rsidRPr="006263CF" w:rsidRDefault="00395867" w:rsidP="00445738">
                            <w:pPr>
                              <w:pStyle w:val="Default"/>
                              <w:spacing w:before="840"/>
                              <w:rPr>
                                <w:rFonts w:asciiTheme="minorHAnsi" w:hAnsiTheme="minorHAnsi" w:cstheme="minorHAnsi"/>
                                <w:sz w:val="58"/>
                                <w:szCs w:val="58"/>
                              </w:rPr>
                            </w:pPr>
                            <w:r w:rsidRPr="006263CF">
                              <w:rPr>
                                <w:rFonts w:asciiTheme="minorHAnsi" w:hAnsiTheme="minorHAnsi" w:cstheme="minorHAnsi"/>
                                <w:b/>
                                <w:bCs/>
                                <w:color w:val="272972"/>
                                <w:sz w:val="62"/>
                                <w:szCs w:val="62"/>
                              </w:rPr>
                              <w:t xml:space="preserve">Лікування лікарсько-стійкого туберкульозу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5E20ADD" id="_x0000_t202" coordsize="21600,21600" o:spt="202" path="m,l,21600r21600,l21600,xe">
                <v:stroke joinstyle="miter"/>
                <v:path gradientshapeok="t" o:connecttype="rect"/>
              </v:shapetype>
              <v:shape id="Поле 66" o:spid="_x0000_s1026" type="#_x0000_t202" style="position:absolute;margin-left:25.4pt;margin-top:156.45pt;width:538.1pt;height:509.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" filled="f" stroked="f" strokeweight=".5pt">
                <v:textbox inset="0,0,0,0">
                  <w:txbxContent>
                    <w:p w:rsidR="00395867" w:rsidRPr="006263CF" w:rsidRDefault="00395867" w:rsidP="00445738">
                      <w:pPr>
                        <w:pStyle w:val="Default"/>
                        <w:rPr>
                          <w:rFonts w:asciiTheme="minorHAnsi" w:hAnsiTheme="minorHAnsi" w:cstheme="minorHAnsi"/>
                        </w:rPr>
                      </w:pPr>
                    </w:p>
                    <w:p w:rsidR="00395867" w:rsidRPr="006263CF" w:rsidRDefault="00395867" w:rsidP="00445738">
                      <w:pPr>
                        <w:pStyle w:val="Default"/>
                        <w:rPr>
                          <w:rFonts w:asciiTheme="minorHAnsi" w:hAnsiTheme="minorHAnsi" w:cstheme="minorHAnsi"/>
                          <w:color w:val="FFFFFF"/>
                          <w:sz w:val="112"/>
                          <w:szCs w:val="112"/>
                        </w:rPr>
                      </w:pPr>
                      <w:r w:rsidRPr="006263CF">
                        <w:rPr>
                          <w:rFonts w:asciiTheme="minorHAnsi" w:hAnsiTheme="minorHAnsi" w:cstheme="minorHAnsi"/>
                        </w:rPr>
                        <w:t xml:space="preserve"> </w:t>
                      </w:r>
                      <w:r w:rsidRPr="006263CF">
                        <w:rPr>
                          <w:rFonts w:asciiTheme="minorHAnsi" w:hAnsiTheme="minorHAnsi" w:cstheme="minorHAnsi"/>
                          <w:color w:val="FFFFFF"/>
                          <w:sz w:val="112"/>
                          <w:szCs w:val="112"/>
                        </w:rPr>
                        <w:t xml:space="preserve">Операційне </w:t>
                      </w:r>
                      <w:r w:rsidRPr="006263CF">
                        <w:rPr>
                          <w:rFonts w:asciiTheme="minorHAnsi" w:hAnsiTheme="minorHAnsi" w:cstheme="minorHAnsi"/>
                          <w:color w:val="FF0000"/>
                          <w:sz w:val="112"/>
                          <w:szCs w:val="112"/>
                        </w:rPr>
                        <w:t xml:space="preserve">керівництво </w:t>
                      </w:r>
                      <w:r w:rsidRPr="006263CF">
                        <w:rPr>
                          <w:rFonts w:asciiTheme="minorHAnsi" w:hAnsiTheme="minorHAnsi" w:cstheme="minorHAnsi"/>
                          <w:color w:val="EB2428"/>
                          <w:sz w:val="112"/>
                          <w:szCs w:val="112"/>
                        </w:rPr>
                        <w:t xml:space="preserve">ВООЗ </w:t>
                      </w:r>
                      <w:r w:rsidRPr="006263CF">
                        <w:rPr>
                          <w:rFonts w:asciiTheme="minorHAnsi" w:hAnsiTheme="minorHAnsi" w:cstheme="minorHAnsi"/>
                          <w:color w:val="FFFFFF"/>
                          <w:sz w:val="112"/>
                          <w:szCs w:val="112"/>
                        </w:rPr>
                        <w:t xml:space="preserve">щодо туберкульозу </w:t>
                      </w:r>
                    </w:p>
                    <w:p w:rsidR="00395867" w:rsidRPr="006263CF" w:rsidRDefault="00395867" w:rsidP="00445738">
                      <w:pPr>
                        <w:pStyle w:val="Default"/>
                        <w:spacing w:before="840"/>
                        <w:rPr>
                          <w:rFonts w:asciiTheme="minorHAnsi" w:hAnsiTheme="minorHAnsi" w:cstheme="minorHAnsi"/>
                          <w:color w:val="FFFFFF"/>
                          <w:sz w:val="121"/>
                          <w:szCs w:val="121"/>
                        </w:rPr>
                      </w:pPr>
                      <w:r w:rsidRPr="006263CF">
                        <w:rPr>
                          <w:rFonts w:asciiTheme="minorHAnsi" w:hAnsiTheme="minorHAnsi" w:cstheme="minorHAnsi"/>
                          <w:color w:val="FFFFFF"/>
                          <w:sz w:val="58"/>
                          <w:szCs w:val="58"/>
                        </w:rPr>
                        <w:t>Модуль 4: Лікування</w:t>
                      </w:r>
                    </w:p>
                    <w:p w:rsidR="00395867" w:rsidRPr="006263CF" w:rsidRDefault="00395867" w:rsidP="00445738">
                      <w:pPr>
                        <w:pStyle w:val="Default"/>
                        <w:spacing w:before="840"/>
                        <w:rPr>
                          <w:rFonts w:asciiTheme="minorHAnsi" w:hAnsiTheme="minorHAnsi" w:cstheme="minorHAnsi"/>
                          <w:sz w:val="58"/>
                          <w:szCs w:val="58"/>
                        </w:rPr>
                      </w:pPr>
                      <w:r w:rsidRPr="006263CF">
                        <w:rPr>
                          <w:rFonts w:asciiTheme="minorHAnsi" w:hAnsiTheme="minorHAnsi" w:cstheme="minorHAnsi"/>
                          <w:b/>
                          <w:bCs/>
                          <w:color w:val="272972"/>
                          <w:sz w:val="62"/>
                          <w:szCs w:val="62"/>
                        </w:rPr>
                        <w:t xml:space="preserve">Лікування лікарсько-стійкого туберкульозу </w:t>
                      </w:r>
                    </w:p>
                  </w:txbxContent>
                </v:textbox>
                <w10:wrap anchorx="page" anchory="page"/>
              </v:shape>
            </w:pict>
          </mc:Fallback>
        </mc:AlternateContent>
      </w:r>
    </w:p>
    <w:p w:rsidR="005C0A87" w:rsidRPr="006263CF" w:rsidRDefault="005C0A87" w:rsidP="006263CF">
      <w:pPr>
        <w:framePr w:w="1872" w:h="662" w:hRule="exact" w:hSpace="10080" w:wrap="notBeside" w:vAnchor="text" w:hAnchor="margin" w:x="9150" w:y="14987"/>
        <w:ind w:left="101" w:hanging="101"/>
        <w:rPr>
          <w:rFonts w:asciiTheme="minorHAnsi" w:hAnsiTheme="minorHAnsi" w:cstheme="minorHAnsi"/>
        </w:rPr>
        <w:sectPr w:rsidR="005C0A87" w:rsidRPr="006263CF">
          <w:type w:val="continuous"/>
          <w:pgSz w:w="11904" w:h="16838"/>
          <w:pgMar w:top="0" w:right="0" w:bottom="0" w:left="0" w:header="708" w:footer="708" w:gutter="0"/>
          <w:cols w:space="720"/>
          <w:noEndnote/>
        </w:sectPr>
      </w:pPr>
    </w:p>
    <w:p w:rsidR="005C0A87" w:rsidRPr="006263CF" w:rsidRDefault="005C0A87" w:rsidP="006263CF">
      <w:pPr>
        <w:rPr>
          <w:rFonts w:asciiTheme="minorHAnsi" w:hAnsiTheme="minorHAnsi" w:cstheme="minorHAnsi"/>
        </w:rPr>
      </w:pPr>
      <w:r w:rsidRPr="006263CF">
        <w:rPr>
          <w:rFonts w:asciiTheme="minorHAnsi" w:hAnsiTheme="minorHAnsi" w:cstheme="minorHAnsi"/>
          <w:color w:val="000000"/>
          <w:sz w:val="16"/>
          <w:szCs w:val="16"/>
        </w:rPr>
        <w:lastRenderedPageBreak/>
        <w:t>Операційне керівництво ВООЗ щодо туберкульозу. Модуль 4: Лікування лікарсько-стійкого туберкульозу</w:t>
      </w:r>
    </w:p>
    <w:p w:rsidR="005C0A87" w:rsidRPr="006263CF" w:rsidRDefault="005C0A87" w:rsidP="006263CF">
      <w:pPr>
        <w:spacing w:before="101"/>
        <w:ind w:right="5875"/>
        <w:rPr>
          <w:rFonts w:asciiTheme="minorHAnsi" w:hAnsiTheme="minorHAnsi" w:cstheme="minorHAnsi"/>
        </w:rPr>
      </w:pPr>
      <w:r w:rsidRPr="006263CF">
        <w:rPr>
          <w:rFonts w:asciiTheme="minorHAnsi" w:hAnsiTheme="minorHAnsi" w:cstheme="minorHAnsi"/>
          <w:color w:val="000000"/>
          <w:sz w:val="16"/>
          <w:szCs w:val="16"/>
        </w:rPr>
        <w:t>ISBN 978-92-4-000699-7 (електронна версія) ISBN 978-92-4-000700-0 (друкована версія)</w:t>
      </w:r>
    </w:p>
    <w:p w:rsidR="005C0A87" w:rsidRPr="006263CF" w:rsidRDefault="005C0A87" w:rsidP="006263CF">
      <w:pPr>
        <w:spacing w:before="139"/>
        <w:rPr>
          <w:rFonts w:asciiTheme="minorHAnsi" w:hAnsiTheme="minorHAnsi" w:cstheme="minorHAnsi"/>
        </w:rPr>
      </w:pPr>
      <w:r w:rsidRPr="006263CF">
        <w:rPr>
          <w:rFonts w:asciiTheme="minorHAnsi" w:hAnsiTheme="minorHAnsi" w:cstheme="minorHAnsi"/>
          <w:b/>
          <w:bCs/>
          <w:color w:val="000000"/>
          <w:sz w:val="16"/>
          <w:szCs w:val="16"/>
        </w:rPr>
        <w:t>© Всесвітня організація охорони здоров’я 2020 р.</w:t>
      </w:r>
    </w:p>
    <w:p w:rsidR="005C0A87" w:rsidRPr="006263CF" w:rsidRDefault="005C0A87" w:rsidP="006263CF">
      <w:pPr>
        <w:spacing w:before="154"/>
        <w:jc w:val="both"/>
        <w:rPr>
          <w:rFonts w:asciiTheme="minorHAnsi" w:hAnsiTheme="minorHAnsi" w:cstheme="minorHAnsi"/>
        </w:rPr>
      </w:pPr>
      <w:r w:rsidRPr="006263CF">
        <w:rPr>
          <w:rFonts w:asciiTheme="minorHAnsi" w:hAnsiTheme="minorHAnsi" w:cstheme="minorHAnsi"/>
          <w:color w:val="000000"/>
          <w:sz w:val="16"/>
          <w:szCs w:val="16"/>
        </w:rPr>
        <w:t xml:space="preserve">Деякі права захищені. Це керівництво доступно на умовах ліцензії Creative Commons Attribution-NonCommercial-ShareAlike 3.0 IGO (CC BY-NC-SA 3.0 IGO; </w:t>
      </w:r>
      <w:r w:rsidRPr="006263CF">
        <w:rPr>
          <w:rFonts w:asciiTheme="minorHAnsi" w:hAnsiTheme="minorHAnsi" w:cstheme="minorHAnsi"/>
          <w:color w:val="0066CC"/>
          <w:sz w:val="16"/>
          <w:szCs w:val="16"/>
          <w:u w:val="single"/>
        </w:rPr>
        <w:t>https://creativecommons.org/licenses/by-nc-sa/3.0/igo</w:t>
      </w:r>
      <w:r w:rsidRPr="006263CF">
        <w:rPr>
          <w:rFonts w:asciiTheme="minorHAnsi" w:hAnsiTheme="minorHAnsi" w:cstheme="minorHAnsi"/>
          <w:color w:val="000000"/>
          <w:sz w:val="16"/>
          <w:szCs w:val="16"/>
        </w:rPr>
        <w:t>).</w:t>
      </w:r>
    </w:p>
    <w:p w:rsidR="005C0A87" w:rsidRPr="006263CF" w:rsidRDefault="005C0A87" w:rsidP="006263CF">
      <w:pPr>
        <w:spacing w:before="154"/>
        <w:jc w:val="both"/>
        <w:rPr>
          <w:rFonts w:asciiTheme="minorHAnsi" w:hAnsiTheme="minorHAnsi" w:cstheme="minorHAnsi"/>
        </w:rPr>
      </w:pPr>
      <w:r w:rsidRPr="006263CF">
        <w:rPr>
          <w:rFonts w:asciiTheme="minorHAnsi" w:hAnsiTheme="minorHAnsi" w:cstheme="minorHAnsi"/>
          <w:color w:val="000000"/>
          <w:sz w:val="16"/>
          <w:szCs w:val="16"/>
        </w:rPr>
        <w:t>Згідно з умовами цієї ліцензії копіювання, поширення та адаптація роботи для некомерційних цілей дозволяється за умови відповідного цитування цього керівництва, як зазначено нижче. Використання цього керівництва не означає, що ВООЗ схвалює будь-яку конкретну організацію, продукцію чи послуги. Використання логотипу ВООЗ заборонене. У разі адаптації керівництва необхідно ліцензувати свою роботу відповідно до умов тієї ж або аналогічної ліцензії Creative Commons. У разі перекладу цього керівництва слід додати наступну відмову від відповідальності разом із запропонованим цитуванням: «Всесвітня організація охорони здоров’я (ВООЗ) не є автором цього перекладу. ВООЗ не несе відповідальності за зміст або точність цього перекладу. Оригінальне англійське видання є обов’язковим і автентичним виданням».</w:t>
      </w:r>
    </w:p>
    <w:p w:rsidR="005C0A87" w:rsidRPr="006263CF" w:rsidRDefault="005C0A87" w:rsidP="006263CF">
      <w:pPr>
        <w:spacing w:before="149"/>
        <w:ind w:right="5"/>
        <w:jc w:val="both"/>
        <w:rPr>
          <w:rFonts w:asciiTheme="minorHAnsi" w:hAnsiTheme="minorHAnsi" w:cstheme="minorHAnsi"/>
        </w:rPr>
      </w:pPr>
      <w:r w:rsidRPr="006263CF">
        <w:rPr>
          <w:rFonts w:asciiTheme="minorHAnsi" w:hAnsiTheme="minorHAnsi" w:cstheme="minorHAnsi"/>
          <w:color w:val="000000"/>
          <w:sz w:val="16"/>
          <w:szCs w:val="16"/>
        </w:rPr>
        <w:t>Будь-яке посередництво, що стосується суперечок, що виникають щодо ліцензії, здійснюється відповідно до правил посередництва Всесвітньої організації інтелектуальної власності. (</w:t>
      </w:r>
      <w:r w:rsidRPr="006263CF">
        <w:rPr>
          <w:rFonts w:asciiTheme="minorHAnsi" w:hAnsiTheme="minorHAnsi" w:cstheme="minorHAnsi"/>
          <w:color w:val="0066CC"/>
          <w:sz w:val="16"/>
          <w:szCs w:val="16"/>
          <w:u w:val="single"/>
        </w:rPr>
        <w:t>http://www.wipo.int/amc/en/mediation/rules/</w:t>
      </w:r>
      <w:r w:rsidRPr="006263CF">
        <w:rPr>
          <w:rFonts w:asciiTheme="minorHAnsi" w:hAnsiTheme="minorHAnsi" w:cstheme="minorHAnsi"/>
          <w:color w:val="000000"/>
          <w:sz w:val="16"/>
          <w:szCs w:val="16"/>
        </w:rPr>
        <w:t>)</w:t>
      </w:r>
    </w:p>
    <w:p w:rsidR="005C0A87" w:rsidRPr="006263CF" w:rsidRDefault="005C0A87" w:rsidP="006263CF">
      <w:pPr>
        <w:spacing w:before="149"/>
        <w:jc w:val="both"/>
        <w:rPr>
          <w:rFonts w:asciiTheme="minorHAnsi" w:hAnsiTheme="minorHAnsi" w:cstheme="minorHAnsi"/>
        </w:rPr>
      </w:pPr>
      <w:r w:rsidRPr="006263CF">
        <w:rPr>
          <w:rFonts w:asciiTheme="minorHAnsi" w:hAnsiTheme="minorHAnsi" w:cstheme="minorHAnsi"/>
          <w:b/>
          <w:bCs/>
          <w:color w:val="000000"/>
          <w:sz w:val="16"/>
          <w:szCs w:val="16"/>
        </w:rPr>
        <w:t xml:space="preserve">Пропоноване цитування. </w:t>
      </w:r>
      <w:r w:rsidRPr="006263CF">
        <w:rPr>
          <w:rFonts w:asciiTheme="minorHAnsi" w:hAnsiTheme="minorHAnsi" w:cstheme="minorHAnsi"/>
          <w:color w:val="000000"/>
          <w:sz w:val="16"/>
          <w:szCs w:val="16"/>
        </w:rPr>
        <w:t>WHO operational handbook on tuberculosis. Module 4: treatment - drug-resistant tuberculosis treatment. Geneva: World Health Organization; 2020. Licence: CC BY-NC-SA 3.0 IGO.</w:t>
      </w:r>
    </w:p>
    <w:p w:rsidR="005C0A87" w:rsidRPr="006263CF" w:rsidRDefault="005C0A87" w:rsidP="006263CF">
      <w:pPr>
        <w:spacing w:before="149"/>
        <w:rPr>
          <w:rFonts w:asciiTheme="minorHAnsi" w:hAnsiTheme="minorHAnsi" w:cstheme="minorHAnsi"/>
        </w:rPr>
      </w:pPr>
      <w:r w:rsidRPr="006263CF">
        <w:rPr>
          <w:rFonts w:asciiTheme="minorHAnsi" w:hAnsiTheme="minorHAnsi" w:cstheme="minorHAnsi"/>
          <w:b/>
          <w:bCs/>
          <w:color w:val="000000"/>
          <w:sz w:val="16"/>
          <w:szCs w:val="16"/>
        </w:rPr>
        <w:t xml:space="preserve">Бібліографічний запис (БЗ). </w:t>
      </w:r>
      <w:r w:rsidRPr="006263CF">
        <w:rPr>
          <w:rFonts w:asciiTheme="minorHAnsi" w:hAnsiTheme="minorHAnsi" w:cstheme="minorHAnsi"/>
          <w:color w:val="000000"/>
          <w:sz w:val="16"/>
          <w:szCs w:val="16"/>
        </w:rPr>
        <w:t xml:space="preserve">БЗ доступний на вебсайті </w:t>
      </w:r>
      <w:r w:rsidRPr="006263CF">
        <w:rPr>
          <w:rFonts w:asciiTheme="minorHAnsi" w:hAnsiTheme="minorHAnsi" w:cstheme="minorHAnsi"/>
          <w:color w:val="0066CC"/>
          <w:sz w:val="16"/>
          <w:szCs w:val="16"/>
          <w:u w:val="single"/>
        </w:rPr>
        <w:t>http://apps.who.int/iris</w:t>
      </w:r>
      <w:r w:rsidRPr="006263CF">
        <w:rPr>
          <w:rFonts w:asciiTheme="minorHAnsi" w:hAnsiTheme="minorHAnsi" w:cstheme="minorHAnsi"/>
          <w:color w:val="000000"/>
          <w:sz w:val="16"/>
          <w:szCs w:val="16"/>
        </w:rPr>
        <w:t>.</w:t>
      </w:r>
    </w:p>
    <w:p w:rsidR="005C0A87" w:rsidRPr="006263CF" w:rsidRDefault="005C0A87" w:rsidP="006263CF">
      <w:pPr>
        <w:spacing w:before="154"/>
        <w:ind w:right="10"/>
        <w:jc w:val="both"/>
        <w:rPr>
          <w:rFonts w:asciiTheme="minorHAnsi" w:hAnsiTheme="minorHAnsi" w:cstheme="minorHAnsi"/>
        </w:rPr>
      </w:pPr>
      <w:r w:rsidRPr="006263CF">
        <w:rPr>
          <w:rFonts w:asciiTheme="minorHAnsi" w:hAnsiTheme="minorHAnsi" w:cstheme="minorHAnsi"/>
          <w:color w:val="000000"/>
          <w:sz w:val="16"/>
          <w:szCs w:val="16"/>
        </w:rPr>
        <w:t>Продажі, права та ліцензування. Щоб придбати публікації ВООЗ, перейдіть за посиланням</w:t>
      </w:r>
      <w:r w:rsidRPr="006263CF">
        <w:rPr>
          <w:rFonts w:asciiTheme="minorHAnsi" w:hAnsiTheme="minorHAnsi" w:cstheme="minorHAnsi"/>
          <w:color w:val="0066CC"/>
          <w:sz w:val="16"/>
          <w:szCs w:val="16"/>
          <w:u w:val="single"/>
        </w:rPr>
        <w:t>http://apps.who.int/bookorders</w:t>
      </w:r>
      <w:r w:rsidRPr="006263CF">
        <w:rPr>
          <w:rFonts w:asciiTheme="minorHAnsi" w:hAnsiTheme="minorHAnsi" w:cstheme="minorHAnsi"/>
          <w:color w:val="000000"/>
          <w:sz w:val="16"/>
          <w:szCs w:val="16"/>
        </w:rPr>
        <w:t xml:space="preserve">. Інформацію щодо подання запитів стосовно комерційного використання та запитів стосовно прав та ліцензування, див. </w:t>
      </w:r>
      <w:r w:rsidRPr="006263CF">
        <w:rPr>
          <w:rFonts w:asciiTheme="minorHAnsi" w:hAnsiTheme="minorHAnsi" w:cstheme="minorHAnsi"/>
          <w:color w:val="0066CC"/>
          <w:sz w:val="16"/>
          <w:szCs w:val="16"/>
          <w:u w:val="single"/>
        </w:rPr>
        <w:t>http://www.who.int/about/licensing</w:t>
      </w:r>
      <w:r w:rsidRPr="006263CF">
        <w:rPr>
          <w:rFonts w:asciiTheme="minorHAnsi" w:hAnsiTheme="minorHAnsi" w:cstheme="minorHAnsi"/>
          <w:color w:val="000000"/>
          <w:sz w:val="16"/>
          <w:szCs w:val="16"/>
        </w:rPr>
        <w:t>.</w:t>
      </w:r>
    </w:p>
    <w:p w:rsidR="005C0A87" w:rsidRPr="006263CF" w:rsidRDefault="005C0A87" w:rsidP="006263CF">
      <w:pPr>
        <w:spacing w:before="154"/>
        <w:jc w:val="both"/>
        <w:rPr>
          <w:rFonts w:asciiTheme="minorHAnsi" w:hAnsiTheme="minorHAnsi" w:cstheme="minorHAnsi"/>
        </w:rPr>
      </w:pPr>
      <w:r w:rsidRPr="006263CF">
        <w:rPr>
          <w:rFonts w:asciiTheme="minorHAnsi" w:hAnsiTheme="minorHAnsi" w:cstheme="minorHAnsi"/>
          <w:b/>
          <w:bCs/>
          <w:color w:val="000000"/>
          <w:sz w:val="16"/>
          <w:szCs w:val="16"/>
        </w:rPr>
        <w:t xml:space="preserve">Сторонні матеріали. </w:t>
      </w:r>
      <w:r w:rsidRPr="006263CF">
        <w:rPr>
          <w:rFonts w:asciiTheme="minorHAnsi" w:hAnsiTheme="minorHAnsi" w:cstheme="minorHAnsi"/>
          <w:color w:val="000000"/>
          <w:sz w:val="16"/>
          <w:szCs w:val="16"/>
        </w:rPr>
        <w:t>Якщо ви хочете повторно використовувати матеріали з цієї роботи, які належать третім сторонам, наприклад, таблиці, малюнки чи зображення, ви несете відповідальність за визначення необхідності отримання дозволу для цього повторного використання та отримання дозволу від власника авторських прав. Ризик претензій внаслідок порушення будь-яких сторонніх компонентів у роботі покладається виключно на користувача.</w:t>
      </w:r>
    </w:p>
    <w:p w:rsidR="005C0A87" w:rsidRPr="006263CF" w:rsidRDefault="005C0A87" w:rsidP="006263CF">
      <w:pPr>
        <w:spacing w:before="149"/>
        <w:jc w:val="both"/>
        <w:rPr>
          <w:rFonts w:asciiTheme="minorHAnsi" w:hAnsiTheme="minorHAnsi" w:cstheme="minorHAnsi"/>
        </w:rPr>
      </w:pPr>
      <w:r w:rsidRPr="006263CF">
        <w:rPr>
          <w:rFonts w:asciiTheme="minorHAnsi" w:hAnsiTheme="minorHAnsi" w:cstheme="minorHAnsi"/>
          <w:b/>
          <w:bCs/>
          <w:color w:val="000000"/>
          <w:sz w:val="16"/>
          <w:szCs w:val="16"/>
        </w:rPr>
        <w:t xml:space="preserve">Загальні відмови від відповідальності. </w:t>
      </w:r>
      <w:r w:rsidRPr="006263CF">
        <w:rPr>
          <w:rFonts w:asciiTheme="minorHAnsi" w:hAnsiTheme="minorHAnsi" w:cstheme="minorHAnsi"/>
          <w:color w:val="000000"/>
          <w:sz w:val="16"/>
          <w:szCs w:val="16"/>
        </w:rPr>
        <w:t>Використані позначення та подання матеріалів у цій публікації не означають висловлення будь-якої думки з боку ВООЗ щодо правового статусу будь-якої країни, території, міста чи району чи їх органів влади, або щодо розмежування їхніх меж або кордонів. Пунктирні лінії на картах – це приблизні межі, які, можливо, ще не є повністю погодженими.</w:t>
      </w:r>
    </w:p>
    <w:p w:rsidR="005C0A87" w:rsidRPr="006263CF" w:rsidRDefault="005C0A87" w:rsidP="006263CF">
      <w:pPr>
        <w:spacing w:before="154"/>
        <w:jc w:val="both"/>
        <w:rPr>
          <w:rFonts w:asciiTheme="minorHAnsi" w:hAnsiTheme="minorHAnsi" w:cstheme="minorHAnsi"/>
        </w:rPr>
      </w:pPr>
      <w:r w:rsidRPr="006263CF">
        <w:rPr>
          <w:rFonts w:asciiTheme="minorHAnsi" w:hAnsiTheme="minorHAnsi" w:cstheme="minorHAnsi"/>
          <w:color w:val="000000"/>
          <w:sz w:val="16"/>
          <w:szCs w:val="16"/>
        </w:rPr>
        <w:t>Згадка про конкретні компанії чи продукцію певних виробників не означає, що ВООЗ затвердила або рекомендує їх, надаючи перевагу іншим виробникам аналогічної продукції, не згаданим у цьому керівництві. За винятком помилок та упущень, назви фірмових продуктів відрізняються початковими великими літерами.</w:t>
      </w:r>
    </w:p>
    <w:p w:rsidR="005C0A87" w:rsidRPr="006263CF" w:rsidRDefault="005C0A87" w:rsidP="006263CF">
      <w:pPr>
        <w:spacing w:before="149"/>
        <w:jc w:val="both"/>
        <w:rPr>
          <w:rFonts w:asciiTheme="minorHAnsi" w:hAnsiTheme="minorHAnsi" w:cstheme="minorHAnsi"/>
        </w:rPr>
      </w:pPr>
      <w:r w:rsidRPr="006263CF">
        <w:rPr>
          <w:rFonts w:asciiTheme="minorHAnsi" w:hAnsiTheme="minorHAnsi" w:cstheme="minorHAnsi"/>
          <w:color w:val="000000"/>
          <w:sz w:val="16"/>
          <w:szCs w:val="16"/>
        </w:rPr>
        <w:t>ВООЗ вжила всіх розумних запобіжних заходів для перевірки інформації, що міститься в цій публікації. Однак опублікований матеріал поширюється без жодних явних чи неявних гарантій. Відповідальність за інтерпретацію та використання матеріалу покладається на читача. ВООЗ в жодному разі не несе відповідальності за збитки, що виникли внаслідок використання цього матеріалу.</w:t>
      </w:r>
    </w:p>
    <w:p w:rsidR="005C0A87" w:rsidRPr="006263CF" w:rsidRDefault="005C0A87" w:rsidP="006263CF">
      <w:pPr>
        <w:spacing w:before="154"/>
        <w:rPr>
          <w:rFonts w:asciiTheme="minorHAnsi" w:hAnsiTheme="minorHAnsi" w:cstheme="minorHAnsi"/>
        </w:rPr>
      </w:pPr>
      <w:r w:rsidRPr="006263CF">
        <w:rPr>
          <w:rFonts w:asciiTheme="minorHAnsi" w:hAnsiTheme="minorHAnsi" w:cstheme="minorHAnsi"/>
          <w:color w:val="000000"/>
          <w:sz w:val="16"/>
          <w:szCs w:val="16"/>
        </w:rPr>
        <w:t xml:space="preserve">Редагування та дизайн здійснюється </w:t>
      </w:r>
      <w:r w:rsidRPr="006263CF">
        <w:rPr>
          <w:rFonts w:asciiTheme="minorHAnsi" w:hAnsiTheme="minorHAnsi" w:cstheme="minorHAnsi"/>
          <w:color w:val="0066CC"/>
          <w:sz w:val="16"/>
          <w:szCs w:val="16"/>
          <w:u w:val="single"/>
        </w:rPr>
        <w:t>Inís Communication</w:t>
      </w:r>
      <w:r w:rsidRPr="006263CF">
        <w:rPr>
          <w:rFonts w:asciiTheme="minorHAnsi" w:hAnsiTheme="minorHAnsi" w:cstheme="minorHAnsi"/>
          <w:color w:val="000000"/>
          <w:sz w:val="16"/>
          <w:szCs w:val="16"/>
        </w:rPr>
        <w:t>.</w:t>
      </w:r>
    </w:p>
    <w:p w:rsidR="005C0A87" w:rsidRPr="006263CF" w:rsidRDefault="005C0A87" w:rsidP="006263CF">
      <w:pPr>
        <w:spacing w:before="154"/>
        <w:rPr>
          <w:rFonts w:asciiTheme="minorHAnsi" w:hAnsiTheme="minorHAnsi" w:cstheme="minorHAnsi"/>
        </w:rPr>
        <w:sectPr w:rsidR="005C0A87" w:rsidRPr="006263CF" w:rsidSect="006263CF">
          <w:pgSz w:w="11904" w:h="16838"/>
          <w:pgMar w:top="6521" w:right="1416" w:bottom="1373" w:left="1416" w:header="708" w:footer="708" w:gutter="0"/>
          <w:cols w:space="60"/>
          <w:noEndnote/>
        </w:sectPr>
      </w:pPr>
    </w:p>
    <w:p w:rsidR="000C365F" w:rsidRDefault="005C0A87" w:rsidP="006263CF">
      <w:pPr>
        <w:rPr>
          <w:rFonts w:asciiTheme="minorHAnsi" w:hAnsiTheme="minorHAnsi" w:cstheme="minorHAnsi"/>
          <w:color w:val="000000"/>
          <w:sz w:val="112"/>
          <w:szCs w:val="112"/>
        </w:rPr>
      </w:pPr>
      <w:r w:rsidRPr="006263CF">
        <w:rPr>
          <w:rFonts w:asciiTheme="minorHAnsi" w:hAnsiTheme="minorHAnsi" w:cstheme="minorHAnsi"/>
          <w:color w:val="000000"/>
          <w:sz w:val="112"/>
          <w:szCs w:val="112"/>
        </w:rPr>
        <w:lastRenderedPageBreak/>
        <w:t>Операційне</w:t>
      </w:r>
    </w:p>
    <w:p w:rsidR="005C0A87" w:rsidRPr="006263CF" w:rsidRDefault="005C0A87" w:rsidP="006263CF">
      <w:pPr>
        <w:rPr>
          <w:rFonts w:asciiTheme="minorHAnsi" w:hAnsiTheme="minorHAnsi" w:cstheme="minorHAnsi"/>
          <w:sz w:val="112"/>
          <w:szCs w:val="112"/>
        </w:rPr>
      </w:pPr>
      <w:r w:rsidRPr="006263CF">
        <w:rPr>
          <w:rFonts w:asciiTheme="minorHAnsi" w:hAnsiTheme="minorHAnsi" w:cstheme="minorHAnsi"/>
          <w:color w:val="EB262A"/>
          <w:sz w:val="112"/>
          <w:szCs w:val="112"/>
        </w:rPr>
        <w:t xml:space="preserve">Керівництво ВООЗ </w:t>
      </w:r>
      <w:r w:rsidRPr="006263CF">
        <w:rPr>
          <w:rFonts w:asciiTheme="minorHAnsi" w:hAnsiTheme="minorHAnsi" w:cstheme="minorHAnsi"/>
          <w:color w:val="000000"/>
          <w:sz w:val="112"/>
          <w:szCs w:val="112"/>
        </w:rPr>
        <w:t>щодо туберкульозу</w:t>
      </w:r>
    </w:p>
    <w:p w:rsidR="005C0A87" w:rsidRPr="000C365F" w:rsidRDefault="005C0A87" w:rsidP="000C365F">
      <w:pPr>
        <w:spacing w:before="1200"/>
        <w:ind w:right="81"/>
        <w:rPr>
          <w:rFonts w:asciiTheme="minorHAnsi" w:hAnsiTheme="minorHAnsi" w:cstheme="minorHAnsi"/>
          <w:sz w:val="64"/>
          <w:szCs w:val="64"/>
        </w:rPr>
      </w:pPr>
      <w:r w:rsidRPr="000C365F">
        <w:rPr>
          <w:rFonts w:asciiTheme="minorHAnsi" w:hAnsiTheme="minorHAnsi" w:cstheme="minorHAnsi"/>
          <w:color w:val="000000"/>
          <w:sz w:val="64"/>
          <w:szCs w:val="64"/>
        </w:rPr>
        <w:t>Модуль 4: Лікування</w:t>
      </w:r>
    </w:p>
    <w:p w:rsidR="005C0A87" w:rsidRPr="000C365F" w:rsidRDefault="005C0A87" w:rsidP="000C365F">
      <w:pPr>
        <w:pStyle w:val="Default"/>
        <w:spacing w:before="480"/>
        <w:rPr>
          <w:rFonts w:asciiTheme="minorHAnsi" w:hAnsiTheme="minorHAnsi" w:cstheme="minorHAnsi"/>
          <w:b/>
          <w:bCs/>
          <w:color w:val="272972"/>
          <w:sz w:val="64"/>
          <w:szCs w:val="64"/>
        </w:rPr>
      </w:pPr>
      <w:r w:rsidRPr="000C365F">
        <w:rPr>
          <w:rFonts w:asciiTheme="minorHAnsi" w:hAnsiTheme="minorHAnsi" w:cstheme="minorHAnsi"/>
          <w:b/>
          <w:bCs/>
          <w:color w:val="272972"/>
          <w:sz w:val="64"/>
          <w:szCs w:val="64"/>
        </w:rPr>
        <w:t>Лікування лікарсько-стійкого туберкульозу</w:t>
      </w:r>
    </w:p>
    <w:p w:rsidR="000C365F" w:rsidRDefault="000C365F" w:rsidP="006263CF">
      <w:pPr>
        <w:spacing w:before="331"/>
        <w:ind w:right="81"/>
        <w:rPr>
          <w:rFonts w:asciiTheme="minorHAnsi" w:hAnsiTheme="minorHAnsi" w:cstheme="minorHAnsi"/>
          <w:b/>
          <w:bCs/>
          <w:color w:val="282A74"/>
          <w:sz w:val="72"/>
          <w:szCs w:val="62"/>
        </w:rPr>
      </w:pPr>
    </w:p>
    <w:p w:rsidR="000C365F" w:rsidRDefault="000C365F" w:rsidP="006263CF">
      <w:pPr>
        <w:spacing w:before="331"/>
        <w:ind w:right="81"/>
        <w:rPr>
          <w:rFonts w:asciiTheme="minorHAnsi" w:hAnsiTheme="minorHAnsi" w:cstheme="minorHAnsi"/>
          <w:b/>
          <w:bCs/>
          <w:color w:val="282A74"/>
          <w:sz w:val="72"/>
          <w:szCs w:val="62"/>
        </w:rPr>
      </w:pPr>
    </w:p>
    <w:tbl>
      <w:tblPr>
        <w:tblW w:w="0" w:type="auto"/>
        <w:jc w:val="right"/>
        <w:tblLayout w:type="fixed"/>
        <w:tblCellMar>
          <w:left w:w="40" w:type="dxa"/>
          <w:right w:w="40" w:type="dxa"/>
        </w:tblCellMar>
        <w:tblLook w:val="0000" w:firstRow="0" w:lastRow="0" w:firstColumn="0" w:lastColumn="0" w:noHBand="0" w:noVBand="0"/>
      </w:tblPr>
      <w:tblGrid>
        <w:gridCol w:w="1142"/>
        <w:gridCol w:w="2102"/>
      </w:tblGrid>
      <w:tr w:rsidR="000C365F" w:rsidRPr="006263CF" w:rsidTr="000C365F">
        <w:trPr>
          <w:trHeight w:hRule="exact" w:val="1310"/>
          <w:jc w:val="right"/>
        </w:trPr>
        <w:tc>
          <w:tcPr>
            <w:tcW w:w="1142" w:type="dxa"/>
            <w:tcBorders>
              <w:top w:val="nil"/>
              <w:left w:val="nil"/>
              <w:bottom w:val="nil"/>
              <w:right w:val="nil"/>
            </w:tcBorders>
            <w:shd w:val="clear" w:color="auto" w:fill="FFFFFF"/>
          </w:tcPr>
          <w:p w:rsidR="000C365F" w:rsidRPr="006263CF" w:rsidRDefault="000C365F" w:rsidP="00395867">
            <w:pPr>
              <w:rPr>
                <w:rFonts w:asciiTheme="minorHAnsi" w:hAnsiTheme="minorHAnsi" w:cstheme="minorHAnsi"/>
              </w:rPr>
            </w:pPr>
            <w:r w:rsidRPr="006263CF">
              <w:rPr>
                <w:rFonts w:asciiTheme="minorHAnsi" w:hAnsiTheme="minorHAnsi" w:cstheme="minorHAnsi"/>
                <w:noProof/>
              </w:rPr>
              <w:drawing>
                <wp:inline distT="0" distB="0" distL="0" distR="0" wp14:anchorId="157D039F" wp14:editId="78009BFD">
                  <wp:extent cx="719455" cy="829310"/>
                  <wp:effectExtent l="0" t="0" r="444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9455" cy="829310"/>
                          </a:xfrm>
                          <a:prstGeom prst="rect">
                            <a:avLst/>
                          </a:prstGeom>
                          <a:noFill/>
                          <a:ln>
                            <a:noFill/>
                          </a:ln>
                        </pic:spPr>
                      </pic:pic>
                    </a:graphicData>
                  </a:graphic>
                </wp:inline>
              </w:drawing>
            </w:r>
          </w:p>
        </w:tc>
        <w:tc>
          <w:tcPr>
            <w:tcW w:w="2102" w:type="dxa"/>
            <w:tcBorders>
              <w:top w:val="nil"/>
              <w:left w:val="nil"/>
              <w:bottom w:val="nil"/>
              <w:right w:val="nil"/>
            </w:tcBorders>
            <w:shd w:val="clear" w:color="auto" w:fill="FFFFFF"/>
            <w:vAlign w:val="center"/>
          </w:tcPr>
          <w:p w:rsidR="000C365F" w:rsidRPr="006263CF" w:rsidRDefault="000C365F" w:rsidP="00395867">
            <w:pPr>
              <w:ind w:right="85"/>
              <w:rPr>
                <w:rFonts w:asciiTheme="minorHAnsi" w:hAnsiTheme="minorHAnsi" w:cstheme="minorHAnsi"/>
                <w:sz w:val="24"/>
              </w:rPr>
            </w:pPr>
            <w:r w:rsidRPr="006263CF">
              <w:rPr>
                <w:rFonts w:asciiTheme="minorHAnsi" w:hAnsiTheme="minorHAnsi" w:cstheme="minorHAnsi"/>
                <w:b/>
                <w:bCs/>
                <w:color w:val="0586C0"/>
                <w:sz w:val="22"/>
                <w:szCs w:val="32"/>
              </w:rPr>
              <w:t>Всесвітня організація охорони здоров’я</w:t>
            </w:r>
          </w:p>
        </w:tc>
      </w:tr>
    </w:tbl>
    <w:p w:rsidR="005C0A87" w:rsidRDefault="005C0A87" w:rsidP="000C365F">
      <w:pPr>
        <w:rPr>
          <w:rFonts w:asciiTheme="minorHAnsi" w:hAnsiTheme="minorHAnsi" w:cstheme="minorHAnsi"/>
          <w:sz w:val="4"/>
          <w:szCs w:val="2"/>
        </w:rPr>
      </w:pPr>
    </w:p>
    <w:p w:rsidR="000C365F" w:rsidRPr="006263CF" w:rsidRDefault="000C365F" w:rsidP="006263CF">
      <w:pPr>
        <w:spacing w:after="11285"/>
        <w:rPr>
          <w:rFonts w:asciiTheme="minorHAnsi" w:hAnsiTheme="minorHAnsi" w:cstheme="minorHAnsi"/>
          <w:sz w:val="4"/>
          <w:szCs w:val="2"/>
        </w:rPr>
      </w:pPr>
    </w:p>
    <w:p w:rsidR="005C0A87" w:rsidRPr="006263CF" w:rsidRDefault="005C0A87" w:rsidP="006263CF">
      <w:pPr>
        <w:rPr>
          <w:rFonts w:asciiTheme="minorHAnsi" w:hAnsiTheme="minorHAnsi" w:cstheme="minorHAnsi"/>
        </w:rPr>
        <w:sectPr w:rsidR="005C0A87" w:rsidRPr="006263CF" w:rsidSect="000C365F">
          <w:type w:val="continuous"/>
          <w:pgSz w:w="11904" w:h="16838"/>
          <w:pgMar w:top="3302" w:right="581" w:bottom="69" w:left="888" w:header="708" w:footer="0" w:gutter="0"/>
          <w:cols w:space="163"/>
          <w:noEndnote/>
        </w:sectPr>
      </w:pPr>
    </w:p>
    <w:p w:rsidR="000C365F" w:rsidRPr="000C365F" w:rsidRDefault="000C365F" w:rsidP="006263CF">
      <w:pPr>
        <w:rPr>
          <w:rFonts w:asciiTheme="minorHAnsi" w:hAnsiTheme="minorHAnsi" w:cstheme="minorHAnsi"/>
          <w:b/>
          <w:color w:val="1F61AA"/>
          <w:sz w:val="2"/>
          <w:szCs w:val="2"/>
        </w:rPr>
        <w:sectPr w:rsidR="000C365F" w:rsidRPr="000C365F" w:rsidSect="00445738">
          <w:headerReference w:type="default" r:id="rId10"/>
          <w:pgSz w:w="11904" w:h="16838"/>
          <w:pgMar w:top="1210" w:right="1416" w:bottom="2552" w:left="1416" w:header="708" w:footer="708" w:gutter="0"/>
          <w:cols w:space="60"/>
          <w:noEndnote/>
        </w:sectPr>
      </w:pPr>
    </w:p>
    <w:p w:rsidR="005C0A87" w:rsidRPr="000344A4" w:rsidRDefault="005C0A87" w:rsidP="006263CF">
      <w:pPr>
        <w:rPr>
          <w:rFonts w:asciiTheme="minorHAnsi" w:hAnsiTheme="minorHAnsi" w:cstheme="minorHAnsi"/>
          <w:b/>
        </w:rPr>
      </w:pPr>
      <w:r w:rsidRPr="000344A4">
        <w:rPr>
          <w:rFonts w:asciiTheme="minorHAnsi" w:hAnsiTheme="minorHAnsi" w:cstheme="minorHAnsi"/>
          <w:b/>
          <w:color w:val="1F61AA"/>
          <w:sz w:val="72"/>
          <w:szCs w:val="64"/>
        </w:rPr>
        <w:t>Зміст</w:t>
      </w:r>
    </w:p>
    <w:p w:rsidR="005C0A87" w:rsidRPr="006263CF" w:rsidRDefault="000A5DB9" w:rsidP="006263CF">
      <w:pPr>
        <w:tabs>
          <w:tab w:val="right" w:pos="9096"/>
        </w:tabs>
        <w:spacing w:before="360" w:line="276" w:lineRule="auto"/>
        <w:rPr>
          <w:rFonts w:asciiTheme="minorHAnsi" w:hAnsiTheme="minorHAnsi" w:cstheme="minorHAnsi"/>
        </w:rPr>
      </w:pPr>
      <w:r w:rsidRPr="006263CF">
        <w:rPr>
          <w:rFonts w:asciiTheme="minorHAnsi" w:hAnsiTheme="minorHAnsi" w:cstheme="minorHAnsi"/>
          <w:b/>
          <w:bCs/>
          <w:color w:val="1F61AA"/>
          <w:sz w:val="24"/>
          <w:szCs w:val="24"/>
        </w:rPr>
        <w:t>Подяка</w:t>
      </w:r>
      <w:r w:rsidRPr="006263CF">
        <w:rPr>
          <w:rFonts w:asciiTheme="minorHAnsi" w:hAnsiTheme="minorHAnsi" w:cstheme="minorHAnsi"/>
          <w:b/>
          <w:bCs/>
          <w:color w:val="1F61AA"/>
          <w:sz w:val="24"/>
          <w:szCs w:val="24"/>
          <w:u w:val="dotted"/>
        </w:rPr>
        <w:tab/>
      </w:r>
      <w:r w:rsidRPr="006263CF">
        <w:rPr>
          <w:rFonts w:asciiTheme="minorHAnsi" w:hAnsiTheme="minorHAnsi" w:cstheme="minorHAnsi"/>
          <w:b/>
          <w:bCs/>
          <w:color w:val="1F61AA"/>
          <w:sz w:val="24"/>
          <w:szCs w:val="24"/>
        </w:rPr>
        <w:t>iv</w:t>
      </w:r>
    </w:p>
    <w:p w:rsidR="005C0A87" w:rsidRPr="006263CF" w:rsidRDefault="000A5DB9" w:rsidP="00C74E14">
      <w:pPr>
        <w:tabs>
          <w:tab w:val="right" w:pos="9096"/>
        </w:tabs>
        <w:spacing w:before="80" w:line="276" w:lineRule="auto"/>
        <w:rPr>
          <w:rFonts w:asciiTheme="minorHAnsi" w:hAnsiTheme="minorHAnsi" w:cstheme="minorHAnsi"/>
        </w:rPr>
      </w:pPr>
      <w:r w:rsidRPr="006263CF">
        <w:rPr>
          <w:rFonts w:asciiTheme="minorHAnsi" w:hAnsiTheme="minorHAnsi" w:cstheme="minorHAnsi"/>
          <w:b/>
          <w:bCs/>
          <w:color w:val="1F61AA"/>
          <w:sz w:val="24"/>
          <w:szCs w:val="24"/>
        </w:rPr>
        <w:t>Скорочення та абревіатури</w:t>
      </w:r>
      <w:r w:rsidRPr="006263CF">
        <w:rPr>
          <w:rFonts w:asciiTheme="minorHAnsi" w:hAnsiTheme="minorHAnsi" w:cstheme="minorHAnsi"/>
          <w:b/>
          <w:bCs/>
          <w:color w:val="1F61AA"/>
          <w:sz w:val="24"/>
          <w:szCs w:val="24"/>
          <w:u w:val="dotted"/>
        </w:rPr>
        <w:tab/>
      </w:r>
      <w:r w:rsidRPr="006263CF">
        <w:rPr>
          <w:rFonts w:asciiTheme="minorHAnsi" w:hAnsiTheme="minorHAnsi" w:cstheme="minorHAnsi"/>
          <w:b/>
          <w:bCs/>
          <w:color w:val="1F61AA"/>
          <w:sz w:val="24"/>
          <w:szCs w:val="24"/>
        </w:rPr>
        <w:t>V</w:t>
      </w:r>
    </w:p>
    <w:p w:rsidR="005C0A87" w:rsidRPr="006263CF" w:rsidRDefault="000A5DB9" w:rsidP="00C74E14">
      <w:pPr>
        <w:numPr>
          <w:ilvl w:val="0"/>
          <w:numId w:val="1"/>
        </w:numPr>
        <w:tabs>
          <w:tab w:val="left" w:pos="259"/>
          <w:tab w:val="right" w:pos="9096"/>
        </w:tabs>
        <w:spacing w:before="80" w:line="276" w:lineRule="auto"/>
        <w:rPr>
          <w:rFonts w:asciiTheme="minorHAnsi" w:hAnsiTheme="minorHAnsi" w:cstheme="minorHAnsi"/>
          <w:b/>
          <w:bCs/>
          <w:color w:val="1F61AA"/>
          <w:spacing w:val="-5"/>
          <w:sz w:val="24"/>
          <w:szCs w:val="24"/>
        </w:rPr>
      </w:pPr>
      <w:r w:rsidRPr="006263CF">
        <w:rPr>
          <w:rFonts w:asciiTheme="minorHAnsi" w:hAnsiTheme="minorHAnsi" w:cstheme="minorHAnsi"/>
          <w:b/>
          <w:bCs/>
          <w:color w:val="1F61AA"/>
          <w:sz w:val="24"/>
          <w:szCs w:val="24"/>
        </w:rPr>
        <w:t>Вступ</w:t>
      </w:r>
      <w:r w:rsidRPr="006263CF">
        <w:rPr>
          <w:rFonts w:asciiTheme="minorHAnsi" w:hAnsiTheme="minorHAnsi" w:cstheme="minorHAnsi"/>
          <w:b/>
          <w:bCs/>
          <w:color w:val="1F61AA"/>
          <w:sz w:val="24"/>
          <w:szCs w:val="24"/>
          <w:u w:val="dotted"/>
        </w:rPr>
        <w:tab/>
      </w:r>
      <w:r w:rsidRPr="006263CF">
        <w:rPr>
          <w:rFonts w:asciiTheme="minorHAnsi" w:hAnsiTheme="minorHAnsi" w:cstheme="minorHAnsi"/>
          <w:b/>
          <w:bCs/>
          <w:color w:val="1F61AA"/>
          <w:sz w:val="24"/>
          <w:szCs w:val="24"/>
        </w:rPr>
        <w:t>1</w:t>
      </w:r>
    </w:p>
    <w:p w:rsidR="005C0A87" w:rsidRPr="006263CF" w:rsidRDefault="000A5DB9" w:rsidP="00C74E14">
      <w:pPr>
        <w:numPr>
          <w:ilvl w:val="0"/>
          <w:numId w:val="1"/>
        </w:numPr>
        <w:tabs>
          <w:tab w:val="left" w:pos="259"/>
          <w:tab w:val="right" w:pos="9096"/>
        </w:tabs>
        <w:spacing w:before="80" w:line="276" w:lineRule="auto"/>
        <w:ind w:left="284" w:hanging="284"/>
        <w:rPr>
          <w:rFonts w:asciiTheme="minorHAnsi" w:hAnsiTheme="minorHAnsi" w:cstheme="minorHAnsi"/>
          <w:b/>
          <w:bCs/>
          <w:color w:val="1F61AA"/>
          <w:spacing w:val="-5"/>
          <w:sz w:val="24"/>
          <w:szCs w:val="24"/>
        </w:rPr>
      </w:pPr>
      <w:r w:rsidRPr="006263CF">
        <w:rPr>
          <w:rFonts w:asciiTheme="minorHAnsi" w:hAnsiTheme="minorHAnsi" w:cstheme="minorHAnsi"/>
          <w:b/>
          <w:bCs/>
          <w:color w:val="1F61AA"/>
          <w:sz w:val="24"/>
          <w:szCs w:val="24"/>
        </w:rPr>
        <w:t>Загальновживані терміни та ключові визначення при лікуванні лікарсько</w:t>
      </w:r>
      <w:r w:rsidR="000344A4">
        <w:rPr>
          <w:rFonts w:asciiTheme="minorHAnsi" w:hAnsiTheme="minorHAnsi" w:cstheme="minorHAnsi"/>
          <w:b/>
          <w:bCs/>
          <w:color w:val="1F61AA"/>
          <w:sz w:val="24"/>
          <w:szCs w:val="24"/>
        </w:rPr>
        <w:t xml:space="preserve"> </w:t>
      </w:r>
      <w:r w:rsidRPr="006263CF">
        <w:rPr>
          <w:rFonts w:asciiTheme="minorHAnsi" w:hAnsiTheme="minorHAnsi" w:cstheme="minorHAnsi"/>
          <w:b/>
          <w:bCs/>
          <w:color w:val="1F61AA"/>
          <w:sz w:val="24"/>
          <w:szCs w:val="24"/>
        </w:rPr>
        <w:t>-</w:t>
      </w:r>
      <w:r w:rsidR="000344A4" w:rsidRPr="000344A4">
        <w:rPr>
          <w:rFonts w:asciiTheme="minorHAnsi" w:hAnsiTheme="minorHAnsi" w:cstheme="minorHAnsi"/>
          <w:b/>
          <w:bCs/>
          <w:color w:val="1F61AA"/>
          <w:sz w:val="24"/>
          <w:szCs w:val="24"/>
        </w:rPr>
        <w:t xml:space="preserve"> </w:t>
      </w:r>
      <w:r w:rsidR="000344A4" w:rsidRPr="006263CF">
        <w:rPr>
          <w:rFonts w:asciiTheme="minorHAnsi" w:hAnsiTheme="minorHAnsi" w:cstheme="minorHAnsi"/>
          <w:b/>
          <w:bCs/>
          <w:color w:val="1F61AA"/>
          <w:sz w:val="24"/>
          <w:szCs w:val="24"/>
        </w:rPr>
        <w:t>стійкого</w:t>
      </w:r>
      <w:r w:rsidRPr="006263CF">
        <w:rPr>
          <w:rFonts w:asciiTheme="minorHAnsi" w:hAnsiTheme="minorHAnsi" w:cstheme="minorHAnsi"/>
          <w:b/>
          <w:bCs/>
          <w:color w:val="1F61AA"/>
          <w:sz w:val="24"/>
          <w:szCs w:val="24"/>
        </w:rPr>
        <w:t xml:space="preserve"> ТБ</w:t>
      </w:r>
      <w:r w:rsidRPr="006263CF">
        <w:rPr>
          <w:rFonts w:asciiTheme="minorHAnsi" w:hAnsiTheme="minorHAnsi" w:cstheme="minorHAnsi"/>
          <w:b/>
          <w:bCs/>
          <w:color w:val="1F61AA"/>
          <w:sz w:val="24"/>
          <w:szCs w:val="24"/>
          <w:u w:val="dotted"/>
        </w:rPr>
        <w:tab/>
      </w:r>
      <w:r w:rsidRPr="006263CF">
        <w:rPr>
          <w:rFonts w:asciiTheme="minorHAnsi" w:hAnsiTheme="minorHAnsi" w:cstheme="minorHAnsi"/>
          <w:b/>
          <w:bCs/>
          <w:color w:val="1F61AA"/>
          <w:sz w:val="24"/>
          <w:szCs w:val="24"/>
        </w:rPr>
        <w:t>2</w:t>
      </w:r>
    </w:p>
    <w:p w:rsidR="005C0A87" w:rsidRPr="006263CF" w:rsidRDefault="005C0A87" w:rsidP="00C74E14">
      <w:pPr>
        <w:numPr>
          <w:ilvl w:val="0"/>
          <w:numId w:val="1"/>
        </w:numPr>
        <w:tabs>
          <w:tab w:val="left" w:pos="259"/>
          <w:tab w:val="right" w:pos="9096"/>
        </w:tabs>
        <w:spacing w:before="80" w:line="276" w:lineRule="auto"/>
        <w:rPr>
          <w:rFonts w:asciiTheme="minorHAnsi" w:hAnsiTheme="minorHAnsi" w:cstheme="minorHAnsi"/>
          <w:b/>
          <w:bCs/>
          <w:color w:val="1F61AA"/>
          <w:spacing w:val="-5"/>
          <w:sz w:val="24"/>
          <w:szCs w:val="24"/>
        </w:rPr>
      </w:pPr>
      <w:r w:rsidRPr="006263CF">
        <w:rPr>
          <w:rFonts w:asciiTheme="minorHAnsi" w:hAnsiTheme="minorHAnsi" w:cstheme="minorHAnsi"/>
          <w:b/>
          <w:bCs/>
          <w:color w:val="1F61AA"/>
          <w:sz w:val="24"/>
          <w:szCs w:val="24"/>
        </w:rPr>
        <w:t>Головні особливості при лікуванні лікарсько-стійкого ТБ</w:t>
      </w:r>
      <w:r w:rsidRPr="006263CF">
        <w:rPr>
          <w:rFonts w:asciiTheme="minorHAnsi" w:hAnsiTheme="minorHAnsi" w:cstheme="minorHAnsi"/>
          <w:b/>
          <w:bCs/>
          <w:color w:val="1F61AA"/>
          <w:sz w:val="24"/>
          <w:szCs w:val="24"/>
          <w:u w:val="dotted"/>
        </w:rPr>
        <w:tab/>
      </w:r>
      <w:r w:rsidRPr="006263CF">
        <w:rPr>
          <w:rFonts w:asciiTheme="minorHAnsi" w:hAnsiTheme="minorHAnsi" w:cstheme="minorHAnsi"/>
          <w:b/>
          <w:bCs/>
          <w:color w:val="1F61AA"/>
          <w:sz w:val="24"/>
          <w:szCs w:val="24"/>
        </w:rPr>
        <w:t>5</w:t>
      </w:r>
    </w:p>
    <w:p w:rsidR="005C0A87" w:rsidRPr="006263CF" w:rsidRDefault="005C0A87" w:rsidP="00C74E14">
      <w:pPr>
        <w:spacing w:before="80" w:line="276" w:lineRule="auto"/>
        <w:rPr>
          <w:rFonts w:asciiTheme="minorHAnsi" w:hAnsiTheme="minorHAnsi" w:cstheme="minorHAnsi"/>
          <w:sz w:val="4"/>
          <w:szCs w:val="2"/>
        </w:rPr>
      </w:pPr>
    </w:p>
    <w:p w:rsidR="005C0A87" w:rsidRPr="006263CF" w:rsidRDefault="005C0A87" w:rsidP="00C74E14">
      <w:pPr>
        <w:numPr>
          <w:ilvl w:val="0"/>
          <w:numId w:val="2"/>
        </w:numPr>
        <w:tabs>
          <w:tab w:val="left" w:pos="590"/>
          <w:tab w:val="right" w:pos="9096"/>
        </w:tabs>
        <w:spacing w:before="80" w:line="276" w:lineRule="auto"/>
        <w:ind w:left="259"/>
        <w:rPr>
          <w:rFonts w:asciiTheme="minorHAnsi" w:hAnsiTheme="minorHAnsi" w:cstheme="minorHAnsi"/>
          <w:color w:val="000000"/>
          <w:spacing w:val="-12"/>
          <w:sz w:val="22"/>
          <w:szCs w:val="22"/>
        </w:rPr>
      </w:pPr>
      <w:r w:rsidRPr="006263CF">
        <w:rPr>
          <w:rFonts w:asciiTheme="minorHAnsi" w:hAnsiTheme="minorHAnsi" w:cstheme="minorHAnsi"/>
          <w:color w:val="000000"/>
          <w:sz w:val="22"/>
          <w:szCs w:val="22"/>
        </w:rPr>
        <w:t>Доступ до ТМЧ</w:t>
      </w:r>
      <w:r w:rsidRPr="006263CF">
        <w:rPr>
          <w:rFonts w:asciiTheme="minorHAnsi" w:hAnsiTheme="minorHAnsi" w:cstheme="minorHAnsi"/>
          <w:color w:val="000000"/>
          <w:sz w:val="22"/>
          <w:szCs w:val="22"/>
          <w:u w:val="dotted"/>
        </w:rPr>
        <w:tab/>
      </w:r>
      <w:r w:rsidRPr="006263CF">
        <w:rPr>
          <w:rFonts w:asciiTheme="minorHAnsi" w:hAnsiTheme="minorHAnsi" w:cstheme="minorHAnsi"/>
          <w:color w:val="000000"/>
          <w:sz w:val="22"/>
          <w:szCs w:val="22"/>
        </w:rPr>
        <w:t>5</w:t>
      </w:r>
    </w:p>
    <w:p w:rsidR="005C0A87" w:rsidRPr="006263CF" w:rsidRDefault="000A5DB9" w:rsidP="00C74E14">
      <w:pPr>
        <w:numPr>
          <w:ilvl w:val="0"/>
          <w:numId w:val="2"/>
        </w:numPr>
        <w:tabs>
          <w:tab w:val="left" w:pos="590"/>
          <w:tab w:val="right" w:pos="9096"/>
        </w:tabs>
        <w:spacing w:before="80" w:line="276" w:lineRule="auto"/>
        <w:ind w:left="259"/>
        <w:rPr>
          <w:rFonts w:asciiTheme="minorHAnsi" w:hAnsiTheme="minorHAnsi" w:cstheme="minorHAnsi"/>
          <w:color w:val="000000"/>
          <w:spacing w:val="-12"/>
          <w:sz w:val="22"/>
          <w:szCs w:val="22"/>
        </w:rPr>
      </w:pPr>
      <w:r w:rsidRPr="006263CF">
        <w:rPr>
          <w:rFonts w:asciiTheme="minorHAnsi" w:hAnsiTheme="minorHAnsi" w:cstheme="minorHAnsi"/>
          <w:color w:val="000000"/>
          <w:sz w:val="22"/>
          <w:szCs w:val="22"/>
        </w:rPr>
        <w:t>Моніторинг та управління безпекою, забезпечення підтримки пацієнтів та ведення супутніх захворювань</w:t>
      </w:r>
      <w:r w:rsidRPr="006263CF">
        <w:rPr>
          <w:rFonts w:asciiTheme="minorHAnsi" w:hAnsiTheme="minorHAnsi" w:cstheme="minorHAnsi"/>
          <w:color w:val="000000"/>
          <w:sz w:val="22"/>
          <w:szCs w:val="22"/>
          <w:u w:val="dotted"/>
        </w:rPr>
        <w:tab/>
      </w:r>
      <w:r w:rsidRPr="006263CF">
        <w:rPr>
          <w:rFonts w:asciiTheme="minorHAnsi" w:hAnsiTheme="minorHAnsi" w:cstheme="minorHAnsi"/>
          <w:color w:val="000000"/>
          <w:sz w:val="22"/>
          <w:szCs w:val="22"/>
        </w:rPr>
        <w:t>7</w:t>
      </w:r>
    </w:p>
    <w:p w:rsidR="005C0A87" w:rsidRPr="006263CF" w:rsidRDefault="000A5DB9" w:rsidP="00C74E14">
      <w:pPr>
        <w:numPr>
          <w:ilvl w:val="0"/>
          <w:numId w:val="2"/>
        </w:numPr>
        <w:tabs>
          <w:tab w:val="left" w:pos="590"/>
          <w:tab w:val="right" w:pos="9096"/>
        </w:tabs>
        <w:spacing w:before="80" w:line="276" w:lineRule="auto"/>
        <w:ind w:left="259"/>
        <w:rPr>
          <w:rFonts w:asciiTheme="minorHAnsi" w:hAnsiTheme="minorHAnsi" w:cstheme="minorHAnsi"/>
          <w:color w:val="000000"/>
          <w:spacing w:val="-12"/>
          <w:sz w:val="22"/>
          <w:szCs w:val="22"/>
        </w:rPr>
      </w:pPr>
      <w:r w:rsidRPr="006263CF">
        <w:rPr>
          <w:rFonts w:asciiTheme="minorHAnsi" w:hAnsiTheme="minorHAnsi" w:cstheme="minorHAnsi"/>
          <w:color w:val="000000"/>
          <w:sz w:val="22"/>
          <w:szCs w:val="22"/>
        </w:rPr>
        <w:t>Варіанти схем лікування лікарсько-стійкого ТБ</w:t>
      </w:r>
      <w:r w:rsidRPr="006263CF">
        <w:rPr>
          <w:rFonts w:asciiTheme="minorHAnsi" w:hAnsiTheme="minorHAnsi" w:cstheme="minorHAnsi"/>
          <w:color w:val="000000"/>
          <w:sz w:val="22"/>
          <w:szCs w:val="22"/>
          <w:u w:val="dotted"/>
        </w:rPr>
        <w:tab/>
      </w:r>
      <w:r w:rsidRPr="006263CF">
        <w:rPr>
          <w:rFonts w:asciiTheme="minorHAnsi" w:hAnsiTheme="minorHAnsi" w:cstheme="minorHAnsi"/>
          <w:color w:val="000000"/>
          <w:sz w:val="22"/>
          <w:szCs w:val="22"/>
        </w:rPr>
        <w:t>7</w:t>
      </w:r>
    </w:p>
    <w:p w:rsidR="005C0A87" w:rsidRPr="006263CF" w:rsidRDefault="000A5DB9" w:rsidP="00C74E14">
      <w:pPr>
        <w:tabs>
          <w:tab w:val="left" w:pos="259"/>
          <w:tab w:val="right" w:pos="9096"/>
        </w:tabs>
        <w:spacing w:before="80" w:line="276" w:lineRule="auto"/>
        <w:rPr>
          <w:rFonts w:asciiTheme="minorHAnsi" w:hAnsiTheme="minorHAnsi" w:cstheme="minorHAnsi"/>
        </w:rPr>
      </w:pPr>
      <w:r w:rsidRPr="006263CF">
        <w:rPr>
          <w:rFonts w:asciiTheme="minorHAnsi" w:hAnsiTheme="minorHAnsi" w:cstheme="minorHAnsi"/>
          <w:b/>
          <w:bCs/>
          <w:color w:val="1F61AA"/>
          <w:sz w:val="22"/>
          <w:szCs w:val="22"/>
        </w:rPr>
        <w:t>4.</w:t>
      </w:r>
      <w:r w:rsidRPr="006263CF">
        <w:rPr>
          <w:rFonts w:asciiTheme="minorHAnsi" w:hAnsiTheme="minorHAnsi" w:cstheme="minorHAnsi"/>
          <w:b/>
          <w:bCs/>
          <w:color w:val="1F61AA"/>
          <w:sz w:val="22"/>
          <w:szCs w:val="22"/>
        </w:rPr>
        <w:tab/>
        <w:t>Схема лікування чутливого до рифампіцину та резистентного до ізоніазиду ТБ</w:t>
      </w:r>
      <w:r w:rsidRPr="006263CF">
        <w:rPr>
          <w:rFonts w:asciiTheme="minorHAnsi" w:hAnsiTheme="minorHAnsi" w:cstheme="minorHAnsi"/>
          <w:b/>
          <w:bCs/>
          <w:color w:val="1F61AA"/>
          <w:sz w:val="22"/>
          <w:szCs w:val="22"/>
          <w:u w:val="dotted"/>
        </w:rPr>
        <w:tab/>
      </w:r>
      <w:r w:rsidRPr="006263CF">
        <w:rPr>
          <w:rFonts w:asciiTheme="minorHAnsi" w:hAnsiTheme="minorHAnsi" w:cstheme="minorHAnsi"/>
          <w:b/>
          <w:bCs/>
          <w:color w:val="1F61AA"/>
          <w:sz w:val="22"/>
          <w:szCs w:val="22"/>
        </w:rPr>
        <w:t>9</w:t>
      </w:r>
    </w:p>
    <w:p w:rsidR="005C0A87" w:rsidRPr="006263CF" w:rsidRDefault="000A5DB9" w:rsidP="00C74E14">
      <w:pPr>
        <w:numPr>
          <w:ilvl w:val="0"/>
          <w:numId w:val="3"/>
        </w:numPr>
        <w:tabs>
          <w:tab w:val="left" w:pos="590"/>
          <w:tab w:val="right" w:pos="9096"/>
        </w:tabs>
        <w:spacing w:before="80" w:line="276" w:lineRule="auto"/>
        <w:ind w:left="259"/>
        <w:rPr>
          <w:rFonts w:asciiTheme="minorHAnsi" w:hAnsiTheme="minorHAnsi" w:cstheme="minorHAnsi"/>
          <w:color w:val="000000"/>
          <w:spacing w:val="-12"/>
          <w:sz w:val="22"/>
          <w:szCs w:val="22"/>
        </w:rPr>
      </w:pPr>
      <w:r w:rsidRPr="006263CF">
        <w:rPr>
          <w:rFonts w:asciiTheme="minorHAnsi" w:hAnsiTheme="minorHAnsi" w:cstheme="minorHAnsi"/>
          <w:color w:val="000000"/>
          <w:sz w:val="22"/>
          <w:szCs w:val="22"/>
        </w:rPr>
        <w:t>Придатність</w:t>
      </w:r>
      <w:r w:rsidRPr="006263CF">
        <w:rPr>
          <w:rFonts w:asciiTheme="minorHAnsi" w:hAnsiTheme="minorHAnsi" w:cstheme="minorHAnsi"/>
          <w:color w:val="000000"/>
          <w:sz w:val="22"/>
          <w:szCs w:val="22"/>
          <w:u w:val="dotted"/>
        </w:rPr>
        <w:tab/>
      </w:r>
      <w:r w:rsidRPr="006263CF">
        <w:rPr>
          <w:rFonts w:asciiTheme="minorHAnsi" w:hAnsiTheme="minorHAnsi" w:cstheme="minorHAnsi"/>
          <w:color w:val="000000"/>
          <w:sz w:val="22"/>
          <w:szCs w:val="22"/>
        </w:rPr>
        <w:t>9</w:t>
      </w:r>
    </w:p>
    <w:p w:rsidR="005C0A87" w:rsidRPr="006263CF" w:rsidRDefault="000A5DB9" w:rsidP="00C74E14">
      <w:pPr>
        <w:numPr>
          <w:ilvl w:val="0"/>
          <w:numId w:val="3"/>
        </w:numPr>
        <w:tabs>
          <w:tab w:val="left" w:pos="590"/>
          <w:tab w:val="right" w:pos="9096"/>
        </w:tabs>
        <w:spacing w:before="80" w:line="276" w:lineRule="auto"/>
        <w:ind w:left="259"/>
        <w:rPr>
          <w:rFonts w:asciiTheme="minorHAnsi" w:hAnsiTheme="minorHAnsi" w:cstheme="minorHAnsi"/>
          <w:color w:val="000000"/>
          <w:spacing w:val="-12"/>
          <w:sz w:val="22"/>
          <w:szCs w:val="22"/>
        </w:rPr>
      </w:pPr>
      <w:r w:rsidRPr="006263CF">
        <w:rPr>
          <w:rFonts w:asciiTheme="minorHAnsi" w:hAnsiTheme="minorHAnsi" w:cstheme="minorHAnsi"/>
          <w:color w:val="000000"/>
          <w:sz w:val="22"/>
          <w:szCs w:val="22"/>
        </w:rPr>
        <w:t>Склад та тривалість схеми лікування</w:t>
      </w:r>
      <w:r w:rsidRPr="006263CF">
        <w:rPr>
          <w:rFonts w:asciiTheme="minorHAnsi" w:hAnsiTheme="minorHAnsi" w:cstheme="minorHAnsi"/>
          <w:color w:val="000000"/>
          <w:sz w:val="22"/>
          <w:szCs w:val="22"/>
          <w:u w:val="dotted"/>
        </w:rPr>
        <w:tab/>
      </w:r>
      <w:r w:rsidRPr="006263CF">
        <w:rPr>
          <w:rFonts w:asciiTheme="minorHAnsi" w:hAnsiTheme="minorHAnsi" w:cstheme="minorHAnsi"/>
          <w:color w:val="000000"/>
          <w:sz w:val="22"/>
          <w:szCs w:val="22"/>
        </w:rPr>
        <w:t>10</w:t>
      </w:r>
    </w:p>
    <w:p w:rsidR="005C0A87" w:rsidRPr="006263CF" w:rsidRDefault="005C0A87" w:rsidP="00C74E14">
      <w:pPr>
        <w:numPr>
          <w:ilvl w:val="0"/>
          <w:numId w:val="3"/>
        </w:numPr>
        <w:tabs>
          <w:tab w:val="left" w:pos="590"/>
          <w:tab w:val="right" w:pos="9096"/>
        </w:tabs>
        <w:spacing w:before="80" w:line="276" w:lineRule="auto"/>
        <w:ind w:left="259"/>
        <w:rPr>
          <w:rFonts w:asciiTheme="minorHAnsi" w:hAnsiTheme="minorHAnsi" w:cstheme="minorHAnsi"/>
          <w:color w:val="000000"/>
          <w:spacing w:val="-12"/>
          <w:sz w:val="22"/>
          <w:szCs w:val="22"/>
        </w:rPr>
      </w:pPr>
      <w:r w:rsidRPr="006263CF">
        <w:rPr>
          <w:rFonts w:asciiTheme="minorHAnsi" w:hAnsiTheme="minorHAnsi" w:cstheme="minorHAnsi"/>
          <w:color w:val="000000"/>
          <w:sz w:val="22"/>
          <w:szCs w:val="22"/>
        </w:rPr>
        <w:t>Розгляд впровадження схеми лікування</w:t>
      </w:r>
      <w:r w:rsidRPr="006263CF">
        <w:rPr>
          <w:rFonts w:asciiTheme="minorHAnsi" w:hAnsiTheme="minorHAnsi" w:cstheme="minorHAnsi"/>
          <w:color w:val="000000"/>
          <w:sz w:val="22"/>
          <w:szCs w:val="22"/>
          <w:u w:val="dotted"/>
        </w:rPr>
        <w:tab/>
      </w:r>
      <w:r w:rsidRPr="006263CF">
        <w:rPr>
          <w:rFonts w:asciiTheme="minorHAnsi" w:hAnsiTheme="minorHAnsi" w:cstheme="minorHAnsi"/>
          <w:color w:val="000000"/>
          <w:sz w:val="22"/>
          <w:szCs w:val="22"/>
        </w:rPr>
        <w:t>11</w:t>
      </w:r>
    </w:p>
    <w:p w:rsidR="005C0A87" w:rsidRPr="006263CF" w:rsidRDefault="000A5DB9" w:rsidP="00C74E14">
      <w:pPr>
        <w:numPr>
          <w:ilvl w:val="0"/>
          <w:numId w:val="3"/>
        </w:numPr>
        <w:tabs>
          <w:tab w:val="left" w:pos="590"/>
          <w:tab w:val="right" w:pos="9096"/>
        </w:tabs>
        <w:spacing w:before="80" w:line="276" w:lineRule="auto"/>
        <w:ind w:left="259"/>
        <w:rPr>
          <w:rFonts w:asciiTheme="minorHAnsi" w:hAnsiTheme="minorHAnsi" w:cstheme="minorHAnsi"/>
          <w:color w:val="000000"/>
          <w:spacing w:val="-12"/>
          <w:sz w:val="22"/>
          <w:szCs w:val="22"/>
        </w:rPr>
      </w:pPr>
      <w:r w:rsidRPr="006263CF">
        <w:rPr>
          <w:rFonts w:asciiTheme="minorHAnsi" w:hAnsiTheme="minorHAnsi" w:cstheme="minorHAnsi"/>
          <w:color w:val="000000"/>
          <w:sz w:val="22"/>
          <w:szCs w:val="22"/>
        </w:rPr>
        <w:t>Моніторинг лікування</w:t>
      </w:r>
      <w:r w:rsidRPr="006263CF">
        <w:rPr>
          <w:rFonts w:asciiTheme="minorHAnsi" w:hAnsiTheme="minorHAnsi" w:cstheme="minorHAnsi"/>
          <w:color w:val="000000"/>
          <w:sz w:val="22"/>
          <w:szCs w:val="22"/>
          <w:u w:val="dotted"/>
        </w:rPr>
        <w:tab/>
      </w:r>
      <w:r w:rsidRPr="006263CF">
        <w:rPr>
          <w:rFonts w:asciiTheme="minorHAnsi" w:hAnsiTheme="minorHAnsi" w:cstheme="minorHAnsi"/>
          <w:color w:val="000000"/>
          <w:sz w:val="22"/>
          <w:szCs w:val="22"/>
        </w:rPr>
        <w:t>12</w:t>
      </w:r>
    </w:p>
    <w:p w:rsidR="005C0A87" w:rsidRPr="006263CF" w:rsidRDefault="005C0A87" w:rsidP="00C74E14">
      <w:pPr>
        <w:tabs>
          <w:tab w:val="left" w:pos="259"/>
          <w:tab w:val="right" w:pos="9096"/>
        </w:tabs>
        <w:spacing w:before="80" w:line="276" w:lineRule="auto"/>
        <w:rPr>
          <w:rFonts w:asciiTheme="minorHAnsi" w:hAnsiTheme="minorHAnsi" w:cstheme="minorHAnsi"/>
        </w:rPr>
      </w:pPr>
      <w:r w:rsidRPr="006263CF">
        <w:rPr>
          <w:rFonts w:asciiTheme="minorHAnsi" w:hAnsiTheme="minorHAnsi" w:cstheme="minorHAnsi"/>
          <w:b/>
          <w:bCs/>
          <w:color w:val="1F61AA"/>
          <w:sz w:val="22"/>
          <w:szCs w:val="22"/>
        </w:rPr>
        <w:t>5.</w:t>
      </w:r>
      <w:r w:rsidRPr="006263CF">
        <w:rPr>
          <w:rFonts w:asciiTheme="minorHAnsi" w:hAnsiTheme="minorHAnsi" w:cstheme="minorHAnsi"/>
          <w:b/>
          <w:bCs/>
          <w:color w:val="1F61AA"/>
          <w:sz w:val="22"/>
          <w:szCs w:val="22"/>
        </w:rPr>
        <w:tab/>
        <w:t xml:space="preserve">Короткострокова пероральна бедаквіліновмісна схема лікування МР/Риф-ТБ </w:t>
      </w:r>
      <w:r w:rsidRPr="006263CF">
        <w:rPr>
          <w:rFonts w:asciiTheme="minorHAnsi" w:hAnsiTheme="minorHAnsi" w:cstheme="minorHAnsi"/>
          <w:b/>
          <w:bCs/>
          <w:color w:val="1F61AA"/>
          <w:sz w:val="22"/>
          <w:szCs w:val="22"/>
          <w:u w:val="dotted"/>
        </w:rPr>
        <w:tab/>
      </w:r>
      <w:r w:rsidRPr="006263CF">
        <w:rPr>
          <w:rFonts w:asciiTheme="minorHAnsi" w:hAnsiTheme="minorHAnsi" w:cstheme="minorHAnsi"/>
          <w:b/>
          <w:bCs/>
          <w:color w:val="1F61AA"/>
          <w:sz w:val="22"/>
          <w:szCs w:val="22"/>
        </w:rPr>
        <w:t>14</w:t>
      </w:r>
    </w:p>
    <w:p w:rsidR="005C0A87" w:rsidRPr="006263CF" w:rsidRDefault="005C0A87" w:rsidP="00C74E14">
      <w:pPr>
        <w:numPr>
          <w:ilvl w:val="0"/>
          <w:numId w:val="4"/>
        </w:numPr>
        <w:tabs>
          <w:tab w:val="left" w:pos="590"/>
          <w:tab w:val="right" w:pos="9096"/>
        </w:tabs>
        <w:spacing w:before="80" w:line="276" w:lineRule="auto"/>
        <w:ind w:left="259"/>
        <w:rPr>
          <w:rFonts w:asciiTheme="minorHAnsi" w:hAnsiTheme="minorHAnsi" w:cstheme="minorHAnsi"/>
          <w:color w:val="000000"/>
          <w:spacing w:val="-12"/>
          <w:sz w:val="22"/>
          <w:szCs w:val="22"/>
        </w:rPr>
      </w:pPr>
      <w:r w:rsidRPr="006263CF">
        <w:rPr>
          <w:rFonts w:asciiTheme="minorHAnsi" w:hAnsiTheme="minorHAnsi" w:cstheme="minorHAnsi"/>
          <w:color w:val="000000"/>
          <w:sz w:val="22"/>
          <w:szCs w:val="22"/>
        </w:rPr>
        <w:t>Придатність</w:t>
      </w:r>
      <w:r w:rsidRPr="006263CF">
        <w:rPr>
          <w:rFonts w:asciiTheme="minorHAnsi" w:hAnsiTheme="minorHAnsi" w:cstheme="minorHAnsi"/>
          <w:color w:val="000000"/>
          <w:sz w:val="22"/>
          <w:szCs w:val="22"/>
          <w:u w:val="dotted"/>
        </w:rPr>
        <w:tab/>
      </w:r>
      <w:r w:rsidRPr="006263CF">
        <w:rPr>
          <w:rFonts w:asciiTheme="minorHAnsi" w:hAnsiTheme="minorHAnsi" w:cstheme="minorHAnsi"/>
          <w:color w:val="000000"/>
          <w:sz w:val="22"/>
          <w:szCs w:val="22"/>
        </w:rPr>
        <w:t>14</w:t>
      </w:r>
    </w:p>
    <w:p w:rsidR="005C0A87" w:rsidRPr="006263CF" w:rsidRDefault="000A5DB9" w:rsidP="00C74E14">
      <w:pPr>
        <w:numPr>
          <w:ilvl w:val="0"/>
          <w:numId w:val="4"/>
        </w:numPr>
        <w:tabs>
          <w:tab w:val="left" w:pos="590"/>
          <w:tab w:val="right" w:pos="9096"/>
        </w:tabs>
        <w:spacing w:before="80" w:line="276" w:lineRule="auto"/>
        <w:ind w:left="259"/>
        <w:rPr>
          <w:rFonts w:asciiTheme="minorHAnsi" w:hAnsiTheme="minorHAnsi" w:cstheme="minorHAnsi"/>
          <w:color w:val="000000"/>
          <w:spacing w:val="-12"/>
          <w:sz w:val="22"/>
          <w:szCs w:val="22"/>
        </w:rPr>
      </w:pPr>
      <w:r w:rsidRPr="006263CF">
        <w:rPr>
          <w:rFonts w:asciiTheme="minorHAnsi" w:hAnsiTheme="minorHAnsi" w:cstheme="minorHAnsi"/>
          <w:color w:val="000000"/>
          <w:sz w:val="22"/>
          <w:szCs w:val="22"/>
        </w:rPr>
        <w:t>Склад та тривалість схеми лікування</w:t>
      </w:r>
      <w:r w:rsidRPr="006263CF">
        <w:rPr>
          <w:rFonts w:asciiTheme="minorHAnsi" w:hAnsiTheme="minorHAnsi" w:cstheme="minorHAnsi"/>
          <w:color w:val="000000"/>
          <w:sz w:val="22"/>
          <w:szCs w:val="22"/>
          <w:u w:val="dotted"/>
        </w:rPr>
        <w:tab/>
      </w:r>
      <w:r w:rsidRPr="006263CF">
        <w:rPr>
          <w:rFonts w:asciiTheme="minorHAnsi" w:hAnsiTheme="minorHAnsi" w:cstheme="minorHAnsi"/>
          <w:color w:val="000000"/>
          <w:sz w:val="22"/>
          <w:szCs w:val="22"/>
        </w:rPr>
        <w:t>16</w:t>
      </w:r>
    </w:p>
    <w:p w:rsidR="005C0A87" w:rsidRPr="006263CF" w:rsidRDefault="000A5DB9" w:rsidP="00C74E14">
      <w:pPr>
        <w:numPr>
          <w:ilvl w:val="0"/>
          <w:numId w:val="4"/>
        </w:numPr>
        <w:tabs>
          <w:tab w:val="left" w:pos="590"/>
          <w:tab w:val="right" w:pos="9096"/>
        </w:tabs>
        <w:spacing w:before="80" w:line="276" w:lineRule="auto"/>
        <w:ind w:left="259"/>
        <w:rPr>
          <w:rFonts w:asciiTheme="minorHAnsi" w:hAnsiTheme="minorHAnsi" w:cstheme="minorHAnsi"/>
          <w:color w:val="000000"/>
          <w:spacing w:val="-12"/>
          <w:sz w:val="22"/>
          <w:szCs w:val="22"/>
        </w:rPr>
      </w:pPr>
      <w:r w:rsidRPr="006263CF">
        <w:rPr>
          <w:rFonts w:asciiTheme="minorHAnsi" w:hAnsiTheme="minorHAnsi" w:cstheme="minorHAnsi"/>
          <w:color w:val="000000"/>
          <w:sz w:val="22"/>
          <w:szCs w:val="22"/>
        </w:rPr>
        <w:t>Основні підгрупи</w:t>
      </w:r>
      <w:r w:rsidRPr="006263CF">
        <w:rPr>
          <w:rFonts w:asciiTheme="minorHAnsi" w:hAnsiTheme="minorHAnsi" w:cstheme="minorHAnsi"/>
          <w:color w:val="000000"/>
          <w:sz w:val="22"/>
          <w:szCs w:val="22"/>
          <w:u w:val="dotted"/>
        </w:rPr>
        <w:tab/>
      </w:r>
      <w:r w:rsidRPr="006263CF">
        <w:rPr>
          <w:rFonts w:asciiTheme="minorHAnsi" w:hAnsiTheme="minorHAnsi" w:cstheme="minorHAnsi"/>
          <w:color w:val="000000"/>
          <w:sz w:val="22"/>
          <w:szCs w:val="22"/>
        </w:rPr>
        <w:t>17</w:t>
      </w:r>
    </w:p>
    <w:p w:rsidR="005C0A87" w:rsidRPr="006263CF" w:rsidRDefault="000A5DB9" w:rsidP="00C74E14">
      <w:pPr>
        <w:numPr>
          <w:ilvl w:val="0"/>
          <w:numId w:val="4"/>
        </w:numPr>
        <w:tabs>
          <w:tab w:val="left" w:pos="590"/>
          <w:tab w:val="right" w:pos="9096"/>
        </w:tabs>
        <w:spacing w:before="80" w:line="276" w:lineRule="auto"/>
        <w:ind w:left="259"/>
        <w:rPr>
          <w:rFonts w:asciiTheme="minorHAnsi" w:hAnsiTheme="minorHAnsi" w:cstheme="minorHAnsi"/>
          <w:color w:val="000000"/>
          <w:spacing w:val="-12"/>
          <w:sz w:val="22"/>
          <w:szCs w:val="22"/>
        </w:rPr>
      </w:pPr>
      <w:r w:rsidRPr="006263CF">
        <w:rPr>
          <w:rFonts w:asciiTheme="minorHAnsi" w:hAnsiTheme="minorHAnsi" w:cstheme="minorHAnsi"/>
          <w:color w:val="000000"/>
          <w:sz w:val="22"/>
          <w:szCs w:val="22"/>
        </w:rPr>
        <w:t>Моніторинг лікування</w:t>
      </w:r>
      <w:r w:rsidRPr="006263CF">
        <w:rPr>
          <w:rFonts w:asciiTheme="minorHAnsi" w:hAnsiTheme="minorHAnsi" w:cstheme="minorHAnsi"/>
          <w:color w:val="000000"/>
          <w:sz w:val="22"/>
          <w:szCs w:val="22"/>
          <w:u w:val="dotted"/>
        </w:rPr>
        <w:tab/>
      </w:r>
      <w:r w:rsidRPr="006263CF">
        <w:rPr>
          <w:rFonts w:asciiTheme="minorHAnsi" w:hAnsiTheme="minorHAnsi" w:cstheme="minorHAnsi"/>
          <w:color w:val="000000"/>
          <w:sz w:val="22"/>
          <w:szCs w:val="22"/>
        </w:rPr>
        <w:t>18</w:t>
      </w:r>
    </w:p>
    <w:p w:rsidR="005C0A87" w:rsidRPr="006263CF" w:rsidRDefault="000A5DB9" w:rsidP="00C74E14">
      <w:pPr>
        <w:numPr>
          <w:ilvl w:val="0"/>
          <w:numId w:val="4"/>
        </w:numPr>
        <w:tabs>
          <w:tab w:val="left" w:pos="590"/>
          <w:tab w:val="right" w:pos="9096"/>
        </w:tabs>
        <w:spacing w:before="80" w:line="276" w:lineRule="auto"/>
        <w:ind w:left="259"/>
        <w:rPr>
          <w:rFonts w:asciiTheme="minorHAnsi" w:hAnsiTheme="minorHAnsi" w:cstheme="minorHAnsi"/>
          <w:color w:val="000000"/>
          <w:spacing w:val="-12"/>
          <w:sz w:val="22"/>
          <w:szCs w:val="22"/>
        </w:rPr>
      </w:pPr>
      <w:r w:rsidRPr="006263CF">
        <w:rPr>
          <w:rFonts w:asciiTheme="minorHAnsi" w:hAnsiTheme="minorHAnsi" w:cstheme="minorHAnsi"/>
          <w:color w:val="000000"/>
          <w:sz w:val="22"/>
          <w:szCs w:val="22"/>
        </w:rPr>
        <w:t>Застосування модифікованих пероральних короткострокових схем лікування МР-ТБ під час операційного дослідження</w:t>
      </w:r>
      <w:r w:rsidRPr="006263CF">
        <w:rPr>
          <w:rFonts w:asciiTheme="minorHAnsi" w:hAnsiTheme="minorHAnsi" w:cstheme="minorHAnsi"/>
          <w:color w:val="000000"/>
          <w:sz w:val="22"/>
          <w:szCs w:val="22"/>
          <w:u w:val="dotted"/>
        </w:rPr>
        <w:tab/>
      </w:r>
      <w:r w:rsidRPr="006263CF">
        <w:rPr>
          <w:rFonts w:asciiTheme="minorHAnsi" w:hAnsiTheme="minorHAnsi" w:cstheme="minorHAnsi"/>
          <w:color w:val="000000"/>
          <w:sz w:val="22"/>
          <w:szCs w:val="22"/>
        </w:rPr>
        <w:t>19</w:t>
      </w:r>
    </w:p>
    <w:p w:rsidR="005C0A87" w:rsidRPr="006263CF" w:rsidRDefault="005C0A87" w:rsidP="00C74E14">
      <w:pPr>
        <w:tabs>
          <w:tab w:val="left" w:pos="259"/>
          <w:tab w:val="right" w:pos="9096"/>
        </w:tabs>
        <w:spacing w:before="80" w:line="276" w:lineRule="auto"/>
        <w:rPr>
          <w:rFonts w:asciiTheme="minorHAnsi" w:hAnsiTheme="minorHAnsi" w:cstheme="minorHAnsi"/>
        </w:rPr>
      </w:pPr>
      <w:r w:rsidRPr="006263CF">
        <w:rPr>
          <w:rFonts w:asciiTheme="minorHAnsi" w:hAnsiTheme="minorHAnsi" w:cstheme="minorHAnsi"/>
          <w:b/>
          <w:bCs/>
          <w:color w:val="1F61AA"/>
          <w:sz w:val="22"/>
          <w:szCs w:val="22"/>
        </w:rPr>
        <w:t>6.</w:t>
      </w:r>
      <w:r w:rsidRPr="006263CF">
        <w:rPr>
          <w:rFonts w:asciiTheme="minorHAnsi" w:hAnsiTheme="minorHAnsi" w:cstheme="minorHAnsi"/>
          <w:b/>
          <w:bCs/>
          <w:color w:val="1F61AA"/>
          <w:sz w:val="22"/>
          <w:szCs w:val="22"/>
        </w:rPr>
        <w:tab/>
        <w:t>Довгострокові схеми лікування МР/Риф-ТБ</w:t>
      </w:r>
      <w:r w:rsidRPr="006263CF">
        <w:rPr>
          <w:rFonts w:asciiTheme="minorHAnsi" w:hAnsiTheme="minorHAnsi" w:cstheme="minorHAnsi"/>
          <w:b/>
          <w:bCs/>
          <w:color w:val="1F61AA"/>
          <w:sz w:val="22"/>
          <w:szCs w:val="22"/>
          <w:u w:val="dotted"/>
        </w:rPr>
        <w:tab/>
      </w:r>
      <w:r w:rsidRPr="006263CF">
        <w:rPr>
          <w:rFonts w:asciiTheme="minorHAnsi" w:hAnsiTheme="minorHAnsi" w:cstheme="minorHAnsi"/>
          <w:b/>
          <w:bCs/>
          <w:color w:val="1F61AA"/>
          <w:sz w:val="22"/>
          <w:szCs w:val="22"/>
        </w:rPr>
        <w:t>20</w:t>
      </w:r>
    </w:p>
    <w:p w:rsidR="005C0A87" w:rsidRPr="006263CF" w:rsidRDefault="005C0A87" w:rsidP="00C74E14">
      <w:pPr>
        <w:numPr>
          <w:ilvl w:val="0"/>
          <w:numId w:val="5"/>
        </w:numPr>
        <w:tabs>
          <w:tab w:val="left" w:pos="590"/>
          <w:tab w:val="right" w:pos="9096"/>
        </w:tabs>
        <w:spacing w:before="80" w:line="276" w:lineRule="auto"/>
        <w:ind w:left="259"/>
        <w:rPr>
          <w:rFonts w:asciiTheme="minorHAnsi" w:hAnsiTheme="minorHAnsi" w:cstheme="minorHAnsi"/>
          <w:color w:val="000000"/>
          <w:spacing w:val="-12"/>
          <w:sz w:val="22"/>
          <w:szCs w:val="22"/>
        </w:rPr>
      </w:pPr>
      <w:r w:rsidRPr="006263CF">
        <w:rPr>
          <w:rFonts w:asciiTheme="minorHAnsi" w:hAnsiTheme="minorHAnsi" w:cstheme="minorHAnsi"/>
          <w:color w:val="000000"/>
          <w:sz w:val="22"/>
          <w:szCs w:val="22"/>
        </w:rPr>
        <w:t>Придатність</w:t>
      </w:r>
      <w:r w:rsidRPr="006263CF">
        <w:rPr>
          <w:rFonts w:asciiTheme="minorHAnsi" w:hAnsiTheme="minorHAnsi" w:cstheme="minorHAnsi"/>
          <w:color w:val="000000"/>
          <w:sz w:val="22"/>
          <w:szCs w:val="22"/>
          <w:u w:val="dotted"/>
        </w:rPr>
        <w:tab/>
      </w:r>
      <w:r w:rsidRPr="006263CF">
        <w:rPr>
          <w:rFonts w:asciiTheme="minorHAnsi" w:hAnsiTheme="minorHAnsi" w:cstheme="minorHAnsi"/>
          <w:color w:val="000000"/>
          <w:sz w:val="22"/>
          <w:szCs w:val="22"/>
        </w:rPr>
        <w:t>22</w:t>
      </w:r>
    </w:p>
    <w:p w:rsidR="00C74E14" w:rsidRPr="00C74E14" w:rsidRDefault="000A5DB9" w:rsidP="00C74E14">
      <w:pPr>
        <w:numPr>
          <w:ilvl w:val="0"/>
          <w:numId w:val="5"/>
        </w:numPr>
        <w:tabs>
          <w:tab w:val="left" w:pos="590"/>
          <w:tab w:val="right" w:pos="9096"/>
        </w:tabs>
        <w:spacing w:before="80" w:line="276" w:lineRule="auto"/>
        <w:ind w:left="259"/>
        <w:rPr>
          <w:rFonts w:asciiTheme="minorHAnsi" w:hAnsiTheme="minorHAnsi" w:cstheme="minorHAnsi"/>
          <w:color w:val="000000"/>
          <w:spacing w:val="-12"/>
          <w:sz w:val="22"/>
          <w:szCs w:val="22"/>
          <w:lang w:val="ru-RU"/>
        </w:rPr>
        <w:sectPr w:rsidR="00C74E14" w:rsidRPr="00C74E14" w:rsidSect="000C365F">
          <w:type w:val="continuous"/>
          <w:pgSz w:w="11904" w:h="16838"/>
          <w:pgMar w:top="1210" w:right="1416" w:bottom="1135" w:left="1416" w:header="708" w:footer="708" w:gutter="0"/>
          <w:cols w:space="60"/>
          <w:noEndnote/>
        </w:sectPr>
      </w:pPr>
      <w:r w:rsidRPr="00C74E14">
        <w:rPr>
          <w:rFonts w:asciiTheme="minorHAnsi" w:hAnsiTheme="minorHAnsi" w:cstheme="minorHAnsi"/>
          <w:color w:val="000000"/>
          <w:sz w:val="22"/>
          <w:szCs w:val="22"/>
        </w:rPr>
        <w:t>Лікарські препарати, що застосовуються у довгострокових схемах лікування МР-ТБ</w:t>
      </w:r>
      <w:r w:rsidRPr="00C74E14">
        <w:rPr>
          <w:rFonts w:asciiTheme="minorHAnsi" w:hAnsiTheme="minorHAnsi" w:cstheme="minorHAnsi"/>
          <w:color w:val="000000"/>
          <w:sz w:val="22"/>
          <w:szCs w:val="22"/>
          <w:u w:val="dotted"/>
        </w:rPr>
        <w:tab/>
      </w:r>
      <w:r w:rsidRPr="00C74E14">
        <w:rPr>
          <w:rFonts w:asciiTheme="minorHAnsi" w:hAnsiTheme="minorHAnsi" w:cstheme="minorHAnsi"/>
          <w:color w:val="000000"/>
          <w:sz w:val="22"/>
          <w:szCs w:val="22"/>
        </w:rPr>
        <w:t>23</w:t>
      </w:r>
      <w:r w:rsidR="00C74E14">
        <w:rPr>
          <w:rFonts w:asciiTheme="minorHAnsi" w:hAnsiTheme="minorHAnsi" w:cstheme="minorHAnsi"/>
          <w:noProof/>
          <w:color w:val="000000"/>
          <w:spacing w:val="-12"/>
          <w:sz w:val="22"/>
          <w:szCs w:val="22"/>
        </w:rPr>
        <w:drawing>
          <wp:anchor distT="0" distB="0" distL="6400800" distR="6400800" simplePos="0" relativeHeight="251678720" behindDoc="0" locked="0" layoutInCell="0" allowOverlap="1" wp14:anchorId="7F924BB0" wp14:editId="2A6E9C38">
            <wp:simplePos x="0" y="0"/>
            <wp:positionH relativeFrom="margin">
              <wp:posOffset>635</wp:posOffset>
            </wp:positionH>
            <wp:positionV relativeFrom="paragraph">
              <wp:posOffset>7809865</wp:posOffset>
            </wp:positionV>
            <wp:extent cx="7553960" cy="2882265"/>
            <wp:effectExtent l="0" t="0" r="8890" b="0"/>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3960" cy="2882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0A87" w:rsidRPr="006263CF" w:rsidRDefault="005C0A87" w:rsidP="006263CF">
      <w:pPr>
        <w:numPr>
          <w:ilvl w:val="0"/>
          <w:numId w:val="6"/>
        </w:numPr>
        <w:tabs>
          <w:tab w:val="left" w:pos="590"/>
          <w:tab w:val="right" w:pos="9091"/>
        </w:tabs>
        <w:spacing w:before="120" w:line="276" w:lineRule="auto"/>
        <w:ind w:left="259"/>
        <w:rPr>
          <w:rFonts w:asciiTheme="minorHAnsi" w:hAnsiTheme="minorHAnsi" w:cstheme="minorHAnsi"/>
          <w:color w:val="000000"/>
          <w:spacing w:val="-12"/>
          <w:sz w:val="22"/>
          <w:szCs w:val="22"/>
        </w:rPr>
      </w:pPr>
      <w:r w:rsidRPr="006263CF">
        <w:rPr>
          <w:rFonts w:asciiTheme="minorHAnsi" w:hAnsiTheme="minorHAnsi" w:cstheme="minorHAnsi"/>
          <w:color w:val="000000"/>
          <w:sz w:val="22"/>
          <w:szCs w:val="22"/>
        </w:rPr>
        <w:lastRenderedPageBreak/>
        <w:t>Склад довгострокових схем лікування МР-ТБ</w:t>
      </w:r>
      <w:r w:rsidRPr="006263CF">
        <w:rPr>
          <w:rFonts w:asciiTheme="minorHAnsi" w:hAnsiTheme="minorHAnsi" w:cstheme="minorHAnsi"/>
          <w:color w:val="000000"/>
          <w:sz w:val="22"/>
          <w:szCs w:val="22"/>
          <w:u w:val="dotted"/>
        </w:rPr>
        <w:tab/>
      </w:r>
      <w:r w:rsidRPr="006263CF">
        <w:rPr>
          <w:rFonts w:asciiTheme="minorHAnsi" w:hAnsiTheme="minorHAnsi" w:cstheme="minorHAnsi"/>
          <w:color w:val="000000"/>
          <w:sz w:val="22"/>
          <w:szCs w:val="22"/>
        </w:rPr>
        <w:t>31</w:t>
      </w:r>
    </w:p>
    <w:p w:rsidR="005C0A87" w:rsidRPr="006263CF" w:rsidRDefault="005C0A87" w:rsidP="00C74E14">
      <w:pPr>
        <w:numPr>
          <w:ilvl w:val="0"/>
          <w:numId w:val="6"/>
        </w:numPr>
        <w:tabs>
          <w:tab w:val="left" w:pos="590"/>
          <w:tab w:val="right" w:pos="9091"/>
        </w:tabs>
        <w:spacing w:before="80" w:line="276" w:lineRule="auto"/>
        <w:ind w:left="259"/>
        <w:rPr>
          <w:rFonts w:asciiTheme="minorHAnsi" w:hAnsiTheme="minorHAnsi" w:cstheme="minorHAnsi"/>
          <w:color w:val="000000"/>
          <w:spacing w:val="-12"/>
          <w:sz w:val="22"/>
          <w:szCs w:val="22"/>
        </w:rPr>
      </w:pPr>
      <w:r w:rsidRPr="006263CF">
        <w:rPr>
          <w:rFonts w:asciiTheme="minorHAnsi" w:hAnsiTheme="minorHAnsi" w:cstheme="minorHAnsi"/>
          <w:color w:val="000000"/>
          <w:sz w:val="22"/>
          <w:szCs w:val="22"/>
        </w:rPr>
        <w:t>Пролонговане застосування бедаквіліну та одночасне застосування бедаквіліну та деламаніду</w:t>
      </w:r>
      <w:r w:rsidRPr="006263CF">
        <w:rPr>
          <w:rFonts w:asciiTheme="minorHAnsi" w:hAnsiTheme="minorHAnsi" w:cstheme="minorHAnsi"/>
          <w:color w:val="000000"/>
          <w:sz w:val="22"/>
          <w:szCs w:val="22"/>
          <w:u w:val="dotted"/>
        </w:rPr>
        <w:tab/>
      </w:r>
      <w:r w:rsidRPr="006263CF">
        <w:rPr>
          <w:rFonts w:asciiTheme="minorHAnsi" w:hAnsiTheme="minorHAnsi" w:cstheme="minorHAnsi"/>
          <w:color w:val="000000"/>
          <w:sz w:val="22"/>
          <w:szCs w:val="22"/>
        </w:rPr>
        <w:t>37</w:t>
      </w:r>
    </w:p>
    <w:p w:rsidR="005C0A87" w:rsidRPr="006263CF" w:rsidRDefault="005C0A87" w:rsidP="00C74E14">
      <w:pPr>
        <w:numPr>
          <w:ilvl w:val="0"/>
          <w:numId w:val="6"/>
        </w:numPr>
        <w:tabs>
          <w:tab w:val="left" w:pos="590"/>
          <w:tab w:val="right" w:pos="9091"/>
        </w:tabs>
        <w:spacing w:before="80" w:line="276" w:lineRule="auto"/>
        <w:ind w:left="259"/>
        <w:rPr>
          <w:rFonts w:asciiTheme="minorHAnsi" w:hAnsiTheme="minorHAnsi" w:cstheme="minorHAnsi"/>
          <w:color w:val="000000"/>
          <w:spacing w:val="-12"/>
          <w:sz w:val="22"/>
          <w:szCs w:val="22"/>
        </w:rPr>
      </w:pPr>
      <w:r w:rsidRPr="006263CF">
        <w:rPr>
          <w:rFonts w:asciiTheme="minorHAnsi" w:hAnsiTheme="minorHAnsi" w:cstheme="minorHAnsi"/>
          <w:color w:val="000000"/>
          <w:sz w:val="22"/>
          <w:szCs w:val="22"/>
        </w:rPr>
        <w:t>Дозування лікарських компонентів у довгострокових схемах лікування МР-ТБ</w:t>
      </w:r>
      <w:r w:rsidRPr="006263CF">
        <w:rPr>
          <w:rFonts w:asciiTheme="minorHAnsi" w:hAnsiTheme="minorHAnsi" w:cstheme="minorHAnsi"/>
          <w:color w:val="000000"/>
          <w:sz w:val="22"/>
          <w:szCs w:val="22"/>
          <w:u w:val="dotted"/>
        </w:rPr>
        <w:tab/>
      </w:r>
      <w:r w:rsidRPr="006263CF">
        <w:rPr>
          <w:rFonts w:asciiTheme="minorHAnsi" w:hAnsiTheme="minorHAnsi" w:cstheme="minorHAnsi"/>
          <w:color w:val="000000"/>
          <w:sz w:val="22"/>
          <w:szCs w:val="22"/>
        </w:rPr>
        <w:t>37</w:t>
      </w:r>
    </w:p>
    <w:p w:rsidR="005C0A87" w:rsidRPr="006263CF" w:rsidRDefault="000A5DB9" w:rsidP="00C74E14">
      <w:pPr>
        <w:numPr>
          <w:ilvl w:val="0"/>
          <w:numId w:val="6"/>
        </w:numPr>
        <w:tabs>
          <w:tab w:val="left" w:pos="590"/>
          <w:tab w:val="right" w:pos="9091"/>
        </w:tabs>
        <w:spacing w:before="80" w:line="276" w:lineRule="auto"/>
        <w:ind w:left="259"/>
        <w:rPr>
          <w:rFonts w:asciiTheme="minorHAnsi" w:hAnsiTheme="minorHAnsi" w:cstheme="minorHAnsi"/>
          <w:color w:val="000000"/>
          <w:spacing w:val="-12"/>
          <w:sz w:val="22"/>
          <w:szCs w:val="22"/>
        </w:rPr>
      </w:pPr>
      <w:r w:rsidRPr="006263CF">
        <w:rPr>
          <w:rFonts w:asciiTheme="minorHAnsi" w:hAnsiTheme="minorHAnsi" w:cstheme="minorHAnsi"/>
          <w:color w:val="000000"/>
          <w:sz w:val="22"/>
          <w:szCs w:val="22"/>
        </w:rPr>
        <w:t>Тривалість довгострокових схем лікування МР-ТБ</w:t>
      </w:r>
      <w:r w:rsidRPr="006263CF">
        <w:rPr>
          <w:rFonts w:asciiTheme="minorHAnsi" w:hAnsiTheme="minorHAnsi" w:cstheme="minorHAnsi"/>
          <w:color w:val="000000"/>
          <w:sz w:val="22"/>
          <w:szCs w:val="22"/>
          <w:u w:val="dotted"/>
        </w:rPr>
        <w:tab/>
      </w:r>
      <w:r w:rsidRPr="006263CF">
        <w:rPr>
          <w:rFonts w:asciiTheme="minorHAnsi" w:hAnsiTheme="minorHAnsi" w:cstheme="minorHAnsi"/>
          <w:color w:val="000000"/>
          <w:sz w:val="22"/>
          <w:szCs w:val="22"/>
        </w:rPr>
        <w:t>38</w:t>
      </w:r>
    </w:p>
    <w:p w:rsidR="005C0A87" w:rsidRPr="006263CF" w:rsidRDefault="000A5DB9" w:rsidP="00C74E14">
      <w:pPr>
        <w:numPr>
          <w:ilvl w:val="0"/>
          <w:numId w:val="6"/>
        </w:numPr>
        <w:tabs>
          <w:tab w:val="left" w:pos="590"/>
          <w:tab w:val="right" w:pos="9091"/>
        </w:tabs>
        <w:spacing w:before="80" w:line="276" w:lineRule="auto"/>
        <w:ind w:left="259"/>
        <w:rPr>
          <w:rFonts w:asciiTheme="minorHAnsi" w:hAnsiTheme="minorHAnsi" w:cstheme="minorHAnsi"/>
          <w:color w:val="000000"/>
          <w:spacing w:val="-12"/>
          <w:sz w:val="22"/>
          <w:szCs w:val="22"/>
        </w:rPr>
      </w:pPr>
      <w:r w:rsidRPr="006263CF">
        <w:rPr>
          <w:rFonts w:asciiTheme="minorHAnsi" w:hAnsiTheme="minorHAnsi" w:cstheme="minorHAnsi"/>
          <w:color w:val="000000"/>
          <w:sz w:val="22"/>
          <w:szCs w:val="22"/>
        </w:rPr>
        <w:t>Основні підгрупи</w:t>
      </w:r>
      <w:r w:rsidRPr="006263CF">
        <w:rPr>
          <w:rFonts w:asciiTheme="minorHAnsi" w:hAnsiTheme="minorHAnsi" w:cstheme="minorHAnsi"/>
          <w:color w:val="000000"/>
          <w:sz w:val="22"/>
          <w:szCs w:val="22"/>
          <w:u w:val="dotted"/>
        </w:rPr>
        <w:tab/>
      </w:r>
      <w:r w:rsidRPr="006263CF">
        <w:rPr>
          <w:rFonts w:asciiTheme="minorHAnsi" w:hAnsiTheme="minorHAnsi" w:cstheme="minorHAnsi"/>
          <w:color w:val="000000"/>
          <w:sz w:val="22"/>
          <w:szCs w:val="22"/>
        </w:rPr>
        <w:t>39</w:t>
      </w:r>
    </w:p>
    <w:p w:rsidR="005C0A87" w:rsidRPr="006263CF" w:rsidRDefault="000A5DB9" w:rsidP="00C74E14">
      <w:pPr>
        <w:numPr>
          <w:ilvl w:val="0"/>
          <w:numId w:val="6"/>
        </w:numPr>
        <w:tabs>
          <w:tab w:val="left" w:pos="590"/>
          <w:tab w:val="right" w:pos="9091"/>
        </w:tabs>
        <w:spacing w:before="80" w:line="276" w:lineRule="auto"/>
        <w:ind w:left="259"/>
        <w:rPr>
          <w:rFonts w:asciiTheme="minorHAnsi" w:hAnsiTheme="minorHAnsi" w:cstheme="minorHAnsi"/>
          <w:color w:val="000000"/>
          <w:spacing w:val="-12"/>
          <w:sz w:val="22"/>
          <w:szCs w:val="22"/>
        </w:rPr>
      </w:pPr>
      <w:r w:rsidRPr="006263CF">
        <w:rPr>
          <w:rFonts w:asciiTheme="minorHAnsi" w:hAnsiTheme="minorHAnsi" w:cstheme="minorHAnsi"/>
          <w:color w:val="000000"/>
          <w:sz w:val="22"/>
          <w:szCs w:val="22"/>
        </w:rPr>
        <w:t>Моніторинг лікування</w:t>
      </w:r>
      <w:r w:rsidRPr="006263CF">
        <w:rPr>
          <w:rFonts w:asciiTheme="minorHAnsi" w:hAnsiTheme="minorHAnsi" w:cstheme="minorHAnsi"/>
          <w:color w:val="000000"/>
          <w:sz w:val="22"/>
          <w:szCs w:val="22"/>
          <w:u w:val="dotted"/>
        </w:rPr>
        <w:tab/>
      </w:r>
      <w:r w:rsidRPr="006263CF">
        <w:rPr>
          <w:rFonts w:asciiTheme="minorHAnsi" w:hAnsiTheme="minorHAnsi" w:cstheme="minorHAnsi"/>
          <w:color w:val="000000"/>
          <w:sz w:val="22"/>
          <w:szCs w:val="22"/>
        </w:rPr>
        <w:t>40</w:t>
      </w:r>
    </w:p>
    <w:p w:rsidR="005C0A87" w:rsidRPr="006263CF" w:rsidRDefault="000A5DB9" w:rsidP="00C74E14">
      <w:pPr>
        <w:tabs>
          <w:tab w:val="left" w:pos="259"/>
          <w:tab w:val="right" w:pos="9091"/>
        </w:tabs>
        <w:spacing w:before="80" w:line="276" w:lineRule="auto"/>
        <w:ind w:left="284" w:hanging="284"/>
        <w:rPr>
          <w:rFonts w:asciiTheme="minorHAnsi" w:hAnsiTheme="minorHAnsi" w:cstheme="minorHAnsi"/>
        </w:rPr>
      </w:pPr>
      <w:r w:rsidRPr="006263CF">
        <w:rPr>
          <w:rFonts w:asciiTheme="minorHAnsi" w:hAnsiTheme="minorHAnsi" w:cstheme="minorHAnsi"/>
          <w:b/>
          <w:bCs/>
          <w:color w:val="1F61AA"/>
          <w:sz w:val="22"/>
          <w:szCs w:val="22"/>
        </w:rPr>
        <w:t>7.</w:t>
      </w:r>
      <w:r w:rsidRPr="006263CF">
        <w:rPr>
          <w:rFonts w:asciiTheme="minorHAnsi" w:hAnsiTheme="minorHAnsi" w:cstheme="minorHAnsi"/>
          <w:b/>
          <w:bCs/>
          <w:color w:val="1F61AA"/>
          <w:sz w:val="22"/>
          <w:szCs w:val="22"/>
        </w:rPr>
        <w:tab/>
        <w:t>Схема лікування МР-ТБ бедаквіліном, претоманідом, лінезолідом (БПЛ) із додатковою стійкістю до фторхінолонів</w:t>
      </w:r>
      <w:r w:rsidRPr="006263CF">
        <w:rPr>
          <w:rFonts w:asciiTheme="minorHAnsi" w:hAnsiTheme="minorHAnsi" w:cstheme="minorHAnsi"/>
          <w:b/>
          <w:bCs/>
          <w:color w:val="1F61AA"/>
          <w:sz w:val="22"/>
          <w:szCs w:val="22"/>
          <w:u w:val="dotted"/>
        </w:rPr>
        <w:tab/>
      </w:r>
      <w:r w:rsidRPr="006263CF">
        <w:rPr>
          <w:rFonts w:asciiTheme="minorHAnsi" w:hAnsiTheme="minorHAnsi" w:cstheme="minorHAnsi"/>
          <w:b/>
          <w:bCs/>
          <w:color w:val="1F61AA"/>
          <w:sz w:val="22"/>
          <w:szCs w:val="22"/>
        </w:rPr>
        <w:t>42</w:t>
      </w:r>
    </w:p>
    <w:p w:rsidR="005C0A87" w:rsidRPr="006263CF" w:rsidRDefault="000A5DB9" w:rsidP="00C74E14">
      <w:pPr>
        <w:numPr>
          <w:ilvl w:val="0"/>
          <w:numId w:val="7"/>
        </w:numPr>
        <w:tabs>
          <w:tab w:val="left" w:pos="590"/>
          <w:tab w:val="right" w:pos="9091"/>
        </w:tabs>
        <w:spacing w:before="80" w:line="276" w:lineRule="auto"/>
        <w:ind w:left="259"/>
        <w:rPr>
          <w:rFonts w:asciiTheme="minorHAnsi" w:hAnsiTheme="minorHAnsi" w:cstheme="minorHAnsi"/>
          <w:color w:val="000000"/>
          <w:spacing w:val="-12"/>
          <w:sz w:val="22"/>
          <w:szCs w:val="22"/>
        </w:rPr>
      </w:pPr>
      <w:r w:rsidRPr="006263CF">
        <w:rPr>
          <w:rFonts w:asciiTheme="minorHAnsi" w:hAnsiTheme="minorHAnsi" w:cstheme="minorHAnsi"/>
          <w:color w:val="000000"/>
          <w:sz w:val="22"/>
          <w:szCs w:val="22"/>
        </w:rPr>
        <w:t>Придатність</w:t>
      </w:r>
      <w:r w:rsidRPr="006263CF">
        <w:rPr>
          <w:rFonts w:asciiTheme="minorHAnsi" w:hAnsiTheme="minorHAnsi" w:cstheme="minorHAnsi"/>
          <w:color w:val="000000"/>
          <w:sz w:val="22"/>
          <w:szCs w:val="22"/>
          <w:u w:val="dotted"/>
        </w:rPr>
        <w:tab/>
      </w:r>
      <w:r w:rsidRPr="006263CF">
        <w:rPr>
          <w:rFonts w:asciiTheme="minorHAnsi" w:hAnsiTheme="minorHAnsi" w:cstheme="minorHAnsi"/>
          <w:color w:val="000000"/>
          <w:sz w:val="22"/>
          <w:szCs w:val="22"/>
        </w:rPr>
        <w:t>43</w:t>
      </w:r>
    </w:p>
    <w:p w:rsidR="005C0A87" w:rsidRPr="006263CF" w:rsidRDefault="005C0A87" w:rsidP="00C74E14">
      <w:pPr>
        <w:numPr>
          <w:ilvl w:val="0"/>
          <w:numId w:val="7"/>
        </w:numPr>
        <w:tabs>
          <w:tab w:val="left" w:pos="590"/>
          <w:tab w:val="right" w:pos="9091"/>
        </w:tabs>
        <w:spacing w:before="80" w:line="276" w:lineRule="auto"/>
        <w:ind w:left="259"/>
        <w:rPr>
          <w:rFonts w:asciiTheme="minorHAnsi" w:hAnsiTheme="minorHAnsi" w:cstheme="minorHAnsi"/>
          <w:color w:val="000000"/>
          <w:spacing w:val="-12"/>
          <w:sz w:val="22"/>
          <w:szCs w:val="22"/>
        </w:rPr>
      </w:pPr>
      <w:r w:rsidRPr="006263CF">
        <w:rPr>
          <w:rFonts w:asciiTheme="minorHAnsi" w:hAnsiTheme="minorHAnsi" w:cstheme="minorHAnsi"/>
          <w:color w:val="000000"/>
          <w:sz w:val="22"/>
          <w:szCs w:val="22"/>
        </w:rPr>
        <w:t>Склад та тривалість схеми лікування</w:t>
      </w:r>
      <w:r w:rsidRPr="006263CF">
        <w:rPr>
          <w:rFonts w:asciiTheme="minorHAnsi" w:hAnsiTheme="minorHAnsi" w:cstheme="minorHAnsi"/>
          <w:color w:val="000000"/>
          <w:sz w:val="22"/>
          <w:szCs w:val="22"/>
          <w:u w:val="dotted"/>
        </w:rPr>
        <w:tab/>
      </w:r>
      <w:r w:rsidRPr="006263CF">
        <w:rPr>
          <w:rFonts w:asciiTheme="minorHAnsi" w:hAnsiTheme="minorHAnsi" w:cstheme="minorHAnsi"/>
          <w:color w:val="000000"/>
          <w:sz w:val="22"/>
          <w:szCs w:val="22"/>
        </w:rPr>
        <w:t>44</w:t>
      </w:r>
    </w:p>
    <w:p w:rsidR="005C0A87" w:rsidRPr="006263CF" w:rsidRDefault="000A5DB9" w:rsidP="00C74E14">
      <w:pPr>
        <w:numPr>
          <w:ilvl w:val="0"/>
          <w:numId w:val="7"/>
        </w:numPr>
        <w:tabs>
          <w:tab w:val="left" w:pos="590"/>
          <w:tab w:val="right" w:pos="9091"/>
        </w:tabs>
        <w:spacing w:before="80" w:line="276" w:lineRule="auto"/>
        <w:ind w:left="259"/>
        <w:rPr>
          <w:rFonts w:asciiTheme="minorHAnsi" w:hAnsiTheme="minorHAnsi" w:cstheme="minorHAnsi"/>
          <w:color w:val="000000"/>
          <w:spacing w:val="-12"/>
          <w:sz w:val="22"/>
          <w:szCs w:val="22"/>
        </w:rPr>
      </w:pPr>
      <w:r w:rsidRPr="006263CF">
        <w:rPr>
          <w:rFonts w:asciiTheme="minorHAnsi" w:hAnsiTheme="minorHAnsi" w:cstheme="minorHAnsi"/>
          <w:color w:val="000000"/>
          <w:sz w:val="22"/>
          <w:szCs w:val="22"/>
        </w:rPr>
        <w:t>Основні підгрупи</w:t>
      </w:r>
      <w:r w:rsidRPr="006263CF">
        <w:rPr>
          <w:rFonts w:asciiTheme="minorHAnsi" w:hAnsiTheme="minorHAnsi" w:cstheme="minorHAnsi"/>
          <w:color w:val="000000"/>
          <w:sz w:val="22"/>
          <w:szCs w:val="22"/>
          <w:u w:val="dotted"/>
        </w:rPr>
        <w:tab/>
      </w:r>
      <w:r w:rsidRPr="006263CF">
        <w:rPr>
          <w:rFonts w:asciiTheme="minorHAnsi" w:hAnsiTheme="minorHAnsi" w:cstheme="minorHAnsi"/>
          <w:color w:val="000000"/>
          <w:sz w:val="22"/>
          <w:szCs w:val="22"/>
        </w:rPr>
        <w:t>46</w:t>
      </w:r>
    </w:p>
    <w:p w:rsidR="005C0A87" w:rsidRPr="006263CF" w:rsidRDefault="000A5DB9" w:rsidP="00C74E14">
      <w:pPr>
        <w:numPr>
          <w:ilvl w:val="0"/>
          <w:numId w:val="7"/>
        </w:numPr>
        <w:tabs>
          <w:tab w:val="left" w:pos="590"/>
          <w:tab w:val="right" w:pos="9091"/>
        </w:tabs>
        <w:spacing w:before="80" w:line="276" w:lineRule="auto"/>
        <w:ind w:left="259"/>
        <w:rPr>
          <w:rFonts w:asciiTheme="minorHAnsi" w:hAnsiTheme="minorHAnsi" w:cstheme="minorHAnsi"/>
          <w:color w:val="000000"/>
          <w:spacing w:val="-12"/>
          <w:sz w:val="22"/>
          <w:szCs w:val="22"/>
        </w:rPr>
      </w:pPr>
      <w:r w:rsidRPr="006263CF">
        <w:rPr>
          <w:rFonts w:asciiTheme="minorHAnsi" w:hAnsiTheme="minorHAnsi" w:cstheme="minorHAnsi"/>
          <w:color w:val="000000"/>
          <w:sz w:val="22"/>
          <w:szCs w:val="22"/>
        </w:rPr>
        <w:t>Розгляд впровадження схеми лікування</w:t>
      </w:r>
      <w:r w:rsidRPr="006263CF">
        <w:rPr>
          <w:rFonts w:asciiTheme="minorHAnsi" w:hAnsiTheme="minorHAnsi" w:cstheme="minorHAnsi"/>
          <w:color w:val="000000"/>
          <w:sz w:val="22"/>
          <w:szCs w:val="22"/>
          <w:u w:val="dotted"/>
        </w:rPr>
        <w:tab/>
      </w:r>
      <w:r w:rsidRPr="006263CF">
        <w:rPr>
          <w:rFonts w:asciiTheme="minorHAnsi" w:hAnsiTheme="minorHAnsi" w:cstheme="minorHAnsi"/>
          <w:color w:val="000000"/>
          <w:sz w:val="22"/>
          <w:szCs w:val="22"/>
        </w:rPr>
        <w:t>47</w:t>
      </w:r>
    </w:p>
    <w:p w:rsidR="005C0A87" w:rsidRPr="006263CF" w:rsidRDefault="000A5DB9" w:rsidP="00C74E14">
      <w:pPr>
        <w:numPr>
          <w:ilvl w:val="0"/>
          <w:numId w:val="7"/>
        </w:numPr>
        <w:tabs>
          <w:tab w:val="left" w:pos="590"/>
          <w:tab w:val="right" w:pos="9091"/>
        </w:tabs>
        <w:spacing w:before="80" w:line="276" w:lineRule="auto"/>
        <w:ind w:left="259"/>
        <w:rPr>
          <w:rFonts w:asciiTheme="minorHAnsi" w:hAnsiTheme="minorHAnsi" w:cstheme="minorHAnsi"/>
          <w:color w:val="000000"/>
          <w:spacing w:val="-12"/>
          <w:sz w:val="22"/>
          <w:szCs w:val="22"/>
        </w:rPr>
      </w:pPr>
      <w:r w:rsidRPr="006263CF">
        <w:rPr>
          <w:rFonts w:asciiTheme="minorHAnsi" w:hAnsiTheme="minorHAnsi" w:cstheme="minorHAnsi"/>
          <w:color w:val="000000"/>
          <w:sz w:val="22"/>
          <w:szCs w:val="22"/>
        </w:rPr>
        <w:t>Моніторинг лікування</w:t>
      </w:r>
      <w:r w:rsidRPr="006263CF">
        <w:rPr>
          <w:rFonts w:asciiTheme="minorHAnsi" w:hAnsiTheme="minorHAnsi" w:cstheme="minorHAnsi"/>
          <w:color w:val="000000"/>
          <w:sz w:val="22"/>
          <w:szCs w:val="22"/>
          <w:u w:val="dotted"/>
        </w:rPr>
        <w:tab/>
      </w:r>
      <w:r w:rsidRPr="006263CF">
        <w:rPr>
          <w:rFonts w:asciiTheme="minorHAnsi" w:hAnsiTheme="minorHAnsi" w:cstheme="minorHAnsi"/>
          <w:color w:val="000000"/>
          <w:sz w:val="22"/>
          <w:szCs w:val="22"/>
        </w:rPr>
        <w:t>48</w:t>
      </w:r>
    </w:p>
    <w:p w:rsidR="005C0A87" w:rsidRPr="006263CF" w:rsidRDefault="000A5DB9" w:rsidP="00C74E14">
      <w:pPr>
        <w:tabs>
          <w:tab w:val="left" w:pos="259"/>
          <w:tab w:val="right" w:pos="9091"/>
        </w:tabs>
        <w:spacing w:before="80" w:line="276" w:lineRule="auto"/>
        <w:rPr>
          <w:rFonts w:asciiTheme="minorHAnsi" w:hAnsiTheme="minorHAnsi" w:cstheme="minorHAnsi"/>
        </w:rPr>
      </w:pPr>
      <w:r w:rsidRPr="006263CF">
        <w:rPr>
          <w:rFonts w:asciiTheme="minorHAnsi" w:hAnsiTheme="minorHAnsi" w:cstheme="minorHAnsi"/>
          <w:b/>
          <w:bCs/>
          <w:color w:val="1F61AA"/>
          <w:sz w:val="22"/>
          <w:szCs w:val="22"/>
        </w:rPr>
        <w:t>8.</w:t>
      </w:r>
      <w:r w:rsidRPr="006263CF">
        <w:rPr>
          <w:rFonts w:asciiTheme="minorHAnsi" w:hAnsiTheme="minorHAnsi" w:cstheme="minorHAnsi"/>
          <w:b/>
          <w:bCs/>
          <w:color w:val="1F61AA"/>
          <w:sz w:val="22"/>
          <w:szCs w:val="22"/>
        </w:rPr>
        <w:tab/>
        <w:t>Допоміжні препарати при лікуванні МР-ТБ</w:t>
      </w:r>
      <w:r w:rsidRPr="006263CF">
        <w:rPr>
          <w:rFonts w:asciiTheme="minorHAnsi" w:hAnsiTheme="minorHAnsi" w:cstheme="minorHAnsi"/>
          <w:b/>
          <w:bCs/>
          <w:color w:val="1F61AA"/>
          <w:sz w:val="22"/>
          <w:szCs w:val="22"/>
          <w:u w:val="dotted"/>
        </w:rPr>
        <w:tab/>
      </w:r>
      <w:r w:rsidRPr="006263CF">
        <w:rPr>
          <w:rFonts w:asciiTheme="minorHAnsi" w:hAnsiTheme="minorHAnsi" w:cstheme="minorHAnsi"/>
          <w:b/>
          <w:bCs/>
          <w:color w:val="1F61AA"/>
          <w:sz w:val="22"/>
          <w:szCs w:val="22"/>
        </w:rPr>
        <w:t>52</w:t>
      </w:r>
    </w:p>
    <w:p w:rsidR="005C0A87" w:rsidRPr="006263CF" w:rsidRDefault="000A5DB9" w:rsidP="00C74E14">
      <w:pPr>
        <w:numPr>
          <w:ilvl w:val="0"/>
          <w:numId w:val="8"/>
        </w:numPr>
        <w:tabs>
          <w:tab w:val="left" w:pos="590"/>
          <w:tab w:val="right" w:pos="9091"/>
        </w:tabs>
        <w:spacing w:before="80" w:line="276" w:lineRule="auto"/>
        <w:ind w:left="259"/>
        <w:rPr>
          <w:rFonts w:asciiTheme="minorHAnsi" w:hAnsiTheme="minorHAnsi" w:cstheme="minorHAnsi"/>
          <w:color w:val="000000"/>
          <w:spacing w:val="-12"/>
          <w:sz w:val="22"/>
          <w:szCs w:val="22"/>
        </w:rPr>
      </w:pPr>
      <w:r w:rsidRPr="006263CF">
        <w:rPr>
          <w:rFonts w:asciiTheme="minorHAnsi" w:hAnsiTheme="minorHAnsi" w:cstheme="minorHAnsi"/>
          <w:color w:val="000000"/>
          <w:sz w:val="22"/>
          <w:szCs w:val="22"/>
        </w:rPr>
        <w:t>Хірургічне втручання при лікуванні М/ШЛС-ТБ</w:t>
      </w:r>
      <w:r w:rsidRPr="006263CF">
        <w:rPr>
          <w:rFonts w:asciiTheme="minorHAnsi" w:hAnsiTheme="minorHAnsi" w:cstheme="minorHAnsi"/>
          <w:color w:val="000000"/>
          <w:sz w:val="22"/>
          <w:szCs w:val="22"/>
          <w:u w:val="dotted"/>
        </w:rPr>
        <w:tab/>
      </w:r>
      <w:r w:rsidRPr="006263CF">
        <w:rPr>
          <w:rFonts w:asciiTheme="minorHAnsi" w:hAnsiTheme="minorHAnsi" w:cstheme="minorHAnsi"/>
          <w:color w:val="000000"/>
          <w:sz w:val="22"/>
          <w:szCs w:val="22"/>
        </w:rPr>
        <w:t>52</w:t>
      </w:r>
    </w:p>
    <w:p w:rsidR="005C0A87" w:rsidRPr="006263CF" w:rsidRDefault="000A5DB9" w:rsidP="00C74E14">
      <w:pPr>
        <w:numPr>
          <w:ilvl w:val="0"/>
          <w:numId w:val="8"/>
        </w:numPr>
        <w:tabs>
          <w:tab w:val="left" w:pos="590"/>
          <w:tab w:val="right" w:pos="9091"/>
        </w:tabs>
        <w:spacing w:before="80" w:line="276" w:lineRule="auto"/>
        <w:ind w:left="259"/>
        <w:rPr>
          <w:rFonts w:asciiTheme="minorHAnsi" w:hAnsiTheme="minorHAnsi" w:cstheme="minorHAnsi"/>
          <w:color w:val="000000"/>
          <w:spacing w:val="-12"/>
          <w:sz w:val="22"/>
          <w:szCs w:val="22"/>
        </w:rPr>
      </w:pPr>
      <w:r w:rsidRPr="006263CF">
        <w:rPr>
          <w:rFonts w:asciiTheme="minorHAnsi" w:hAnsiTheme="minorHAnsi" w:cstheme="minorHAnsi"/>
          <w:color w:val="000000"/>
          <w:sz w:val="22"/>
          <w:szCs w:val="22"/>
        </w:rPr>
        <w:t>Застосування кортикостероїдів</w:t>
      </w:r>
      <w:r w:rsidRPr="006263CF">
        <w:rPr>
          <w:rFonts w:asciiTheme="minorHAnsi" w:hAnsiTheme="minorHAnsi" w:cstheme="minorHAnsi"/>
          <w:color w:val="000000"/>
          <w:sz w:val="22"/>
          <w:szCs w:val="22"/>
          <w:u w:val="dotted"/>
        </w:rPr>
        <w:tab/>
      </w:r>
      <w:r w:rsidRPr="006263CF">
        <w:rPr>
          <w:rFonts w:asciiTheme="minorHAnsi" w:hAnsiTheme="minorHAnsi" w:cstheme="minorHAnsi"/>
          <w:color w:val="000000"/>
          <w:sz w:val="22"/>
          <w:szCs w:val="22"/>
        </w:rPr>
        <w:t>53</w:t>
      </w:r>
    </w:p>
    <w:p w:rsidR="005C0A87" w:rsidRPr="006263CF" w:rsidRDefault="000A5DB9" w:rsidP="00C74E14">
      <w:pPr>
        <w:numPr>
          <w:ilvl w:val="0"/>
          <w:numId w:val="8"/>
        </w:numPr>
        <w:tabs>
          <w:tab w:val="left" w:pos="590"/>
          <w:tab w:val="right" w:pos="9091"/>
        </w:tabs>
        <w:spacing w:before="80" w:line="276" w:lineRule="auto"/>
        <w:ind w:left="259"/>
        <w:rPr>
          <w:rFonts w:asciiTheme="minorHAnsi" w:hAnsiTheme="minorHAnsi" w:cstheme="minorHAnsi"/>
          <w:color w:val="000000"/>
          <w:spacing w:val="-12"/>
          <w:sz w:val="22"/>
          <w:szCs w:val="22"/>
        </w:rPr>
      </w:pPr>
      <w:r w:rsidRPr="006263CF">
        <w:rPr>
          <w:rFonts w:asciiTheme="minorHAnsi" w:hAnsiTheme="minorHAnsi" w:cstheme="minorHAnsi"/>
          <w:color w:val="000000"/>
          <w:sz w:val="22"/>
          <w:szCs w:val="22"/>
        </w:rPr>
        <w:t>Застосування імуномодуляторів</w:t>
      </w:r>
      <w:r w:rsidRPr="006263CF">
        <w:rPr>
          <w:rFonts w:asciiTheme="minorHAnsi" w:hAnsiTheme="minorHAnsi" w:cstheme="minorHAnsi"/>
          <w:color w:val="000000"/>
          <w:sz w:val="22"/>
          <w:szCs w:val="22"/>
          <w:u w:val="dotted"/>
        </w:rPr>
        <w:tab/>
      </w:r>
      <w:r w:rsidRPr="006263CF">
        <w:rPr>
          <w:rFonts w:asciiTheme="minorHAnsi" w:hAnsiTheme="minorHAnsi" w:cstheme="minorHAnsi"/>
          <w:color w:val="000000"/>
          <w:sz w:val="22"/>
          <w:szCs w:val="22"/>
        </w:rPr>
        <w:t>53</w:t>
      </w:r>
    </w:p>
    <w:p w:rsidR="005C0A87" w:rsidRPr="006263CF" w:rsidRDefault="000A5DB9" w:rsidP="00C74E14">
      <w:pPr>
        <w:numPr>
          <w:ilvl w:val="0"/>
          <w:numId w:val="8"/>
        </w:numPr>
        <w:tabs>
          <w:tab w:val="left" w:pos="590"/>
          <w:tab w:val="right" w:pos="9091"/>
        </w:tabs>
        <w:spacing w:before="80" w:line="276" w:lineRule="auto"/>
        <w:ind w:left="259"/>
        <w:rPr>
          <w:rFonts w:asciiTheme="minorHAnsi" w:hAnsiTheme="minorHAnsi" w:cstheme="minorHAnsi"/>
          <w:color w:val="000000"/>
          <w:spacing w:val="-12"/>
          <w:sz w:val="22"/>
          <w:szCs w:val="22"/>
        </w:rPr>
      </w:pPr>
      <w:r w:rsidRPr="006263CF">
        <w:rPr>
          <w:rFonts w:asciiTheme="minorHAnsi" w:hAnsiTheme="minorHAnsi" w:cstheme="minorHAnsi"/>
          <w:color w:val="000000"/>
          <w:sz w:val="22"/>
          <w:szCs w:val="22"/>
        </w:rPr>
        <w:t>Лікування хворих на ВІЛ, ко-інфікованих МР/Риф-ТБ</w:t>
      </w:r>
      <w:r w:rsidRPr="006263CF">
        <w:rPr>
          <w:rFonts w:asciiTheme="minorHAnsi" w:hAnsiTheme="minorHAnsi" w:cstheme="minorHAnsi"/>
          <w:color w:val="000000"/>
          <w:sz w:val="22"/>
          <w:szCs w:val="22"/>
          <w:u w:val="dotted"/>
        </w:rPr>
        <w:tab/>
      </w:r>
      <w:r w:rsidRPr="006263CF">
        <w:rPr>
          <w:rFonts w:asciiTheme="minorHAnsi" w:hAnsiTheme="minorHAnsi" w:cstheme="minorHAnsi"/>
          <w:color w:val="000000"/>
          <w:sz w:val="22"/>
          <w:szCs w:val="22"/>
        </w:rPr>
        <w:t>54</w:t>
      </w:r>
    </w:p>
    <w:p w:rsidR="005C0A87" w:rsidRPr="006263CF" w:rsidRDefault="005C0A87" w:rsidP="00C74E14">
      <w:pPr>
        <w:tabs>
          <w:tab w:val="left" w:pos="259"/>
          <w:tab w:val="right" w:pos="9091"/>
        </w:tabs>
        <w:spacing w:before="80" w:line="276" w:lineRule="auto"/>
        <w:rPr>
          <w:rFonts w:asciiTheme="minorHAnsi" w:hAnsiTheme="minorHAnsi" w:cstheme="minorHAnsi"/>
        </w:rPr>
      </w:pPr>
      <w:r w:rsidRPr="006263CF">
        <w:rPr>
          <w:rFonts w:asciiTheme="minorHAnsi" w:hAnsiTheme="minorHAnsi" w:cstheme="minorHAnsi"/>
          <w:b/>
          <w:bCs/>
          <w:color w:val="1F61AA"/>
          <w:sz w:val="24"/>
          <w:szCs w:val="24"/>
        </w:rPr>
        <w:t>9.</w:t>
      </w:r>
      <w:r w:rsidRPr="006263CF">
        <w:rPr>
          <w:rFonts w:asciiTheme="minorHAnsi" w:hAnsiTheme="minorHAnsi" w:cstheme="minorHAnsi"/>
          <w:b/>
          <w:bCs/>
          <w:color w:val="1F61AA"/>
          <w:sz w:val="24"/>
          <w:szCs w:val="24"/>
        </w:rPr>
        <w:tab/>
        <w:t>Підтримка пацієнтів для забезпечення прихильності до лікування</w:t>
      </w:r>
      <w:r w:rsidRPr="006263CF">
        <w:rPr>
          <w:rFonts w:asciiTheme="minorHAnsi" w:hAnsiTheme="minorHAnsi" w:cstheme="minorHAnsi"/>
          <w:b/>
          <w:bCs/>
          <w:color w:val="1F61AA"/>
          <w:sz w:val="24"/>
          <w:szCs w:val="24"/>
          <w:u w:val="dotted"/>
        </w:rPr>
        <w:tab/>
      </w:r>
      <w:r w:rsidRPr="006263CF">
        <w:rPr>
          <w:rFonts w:asciiTheme="minorHAnsi" w:hAnsiTheme="minorHAnsi" w:cstheme="minorHAnsi"/>
          <w:b/>
          <w:bCs/>
          <w:color w:val="1F61AA"/>
          <w:sz w:val="24"/>
          <w:szCs w:val="24"/>
        </w:rPr>
        <w:t>55</w:t>
      </w:r>
    </w:p>
    <w:p w:rsidR="005C0A87" w:rsidRPr="006263CF" w:rsidRDefault="000A5DB9" w:rsidP="00C74E14">
      <w:pPr>
        <w:tabs>
          <w:tab w:val="left" w:pos="394"/>
          <w:tab w:val="right" w:pos="9091"/>
        </w:tabs>
        <w:spacing w:before="80" w:line="276" w:lineRule="auto"/>
        <w:rPr>
          <w:rFonts w:asciiTheme="minorHAnsi" w:hAnsiTheme="minorHAnsi" w:cstheme="minorHAnsi"/>
        </w:rPr>
      </w:pPr>
      <w:r w:rsidRPr="006263CF">
        <w:rPr>
          <w:rFonts w:asciiTheme="minorHAnsi" w:hAnsiTheme="minorHAnsi" w:cstheme="minorHAnsi"/>
          <w:b/>
          <w:bCs/>
          <w:color w:val="1F61AA"/>
          <w:sz w:val="24"/>
          <w:szCs w:val="24"/>
        </w:rPr>
        <w:t>10.</w:t>
      </w:r>
      <w:r w:rsidRPr="006263CF">
        <w:rPr>
          <w:rFonts w:asciiTheme="minorHAnsi" w:hAnsiTheme="minorHAnsi" w:cstheme="minorHAnsi"/>
          <w:b/>
          <w:bCs/>
          <w:color w:val="1F61AA"/>
          <w:sz w:val="24"/>
          <w:szCs w:val="24"/>
        </w:rPr>
        <w:tab/>
        <w:t>Програмна імплементація схем лікування МР-ТБ</w:t>
      </w:r>
      <w:r w:rsidRPr="006263CF">
        <w:rPr>
          <w:rFonts w:asciiTheme="minorHAnsi" w:hAnsiTheme="minorHAnsi" w:cstheme="minorHAnsi"/>
          <w:b/>
          <w:bCs/>
          <w:color w:val="1F61AA"/>
          <w:sz w:val="24"/>
          <w:szCs w:val="24"/>
          <w:u w:val="dotted"/>
        </w:rPr>
        <w:tab/>
      </w:r>
      <w:r w:rsidRPr="006263CF">
        <w:rPr>
          <w:rFonts w:asciiTheme="minorHAnsi" w:hAnsiTheme="minorHAnsi" w:cstheme="minorHAnsi"/>
          <w:b/>
          <w:bCs/>
          <w:color w:val="1F61AA"/>
          <w:sz w:val="24"/>
          <w:szCs w:val="24"/>
        </w:rPr>
        <w:t>57</w:t>
      </w:r>
    </w:p>
    <w:p w:rsidR="005C0A87" w:rsidRPr="006263CF" w:rsidRDefault="000A5DB9" w:rsidP="00C74E14">
      <w:pPr>
        <w:tabs>
          <w:tab w:val="right" w:pos="9091"/>
        </w:tabs>
        <w:spacing w:before="80" w:line="276" w:lineRule="auto"/>
        <w:rPr>
          <w:rFonts w:asciiTheme="minorHAnsi" w:hAnsiTheme="minorHAnsi" w:cstheme="minorHAnsi"/>
        </w:rPr>
      </w:pPr>
      <w:r w:rsidRPr="006263CF">
        <w:rPr>
          <w:rFonts w:asciiTheme="minorHAnsi" w:hAnsiTheme="minorHAnsi" w:cstheme="minorHAnsi"/>
          <w:b/>
          <w:bCs/>
          <w:color w:val="1F61AA"/>
          <w:sz w:val="24"/>
          <w:szCs w:val="24"/>
        </w:rPr>
        <w:t>Список літератури</w:t>
      </w:r>
      <w:r w:rsidRPr="006263CF">
        <w:rPr>
          <w:rFonts w:asciiTheme="minorHAnsi" w:hAnsiTheme="minorHAnsi" w:cstheme="minorHAnsi"/>
          <w:b/>
          <w:bCs/>
          <w:color w:val="1F61AA"/>
          <w:sz w:val="24"/>
          <w:szCs w:val="24"/>
          <w:u w:val="dotted"/>
        </w:rPr>
        <w:tab/>
      </w:r>
      <w:r w:rsidRPr="006263CF">
        <w:rPr>
          <w:rFonts w:asciiTheme="minorHAnsi" w:hAnsiTheme="minorHAnsi" w:cstheme="minorHAnsi"/>
          <w:b/>
          <w:bCs/>
          <w:color w:val="1F61AA"/>
          <w:sz w:val="24"/>
          <w:szCs w:val="24"/>
        </w:rPr>
        <w:t>61</w:t>
      </w:r>
    </w:p>
    <w:p w:rsidR="005C0A87" w:rsidRPr="006263CF" w:rsidRDefault="005C0A87" w:rsidP="00C74E14">
      <w:pPr>
        <w:tabs>
          <w:tab w:val="right" w:pos="9072"/>
        </w:tabs>
        <w:spacing w:before="80" w:line="276" w:lineRule="auto"/>
        <w:rPr>
          <w:rFonts w:asciiTheme="minorHAnsi" w:hAnsiTheme="minorHAnsi" w:cstheme="minorHAnsi"/>
        </w:rPr>
      </w:pPr>
      <w:r w:rsidRPr="006263CF">
        <w:rPr>
          <w:rFonts w:asciiTheme="minorHAnsi" w:hAnsiTheme="minorHAnsi" w:cstheme="minorHAnsi"/>
          <w:b/>
          <w:bCs/>
          <w:color w:val="1F61AA"/>
          <w:sz w:val="24"/>
          <w:szCs w:val="24"/>
        </w:rPr>
        <w:t>Додаток I: Дозування лікарських препаратів за ваговою категорією, що застосовуються у схемах лікування мультирезистентного ТБ</w:t>
      </w:r>
      <w:r w:rsidR="006263CF" w:rsidRPr="006263CF">
        <w:rPr>
          <w:rFonts w:asciiTheme="minorHAnsi" w:hAnsiTheme="minorHAnsi" w:cstheme="minorHAnsi"/>
          <w:b/>
          <w:bCs/>
          <w:color w:val="1F61AA"/>
          <w:sz w:val="24"/>
          <w:szCs w:val="24"/>
        </w:rPr>
        <w:t xml:space="preserve"> стійкістю у</w:t>
      </w:r>
      <w:r w:rsidR="00C74E14">
        <w:rPr>
          <w:rFonts w:asciiTheme="minorHAnsi" w:hAnsiTheme="minorHAnsi" w:cstheme="minorHAnsi"/>
          <w:b/>
          <w:bCs/>
          <w:color w:val="1F61AA"/>
          <w:sz w:val="24"/>
          <w:szCs w:val="24"/>
        </w:rPr>
        <w:t xml:space="preserve"> </w:t>
      </w:r>
      <w:r w:rsidRPr="006263CF">
        <w:rPr>
          <w:rFonts w:asciiTheme="minorHAnsi" w:hAnsiTheme="minorHAnsi" w:cstheme="minorHAnsi"/>
          <w:b/>
          <w:bCs/>
          <w:color w:val="1F61AA"/>
          <w:sz w:val="24"/>
          <w:szCs w:val="24"/>
        </w:rPr>
        <w:t>дорослих та дітей</w:t>
      </w:r>
      <w:r w:rsidRPr="006263CF">
        <w:rPr>
          <w:rFonts w:asciiTheme="minorHAnsi" w:hAnsiTheme="minorHAnsi" w:cstheme="minorHAnsi"/>
          <w:b/>
          <w:bCs/>
          <w:color w:val="1F61AA"/>
          <w:sz w:val="24"/>
          <w:szCs w:val="24"/>
          <w:u w:val="dotted"/>
        </w:rPr>
        <w:tab/>
      </w:r>
      <w:r w:rsidRPr="006263CF">
        <w:rPr>
          <w:rFonts w:asciiTheme="minorHAnsi" w:hAnsiTheme="minorHAnsi" w:cstheme="minorHAnsi"/>
          <w:b/>
          <w:bCs/>
          <w:color w:val="1F61AA"/>
          <w:sz w:val="24"/>
          <w:szCs w:val="24"/>
        </w:rPr>
        <w:t>69</w:t>
      </w:r>
      <w:r w:rsidR="00C74E14">
        <w:rPr>
          <w:rFonts w:asciiTheme="minorHAnsi" w:hAnsiTheme="minorHAnsi" w:cstheme="minorHAnsi"/>
          <w:noProof/>
        </w:rPr>
        <w:drawing>
          <wp:anchor distT="0" distB="0" distL="6400800" distR="6400800" simplePos="0" relativeHeight="251679744" behindDoc="1" locked="0" layoutInCell="0" allowOverlap="1" wp14:anchorId="6986F979" wp14:editId="7A1D8938">
            <wp:simplePos x="0" y="0"/>
            <wp:positionH relativeFrom="margin">
              <wp:posOffset>635</wp:posOffset>
            </wp:positionH>
            <wp:positionV relativeFrom="paragraph">
              <wp:posOffset>7829550</wp:posOffset>
            </wp:positionV>
            <wp:extent cx="7553960" cy="2862580"/>
            <wp:effectExtent l="0" t="0" r="8890" b="0"/>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3960" cy="2862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44DA" w:rsidRPr="006263CF" w:rsidRDefault="005144DA" w:rsidP="006263CF">
      <w:pPr>
        <w:tabs>
          <w:tab w:val="right" w:pos="9091"/>
        </w:tabs>
        <w:rPr>
          <w:rFonts w:asciiTheme="minorHAnsi" w:hAnsiTheme="minorHAnsi" w:cstheme="minorHAnsi"/>
        </w:rPr>
        <w:sectPr w:rsidR="005144DA" w:rsidRPr="006263CF" w:rsidSect="005144DA">
          <w:headerReference w:type="default" r:id="rId13"/>
          <w:pgSz w:w="11904" w:h="16838"/>
          <w:pgMar w:top="2654" w:right="1416" w:bottom="1560" w:left="1416" w:header="708" w:footer="708" w:gutter="0"/>
          <w:cols w:space="60"/>
          <w:noEndnote/>
        </w:sectPr>
      </w:pPr>
    </w:p>
    <w:p w:rsidR="005C0A87" w:rsidRPr="000344A4" w:rsidRDefault="00C73DE6" w:rsidP="006263CF">
      <w:pPr>
        <w:rPr>
          <w:rFonts w:asciiTheme="minorHAnsi" w:hAnsiTheme="minorHAnsi" w:cstheme="minorHAnsi"/>
          <w:b/>
          <w:sz w:val="18"/>
        </w:rPr>
      </w:pPr>
      <w:bookmarkStart w:id="1" w:name="bookmark0"/>
      <w:r w:rsidRPr="000344A4">
        <w:rPr>
          <w:rFonts w:asciiTheme="minorHAnsi" w:hAnsiTheme="minorHAnsi" w:cstheme="minorHAnsi"/>
          <w:b/>
          <w:noProof/>
          <w:color w:val="1F61AA"/>
          <w:sz w:val="56"/>
          <w:szCs w:val="64"/>
        </w:rPr>
        <w:lastRenderedPageBreak/>
        <w:drawing>
          <wp:anchor distT="0" distB="0" distL="6400800" distR="6400800" simplePos="0" relativeHeight="251680768" behindDoc="1" locked="0" layoutInCell="0" allowOverlap="1" wp14:anchorId="6A53D5F9" wp14:editId="2D449364">
            <wp:simplePos x="0" y="0"/>
            <wp:positionH relativeFrom="margin">
              <wp:posOffset>-946422</wp:posOffset>
            </wp:positionH>
            <wp:positionV relativeFrom="paragraph">
              <wp:posOffset>-1370965</wp:posOffset>
            </wp:positionV>
            <wp:extent cx="7729220" cy="1708785"/>
            <wp:effectExtent l="0" t="0" r="5080" b="5715"/>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29220" cy="1708785"/>
                    </a:xfrm>
                    <a:prstGeom prst="rect">
                      <a:avLst/>
                    </a:prstGeom>
                    <a:noFill/>
                    <a:ln>
                      <a:noFill/>
                    </a:ln>
                  </pic:spPr>
                </pic:pic>
              </a:graphicData>
            </a:graphic>
            <wp14:sizeRelH relativeFrom="page">
              <wp14:pctWidth>0</wp14:pctWidth>
            </wp14:sizeRelH>
            <wp14:sizeRelV relativeFrom="page">
              <wp14:pctHeight>0</wp14:pctHeight>
            </wp14:sizeRelV>
          </wp:anchor>
        </w:drawing>
      </w:r>
      <w:r w:rsidR="005C0A87" w:rsidRPr="000344A4">
        <w:rPr>
          <w:rFonts w:asciiTheme="minorHAnsi" w:hAnsiTheme="minorHAnsi" w:cstheme="minorHAnsi"/>
          <w:b/>
          <w:color w:val="1F61AA"/>
          <w:sz w:val="56"/>
          <w:szCs w:val="64"/>
        </w:rPr>
        <w:t>П</w:t>
      </w:r>
      <w:bookmarkEnd w:id="1"/>
      <w:r w:rsidR="005C0A87" w:rsidRPr="000344A4">
        <w:rPr>
          <w:rFonts w:asciiTheme="minorHAnsi" w:hAnsiTheme="minorHAnsi" w:cstheme="minorHAnsi"/>
          <w:b/>
          <w:color w:val="1F61AA"/>
          <w:sz w:val="56"/>
          <w:szCs w:val="64"/>
        </w:rPr>
        <w:t>одяка</w:t>
      </w:r>
    </w:p>
    <w:p w:rsidR="005C0A87" w:rsidRPr="006263CF" w:rsidRDefault="005C0A87" w:rsidP="006263CF">
      <w:pPr>
        <w:spacing w:before="1099"/>
        <w:ind w:right="5"/>
        <w:jc w:val="both"/>
        <w:rPr>
          <w:rFonts w:asciiTheme="minorHAnsi" w:hAnsiTheme="minorHAnsi" w:cstheme="minorHAnsi"/>
          <w:sz w:val="18"/>
        </w:rPr>
      </w:pPr>
      <w:r w:rsidRPr="006263CF">
        <w:rPr>
          <w:rFonts w:asciiTheme="minorHAnsi" w:hAnsiTheme="minorHAnsi" w:cstheme="minorHAnsi"/>
          <w:color w:val="000000"/>
          <w:szCs w:val="22"/>
        </w:rPr>
        <w:t>Операційне керівництво ВООЗ щодо туберкульозу було підготовлено Fuad Mirzayev, Linh Nguyen, Medea Gegia, Kerri Viney під загальним керівництвом Matteo Zignol та Tereza Kasaeva. Свої внески також зробили: Dennis Falzon, Ernesto Jaramillo, Олексій Коробіцин, Annemieke Brands, Sabine Verkuijl та Annabel Baddeley в рамках Глобальної програми ВООЗ протидії туберкульозу.</w:t>
      </w:r>
    </w:p>
    <w:p w:rsidR="005C0A87" w:rsidRPr="006263CF" w:rsidRDefault="005C0A87" w:rsidP="006263CF">
      <w:pPr>
        <w:spacing w:before="149"/>
        <w:ind w:right="5"/>
        <w:jc w:val="both"/>
        <w:rPr>
          <w:rFonts w:asciiTheme="minorHAnsi" w:hAnsiTheme="minorHAnsi" w:cstheme="minorHAnsi"/>
          <w:sz w:val="18"/>
        </w:rPr>
      </w:pPr>
      <w:r w:rsidRPr="006263CF">
        <w:rPr>
          <w:rFonts w:asciiTheme="minorHAnsi" w:hAnsiTheme="minorHAnsi" w:cstheme="minorHAnsi"/>
          <w:color w:val="000000"/>
          <w:szCs w:val="22"/>
        </w:rPr>
        <w:t>Глобальна програма ВООЗ протидії туберкульозу із вдячністю визнає внесок усіх експертів та рецензентів, які брали участь у розробці операційного керівництва. Дj складу ERG увійшли: Vineet Bhatia (Регіональне бюро ВООЗ для країн Південно-Східної Азії, Індія), Charles Daley (лікарня «Національне єврейське здоров'я», США), Christopher Gilpin (Міжнародна організація з міграції, Швейцарія), Rafael Laniado Laborin (Національна програма по боротьбі з ТБ, Мехіко), Ben Marais (Медична школа університету Сіднея, Австралія), YaDiul Mukadi (Агентство США з міжнародного розвитку, США), Mamel Quelapio (фонд боротьби з туберкульозом, Філіппіни), Maria Rodriguez (Національна програма по боротьбі з ТБ, Домініканська Республіка), Sarabjit Singh Chadha (Фонд інноваційної діагностики, Індія), Fraser Wares (фонд боротьби з туберкульозом, Нідерланди) та Askar Yedilbayev (ЄВРО ВООЗ, Данія).</w:t>
      </w:r>
    </w:p>
    <w:p w:rsidR="005C0A87" w:rsidRPr="006263CF" w:rsidRDefault="005C0A87" w:rsidP="006263CF">
      <w:pPr>
        <w:spacing w:before="144"/>
        <w:ind w:right="5"/>
        <w:jc w:val="both"/>
        <w:rPr>
          <w:rFonts w:asciiTheme="minorHAnsi" w:hAnsiTheme="minorHAnsi" w:cstheme="minorHAnsi"/>
          <w:sz w:val="18"/>
        </w:rPr>
      </w:pPr>
      <w:r w:rsidRPr="006263CF">
        <w:rPr>
          <w:rFonts w:asciiTheme="minorHAnsi" w:hAnsiTheme="minorHAnsi" w:cstheme="minorHAnsi"/>
          <w:color w:val="000000"/>
          <w:szCs w:val="22"/>
        </w:rPr>
        <w:t>Вказані нижче особи та організації також зробили свій внесок в рецензування керівництва, відгукнувшись на заклик до внесення коментарів для розділу 5 Посібника до Настанов ВООЗ із лікування лікарсько-стійкого туберкульозу у липні 2019 року: Jay Achar (MSF, Бельгія), Muhammad Asif (технічний консультант у Національній програмі по боротьбі з ТБ, М'янма), Draurio Barreira Cravo Neto (Unitaid, Швейцарія), Vineet Bhatia (Регіональне бюро ВООЗ для країн Південно-Східної Азії, Індія), Yuliya Chorna (Європейська коаліція по боротьбі з туберкульозом, Україна), Kelly Dooley (Школа медицини Джонса Гопкінса, США), Magdy Fawzy (Національна програма по боротьбі з ТБ, Єгипет), Abdul Ghafoor (Національна програма по боротьбі з ТБ, Пакистан), Elmira Gurbanova (Клініка пульмонології, Тартуський університет, Естонія), Edwin H. Herrera Flores (Перуанське товариство пневмології, Перу), Domingo Juan Palmero (Інфекційна лікарня Ф, Х. Муніса, Аргентина), Gary Maartens (Університет Кейптауна, Південна Африка), Lawrence Mbuagbaw (Мед. Центр Св. Джозефа Гамільтона, Канада), Ignacio Monedero-Recuero (Міжнародний союз боротьби з туберкульозом та легеневими захворюваннями, Франція), Ernesto Montoro (Регіональне бюро ВООЗ для країн Південно-Східної Азії, США), Suneetha Narreddy (лікарняна мережа Apolo Hospitals, Індія), Alberto Piubello (Міжнародний союз боротьби з туберкульозом та легеневими захворюваннями, Нігер), Maria Rodriguez (Національна програма по боротьбі з ТБ, Домініканська Республіка), Олена Скрахіна (Національна програма по боротьбі з ТБ, Білорусь), Shenjie Tang (Пекінська лікарня грудної клітини, Китай), Hoang Thanh Thuy (Національна програма по боротьбі з ТБ, В'єтнам), Ye Tun (лікарня Thingankyun General Hospital, М'янма), Francis Varaine (MSF, Франція), Interactive Research and Development (Пакистан), фонд боротьби з туберкульозом (Нідерланди), Партнери в галузі охорони здоров'я (США), The Sentinel Project, Treatment Action Group (США) та Агентство США з міжнародного розвитку (США).</w:t>
      </w:r>
      <w:r w:rsidR="00AF465C" w:rsidRPr="00AF465C">
        <w:rPr>
          <w:color w:val="1E5FAA"/>
          <w:sz w:val="16"/>
          <w:szCs w:val="16"/>
        </w:rPr>
        <w:t xml:space="preserve"> </w:t>
      </w:r>
    </w:p>
    <w:p w:rsidR="005C0A87" w:rsidRPr="006263CF" w:rsidRDefault="005C0A87" w:rsidP="006263CF">
      <w:pPr>
        <w:spacing w:before="149"/>
        <w:ind w:right="5"/>
        <w:jc w:val="both"/>
        <w:rPr>
          <w:rFonts w:asciiTheme="minorHAnsi" w:hAnsiTheme="minorHAnsi" w:cstheme="minorHAnsi"/>
          <w:sz w:val="18"/>
        </w:rPr>
      </w:pPr>
      <w:r w:rsidRPr="006263CF">
        <w:rPr>
          <w:rFonts w:asciiTheme="minorHAnsi" w:hAnsiTheme="minorHAnsi" w:cstheme="minorHAnsi"/>
          <w:color w:val="000000"/>
          <w:szCs w:val="22"/>
        </w:rPr>
        <w:t>Дизайн та компонування цього керівництва стали можливими завдяки фінансуванню Агентства США з міжнародного розвитку (USAID) та Unitaid.</w:t>
      </w:r>
    </w:p>
    <w:p w:rsidR="005C0A87" w:rsidRPr="006263CF" w:rsidRDefault="005C0A87" w:rsidP="006263CF">
      <w:pPr>
        <w:spacing w:before="149"/>
        <w:ind w:right="14"/>
        <w:jc w:val="both"/>
        <w:rPr>
          <w:rFonts w:asciiTheme="minorHAnsi" w:hAnsiTheme="minorHAnsi" w:cstheme="minorHAnsi"/>
          <w:sz w:val="18"/>
        </w:rPr>
        <w:sectPr w:rsidR="005C0A87" w:rsidRPr="006263CF" w:rsidSect="00AF465C">
          <w:footerReference w:type="even" r:id="rId15"/>
          <w:pgSz w:w="11904" w:h="16838"/>
          <w:pgMar w:top="2117" w:right="1411" w:bottom="0" w:left="1416" w:header="708" w:footer="708" w:gutter="0"/>
          <w:cols w:space="60"/>
          <w:noEndnote/>
          <w:docGrid w:linePitch="272"/>
        </w:sectPr>
      </w:pPr>
    </w:p>
    <w:tbl>
      <w:tblPr>
        <w:tblW w:w="0" w:type="auto"/>
        <w:tblInd w:w="40" w:type="dxa"/>
        <w:tblLayout w:type="fixed"/>
        <w:tblCellMar>
          <w:left w:w="40" w:type="dxa"/>
          <w:right w:w="40" w:type="dxa"/>
        </w:tblCellMar>
        <w:tblLook w:val="0000" w:firstRow="0" w:lastRow="0" w:firstColumn="0" w:lastColumn="0" w:noHBand="0" w:noVBand="0"/>
      </w:tblPr>
      <w:tblGrid>
        <w:gridCol w:w="1584"/>
        <w:gridCol w:w="7630"/>
      </w:tblGrid>
      <w:tr w:rsidR="005C0A87" w:rsidRPr="006263CF" w:rsidTr="00AF465C">
        <w:trPr>
          <w:trHeight w:hRule="exact" w:val="955"/>
        </w:trPr>
        <w:tc>
          <w:tcPr>
            <w:tcW w:w="9214" w:type="dxa"/>
            <w:gridSpan w:val="2"/>
            <w:tcBorders>
              <w:top w:val="nil"/>
              <w:left w:val="nil"/>
              <w:bottom w:val="nil"/>
              <w:right w:val="nil"/>
            </w:tcBorders>
            <w:shd w:val="clear" w:color="auto" w:fill="auto"/>
          </w:tcPr>
          <w:p w:rsidR="005C0A87" w:rsidRPr="00AF465C" w:rsidRDefault="00C73DE6" w:rsidP="006263CF">
            <w:pPr>
              <w:rPr>
                <w:rFonts w:asciiTheme="minorHAnsi" w:hAnsiTheme="minorHAnsi" w:cstheme="minorHAnsi"/>
                <w:b/>
                <w:sz w:val="18"/>
              </w:rPr>
            </w:pPr>
            <w:bookmarkStart w:id="2" w:name="bookmark1"/>
            <w:r w:rsidRPr="00AF465C">
              <w:rPr>
                <w:rFonts w:asciiTheme="minorHAnsi" w:hAnsiTheme="minorHAnsi" w:cstheme="minorHAnsi"/>
                <w:b/>
                <w:noProof/>
                <w:color w:val="1F61AA"/>
                <w:sz w:val="56"/>
                <w:szCs w:val="64"/>
              </w:rPr>
              <w:lastRenderedPageBreak/>
              <w:drawing>
                <wp:anchor distT="0" distB="0" distL="6400800" distR="6400800" simplePos="0" relativeHeight="251685888" behindDoc="1" locked="0" layoutInCell="0" allowOverlap="1" wp14:anchorId="228A3F0E" wp14:editId="2CA1CAC3">
                  <wp:simplePos x="0" y="0"/>
                  <wp:positionH relativeFrom="margin">
                    <wp:posOffset>-902335</wp:posOffset>
                  </wp:positionH>
                  <wp:positionV relativeFrom="paragraph">
                    <wp:posOffset>-1490254</wp:posOffset>
                  </wp:positionV>
                  <wp:extent cx="8042910" cy="1629410"/>
                  <wp:effectExtent l="0" t="0" r="0" b="8890"/>
                  <wp:wrapNone/>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42910" cy="162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5C0A87" w:rsidRPr="00AF465C">
              <w:rPr>
                <w:rFonts w:asciiTheme="minorHAnsi" w:hAnsiTheme="minorHAnsi" w:cstheme="minorHAnsi"/>
                <w:b/>
                <w:color w:val="1F61AA"/>
                <w:sz w:val="56"/>
                <w:szCs w:val="64"/>
              </w:rPr>
              <w:t>Скорочення</w:t>
            </w:r>
            <w:bookmarkEnd w:id="2"/>
            <w:r w:rsidR="005C0A87" w:rsidRPr="00AF465C">
              <w:rPr>
                <w:rFonts w:asciiTheme="minorHAnsi" w:hAnsiTheme="minorHAnsi" w:cstheme="minorHAnsi"/>
                <w:b/>
                <w:color w:val="1F61AA"/>
                <w:sz w:val="56"/>
                <w:szCs w:val="64"/>
              </w:rPr>
              <w:t>та абревіатури</w:t>
            </w:r>
          </w:p>
        </w:tc>
      </w:tr>
      <w:tr w:rsidR="005C0A87" w:rsidRPr="006263CF" w:rsidTr="00AF465C">
        <w:trPr>
          <w:trHeight w:hRule="exact" w:val="466"/>
        </w:trPr>
        <w:tc>
          <w:tcPr>
            <w:tcW w:w="1584"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b/>
                <w:bCs/>
                <w:color w:val="5D7BBA"/>
                <w:sz w:val="18"/>
                <w:szCs w:val="18"/>
              </w:rPr>
              <w:t>aDSM</w:t>
            </w:r>
          </w:p>
        </w:tc>
        <w:tc>
          <w:tcPr>
            <w:tcW w:w="7630"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color w:val="000000"/>
                <w:sz w:val="18"/>
                <w:szCs w:val="18"/>
              </w:rPr>
              <w:t>система активного моніторингу та управління безпекою застосування протитуберкульозних препаратів</w:t>
            </w:r>
          </w:p>
        </w:tc>
      </w:tr>
      <w:tr w:rsidR="005C0A87" w:rsidRPr="006263CF" w:rsidTr="00AF465C">
        <w:trPr>
          <w:trHeight w:hRule="exact" w:val="341"/>
        </w:trPr>
        <w:tc>
          <w:tcPr>
            <w:tcW w:w="1584"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b/>
                <w:bCs/>
                <w:color w:val="5D7BBA"/>
                <w:sz w:val="18"/>
                <w:szCs w:val="18"/>
              </w:rPr>
              <w:t>НЯ</w:t>
            </w:r>
          </w:p>
        </w:tc>
        <w:tc>
          <w:tcPr>
            <w:tcW w:w="7630"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color w:val="000000"/>
                <w:sz w:val="18"/>
                <w:szCs w:val="18"/>
              </w:rPr>
              <w:t>Небажане явище</w:t>
            </w:r>
          </w:p>
        </w:tc>
      </w:tr>
      <w:tr w:rsidR="005C0A87" w:rsidRPr="006263CF" w:rsidTr="00AF465C">
        <w:trPr>
          <w:trHeight w:hRule="exact" w:val="355"/>
        </w:trPr>
        <w:tc>
          <w:tcPr>
            <w:tcW w:w="1584"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b/>
                <w:bCs/>
                <w:color w:val="5D7BBA"/>
                <w:sz w:val="18"/>
                <w:szCs w:val="18"/>
              </w:rPr>
              <w:t>СНІД</w:t>
            </w:r>
          </w:p>
        </w:tc>
        <w:tc>
          <w:tcPr>
            <w:tcW w:w="7630"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color w:val="000000"/>
                <w:sz w:val="18"/>
                <w:szCs w:val="18"/>
              </w:rPr>
              <w:t>синдром набутого імунодефіциту</w:t>
            </w:r>
          </w:p>
        </w:tc>
      </w:tr>
      <w:tr w:rsidR="005C0A87" w:rsidRPr="006263CF" w:rsidTr="00AF465C">
        <w:trPr>
          <w:trHeight w:hRule="exact" w:val="346"/>
        </w:trPr>
        <w:tc>
          <w:tcPr>
            <w:tcW w:w="1584"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b/>
                <w:bCs/>
                <w:color w:val="5D7BBA"/>
                <w:sz w:val="18"/>
                <w:szCs w:val="18"/>
              </w:rPr>
              <w:t>сСШ</w:t>
            </w:r>
          </w:p>
        </w:tc>
        <w:tc>
          <w:tcPr>
            <w:tcW w:w="7630"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color w:val="000000"/>
                <w:sz w:val="18"/>
                <w:szCs w:val="18"/>
              </w:rPr>
              <w:t>скориговане співвідношення шансів</w:t>
            </w:r>
          </w:p>
        </w:tc>
      </w:tr>
      <w:tr w:rsidR="005C0A87" w:rsidRPr="006263CF" w:rsidTr="00AF465C">
        <w:trPr>
          <w:trHeight w:hRule="exact" w:val="346"/>
        </w:trPr>
        <w:tc>
          <w:tcPr>
            <w:tcW w:w="1584"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b/>
                <w:bCs/>
                <w:color w:val="5D7BBA"/>
                <w:sz w:val="18"/>
                <w:szCs w:val="18"/>
              </w:rPr>
              <w:t>АРТ</w:t>
            </w:r>
          </w:p>
        </w:tc>
        <w:tc>
          <w:tcPr>
            <w:tcW w:w="7630"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color w:val="000000"/>
                <w:sz w:val="18"/>
                <w:szCs w:val="18"/>
              </w:rPr>
              <w:t>антиретровірусна терапія</w:t>
            </w:r>
          </w:p>
        </w:tc>
      </w:tr>
      <w:tr w:rsidR="005C0A87" w:rsidRPr="006263CF" w:rsidTr="00AF465C">
        <w:trPr>
          <w:trHeight w:hRule="exact" w:val="341"/>
        </w:trPr>
        <w:tc>
          <w:tcPr>
            <w:tcW w:w="1584"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b/>
                <w:bCs/>
                <w:color w:val="5D7BBA"/>
                <w:sz w:val="18"/>
                <w:szCs w:val="18"/>
              </w:rPr>
              <w:t>АРВ</w:t>
            </w:r>
          </w:p>
        </w:tc>
        <w:tc>
          <w:tcPr>
            <w:tcW w:w="7630"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color w:val="000000"/>
                <w:sz w:val="18"/>
                <w:szCs w:val="18"/>
              </w:rPr>
              <w:t>антиретровірусний</w:t>
            </w:r>
          </w:p>
        </w:tc>
      </w:tr>
      <w:tr w:rsidR="005C0A87" w:rsidRPr="006263CF" w:rsidTr="00AF465C">
        <w:trPr>
          <w:trHeight w:hRule="exact" w:val="350"/>
        </w:trPr>
        <w:tc>
          <w:tcPr>
            <w:tcW w:w="1584"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b/>
                <w:bCs/>
                <w:color w:val="5D7BBA"/>
                <w:sz w:val="18"/>
                <w:szCs w:val="18"/>
              </w:rPr>
              <w:t>АСТ</w:t>
            </w:r>
          </w:p>
        </w:tc>
        <w:tc>
          <w:tcPr>
            <w:tcW w:w="7630"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color w:val="000000"/>
                <w:sz w:val="18"/>
                <w:szCs w:val="18"/>
              </w:rPr>
              <w:t>аспартатамінотрансфераза</w:t>
            </w:r>
          </w:p>
        </w:tc>
      </w:tr>
      <w:tr w:rsidR="005C0A87" w:rsidRPr="006263CF" w:rsidTr="00AF465C">
        <w:trPr>
          <w:trHeight w:hRule="exact" w:val="350"/>
        </w:trPr>
        <w:tc>
          <w:tcPr>
            <w:tcW w:w="1584"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b/>
                <w:bCs/>
                <w:color w:val="5D7BBA"/>
                <w:sz w:val="18"/>
                <w:szCs w:val="18"/>
              </w:rPr>
              <w:t>БПЛ</w:t>
            </w:r>
          </w:p>
        </w:tc>
        <w:tc>
          <w:tcPr>
            <w:tcW w:w="7630"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color w:val="000000"/>
                <w:sz w:val="18"/>
                <w:szCs w:val="18"/>
              </w:rPr>
              <w:t>схема лікування бедаквіліном, претоманідом та лінезолідом протягом 6–9 місяців</w:t>
            </w:r>
          </w:p>
        </w:tc>
      </w:tr>
      <w:tr w:rsidR="005C0A87" w:rsidRPr="006263CF" w:rsidTr="00AF465C">
        <w:trPr>
          <w:trHeight w:hRule="exact" w:val="341"/>
        </w:trPr>
        <w:tc>
          <w:tcPr>
            <w:tcW w:w="1584"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b/>
                <w:bCs/>
                <w:color w:val="5D7BBA"/>
                <w:sz w:val="18"/>
                <w:szCs w:val="18"/>
              </w:rPr>
              <w:t>ЦНС</w:t>
            </w:r>
          </w:p>
        </w:tc>
        <w:tc>
          <w:tcPr>
            <w:tcW w:w="7630"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color w:val="000000"/>
                <w:sz w:val="18"/>
                <w:szCs w:val="18"/>
              </w:rPr>
              <w:t>центральна нервова система</w:t>
            </w:r>
          </w:p>
        </w:tc>
      </w:tr>
      <w:tr w:rsidR="005C0A87" w:rsidRPr="006263CF" w:rsidTr="00AF465C">
        <w:trPr>
          <w:trHeight w:hRule="exact" w:val="355"/>
        </w:trPr>
        <w:tc>
          <w:tcPr>
            <w:tcW w:w="1584"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b/>
                <w:bCs/>
                <w:color w:val="5D7BBA"/>
                <w:sz w:val="18"/>
                <w:szCs w:val="18"/>
              </w:rPr>
              <w:t>СМР</w:t>
            </w:r>
          </w:p>
        </w:tc>
        <w:tc>
          <w:tcPr>
            <w:tcW w:w="7630"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color w:val="000000"/>
                <w:sz w:val="18"/>
                <w:szCs w:val="18"/>
              </w:rPr>
              <w:t>спинномозкова рідина</w:t>
            </w:r>
          </w:p>
        </w:tc>
      </w:tr>
      <w:tr w:rsidR="005C0A87" w:rsidRPr="006263CF" w:rsidTr="00AF465C">
        <w:trPr>
          <w:trHeight w:hRule="exact" w:val="341"/>
        </w:trPr>
        <w:tc>
          <w:tcPr>
            <w:tcW w:w="1584"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b/>
                <w:bCs/>
                <w:color w:val="5D7BBA"/>
                <w:sz w:val="18"/>
                <w:szCs w:val="18"/>
              </w:rPr>
              <w:t>ЛПК</w:t>
            </w:r>
          </w:p>
        </w:tc>
        <w:tc>
          <w:tcPr>
            <w:tcW w:w="7630"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color w:val="000000"/>
                <w:sz w:val="18"/>
                <w:szCs w:val="18"/>
              </w:rPr>
              <w:t>терапія під прямим контролем</w:t>
            </w:r>
          </w:p>
        </w:tc>
      </w:tr>
      <w:tr w:rsidR="005C0A87" w:rsidRPr="006263CF" w:rsidTr="00AF465C">
        <w:trPr>
          <w:trHeight w:hRule="exact" w:val="350"/>
        </w:trPr>
        <w:tc>
          <w:tcPr>
            <w:tcW w:w="1584"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b/>
                <w:bCs/>
                <w:color w:val="5D7BBA"/>
                <w:sz w:val="18"/>
                <w:szCs w:val="18"/>
              </w:rPr>
              <w:t>НСЛЗ</w:t>
            </w:r>
          </w:p>
        </w:tc>
        <w:tc>
          <w:tcPr>
            <w:tcW w:w="7630"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color w:val="000000"/>
                <w:sz w:val="18"/>
                <w:szCs w:val="18"/>
              </w:rPr>
              <w:t>нагляд за стійкістю до лікарських засобів</w:t>
            </w:r>
          </w:p>
        </w:tc>
      </w:tr>
      <w:tr w:rsidR="005C0A87" w:rsidRPr="006263CF" w:rsidTr="00AF465C">
        <w:trPr>
          <w:trHeight w:hRule="exact" w:val="346"/>
        </w:trPr>
        <w:tc>
          <w:tcPr>
            <w:tcW w:w="1584"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b/>
                <w:bCs/>
                <w:color w:val="5D7BBA"/>
                <w:sz w:val="18"/>
                <w:szCs w:val="18"/>
              </w:rPr>
              <w:t>ЛС-ТБ</w:t>
            </w:r>
          </w:p>
        </w:tc>
        <w:tc>
          <w:tcPr>
            <w:tcW w:w="7630"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color w:val="000000"/>
                <w:sz w:val="18"/>
                <w:szCs w:val="18"/>
              </w:rPr>
              <w:t>лікарсько-стійкий туберкульоз</w:t>
            </w:r>
          </w:p>
        </w:tc>
      </w:tr>
      <w:tr w:rsidR="005C0A87" w:rsidRPr="006263CF" w:rsidTr="00AF465C">
        <w:trPr>
          <w:trHeight w:hRule="exact" w:val="346"/>
        </w:trPr>
        <w:tc>
          <w:tcPr>
            <w:tcW w:w="1584"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b/>
                <w:bCs/>
                <w:color w:val="5D7BBA"/>
                <w:sz w:val="18"/>
                <w:szCs w:val="18"/>
              </w:rPr>
              <w:t>ТМЧ</w:t>
            </w:r>
          </w:p>
        </w:tc>
        <w:tc>
          <w:tcPr>
            <w:tcW w:w="7630"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color w:val="000000"/>
                <w:sz w:val="18"/>
                <w:szCs w:val="18"/>
              </w:rPr>
              <w:t>тест медикаментозної чутливості</w:t>
            </w:r>
          </w:p>
        </w:tc>
      </w:tr>
      <w:tr w:rsidR="005C0A87" w:rsidRPr="006263CF" w:rsidTr="00AF465C">
        <w:trPr>
          <w:trHeight w:hRule="exact" w:val="346"/>
        </w:trPr>
        <w:tc>
          <w:tcPr>
            <w:tcW w:w="1584"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b/>
                <w:bCs/>
                <w:color w:val="5D7BBA"/>
                <w:sz w:val="18"/>
                <w:szCs w:val="18"/>
              </w:rPr>
              <w:t>ЕКГ</w:t>
            </w:r>
          </w:p>
        </w:tc>
        <w:tc>
          <w:tcPr>
            <w:tcW w:w="7630"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color w:val="000000"/>
                <w:sz w:val="18"/>
                <w:szCs w:val="18"/>
              </w:rPr>
              <w:t>електрокардіографія</w:t>
            </w:r>
          </w:p>
        </w:tc>
      </w:tr>
      <w:tr w:rsidR="005C0A87" w:rsidRPr="006263CF" w:rsidTr="00AF465C">
        <w:trPr>
          <w:trHeight w:hRule="exact" w:val="346"/>
        </w:trPr>
        <w:tc>
          <w:tcPr>
            <w:tcW w:w="1584"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b/>
                <w:bCs/>
                <w:color w:val="5D7BBA"/>
                <w:sz w:val="18"/>
                <w:szCs w:val="18"/>
              </w:rPr>
              <w:t>КПФД</w:t>
            </w:r>
          </w:p>
        </w:tc>
        <w:tc>
          <w:tcPr>
            <w:tcW w:w="7630"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color w:val="000000"/>
                <w:sz w:val="18"/>
                <w:szCs w:val="18"/>
              </w:rPr>
              <w:t>комбіновані препарати з фіксованим дозуванням</w:t>
            </w:r>
          </w:p>
        </w:tc>
      </w:tr>
      <w:tr w:rsidR="005C0A87" w:rsidRPr="006263CF" w:rsidTr="00AF465C">
        <w:trPr>
          <w:trHeight w:hRule="exact" w:val="346"/>
        </w:trPr>
        <w:tc>
          <w:tcPr>
            <w:tcW w:w="1584"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b/>
                <w:bCs/>
                <w:color w:val="5D7BBA"/>
                <w:sz w:val="18"/>
                <w:szCs w:val="18"/>
              </w:rPr>
              <w:t>GDF</w:t>
            </w:r>
          </w:p>
        </w:tc>
        <w:tc>
          <w:tcPr>
            <w:tcW w:w="7630"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color w:val="000000"/>
                <w:sz w:val="18"/>
                <w:szCs w:val="18"/>
              </w:rPr>
              <w:t xml:space="preserve">Глобальний механізм із забезпечення лікарськими засобами </w:t>
            </w:r>
          </w:p>
        </w:tc>
      </w:tr>
      <w:tr w:rsidR="005C0A87" w:rsidRPr="006263CF" w:rsidTr="00AF465C">
        <w:trPr>
          <w:trHeight w:hRule="exact" w:val="350"/>
        </w:trPr>
        <w:tc>
          <w:tcPr>
            <w:tcW w:w="1584"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b/>
                <w:bCs/>
                <w:color w:val="5D7BBA"/>
                <w:sz w:val="18"/>
                <w:szCs w:val="18"/>
              </w:rPr>
              <w:t>GDG</w:t>
            </w:r>
          </w:p>
        </w:tc>
        <w:tc>
          <w:tcPr>
            <w:tcW w:w="7630"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color w:val="000000"/>
                <w:sz w:val="18"/>
                <w:szCs w:val="18"/>
              </w:rPr>
              <w:t>група з розробки керівництва</w:t>
            </w:r>
          </w:p>
        </w:tc>
      </w:tr>
      <w:tr w:rsidR="005C0A87" w:rsidRPr="006263CF" w:rsidTr="00AF465C">
        <w:trPr>
          <w:trHeight w:hRule="exact" w:val="346"/>
        </w:trPr>
        <w:tc>
          <w:tcPr>
            <w:tcW w:w="1584"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b/>
                <w:bCs/>
                <w:color w:val="5D7BBA"/>
                <w:sz w:val="18"/>
                <w:szCs w:val="18"/>
              </w:rPr>
              <w:t>GRADE</w:t>
            </w:r>
          </w:p>
        </w:tc>
        <w:tc>
          <w:tcPr>
            <w:tcW w:w="7630"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color w:val="000000"/>
                <w:sz w:val="18"/>
                <w:szCs w:val="18"/>
              </w:rPr>
              <w:t>Градації з оцінки, розробки та ранжування рекомендацій</w:t>
            </w:r>
          </w:p>
        </w:tc>
      </w:tr>
      <w:tr w:rsidR="005C0A87" w:rsidRPr="006263CF" w:rsidTr="00AF465C">
        <w:trPr>
          <w:trHeight w:hRule="exact" w:val="341"/>
        </w:trPr>
        <w:tc>
          <w:tcPr>
            <w:tcW w:w="1584"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b/>
                <w:bCs/>
                <w:color w:val="5D7BBA"/>
                <w:sz w:val="18"/>
                <w:szCs w:val="18"/>
              </w:rPr>
              <w:t>ВІЛ</w:t>
            </w:r>
          </w:p>
        </w:tc>
        <w:tc>
          <w:tcPr>
            <w:tcW w:w="7630"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color w:val="000000"/>
                <w:sz w:val="18"/>
                <w:szCs w:val="18"/>
              </w:rPr>
              <w:t>вірус імунодефіциту людини</w:t>
            </w:r>
          </w:p>
        </w:tc>
      </w:tr>
      <w:tr w:rsidR="005C0A87" w:rsidRPr="006263CF" w:rsidTr="00AF465C">
        <w:trPr>
          <w:trHeight w:hRule="exact" w:val="341"/>
        </w:trPr>
        <w:tc>
          <w:tcPr>
            <w:tcW w:w="1584"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b/>
                <w:bCs/>
                <w:color w:val="5D7BBA"/>
                <w:sz w:val="18"/>
                <w:szCs w:val="18"/>
              </w:rPr>
              <w:t>Нрез-ТБ</w:t>
            </w:r>
          </w:p>
        </w:tc>
        <w:tc>
          <w:tcPr>
            <w:tcW w:w="7630"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color w:val="000000"/>
                <w:sz w:val="18"/>
                <w:szCs w:val="18"/>
              </w:rPr>
              <w:t>чутливий до рифампіцину, резистентний до ізоніазиду туберкульоз</w:t>
            </w:r>
          </w:p>
        </w:tc>
      </w:tr>
      <w:tr w:rsidR="005C0A87" w:rsidRPr="006263CF" w:rsidTr="00AF465C">
        <w:trPr>
          <w:trHeight w:hRule="exact" w:val="355"/>
        </w:trPr>
        <w:tc>
          <w:tcPr>
            <w:tcW w:w="1584"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b/>
                <w:bCs/>
                <w:color w:val="5D7BBA"/>
                <w:sz w:val="18"/>
                <w:szCs w:val="18"/>
              </w:rPr>
              <w:t>ІДП</w:t>
            </w:r>
          </w:p>
        </w:tc>
        <w:tc>
          <w:tcPr>
            <w:tcW w:w="7630"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color w:val="000000"/>
                <w:sz w:val="18"/>
                <w:szCs w:val="18"/>
              </w:rPr>
              <w:t>індивідуальні дані пацієнта</w:t>
            </w:r>
          </w:p>
        </w:tc>
      </w:tr>
      <w:tr w:rsidR="005C0A87" w:rsidRPr="006263CF" w:rsidTr="00AF465C">
        <w:trPr>
          <w:trHeight w:hRule="exact" w:val="346"/>
        </w:trPr>
        <w:tc>
          <w:tcPr>
            <w:tcW w:w="1584"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b/>
                <w:bCs/>
                <w:color w:val="5D7BBA"/>
                <w:sz w:val="18"/>
                <w:szCs w:val="18"/>
              </w:rPr>
              <w:t>LPA</w:t>
            </w:r>
          </w:p>
        </w:tc>
        <w:tc>
          <w:tcPr>
            <w:tcW w:w="7630"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color w:val="000000"/>
                <w:sz w:val="18"/>
                <w:szCs w:val="18"/>
              </w:rPr>
              <w:t>лінійний зонд-аналіз</w:t>
            </w:r>
          </w:p>
        </w:tc>
      </w:tr>
      <w:tr w:rsidR="005C0A87" w:rsidRPr="006263CF" w:rsidTr="00AF465C">
        <w:trPr>
          <w:trHeight w:hRule="exact" w:val="341"/>
        </w:trPr>
        <w:tc>
          <w:tcPr>
            <w:tcW w:w="1584"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b/>
                <w:bCs/>
                <w:color w:val="5D7BBA"/>
                <w:sz w:val="18"/>
                <w:szCs w:val="18"/>
              </w:rPr>
              <w:t>ЛТБІ</w:t>
            </w:r>
          </w:p>
        </w:tc>
        <w:tc>
          <w:tcPr>
            <w:tcW w:w="7630"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color w:val="000000"/>
                <w:sz w:val="18"/>
                <w:szCs w:val="18"/>
              </w:rPr>
              <w:t>латентна туберкульозна інфекція</w:t>
            </w:r>
          </w:p>
        </w:tc>
      </w:tr>
      <w:tr w:rsidR="005C0A87" w:rsidRPr="006263CF" w:rsidTr="00AF465C">
        <w:trPr>
          <w:trHeight w:hRule="exact" w:val="355"/>
        </w:trPr>
        <w:tc>
          <w:tcPr>
            <w:tcW w:w="1584"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b/>
                <w:bCs/>
                <w:color w:val="5D7BBA"/>
                <w:sz w:val="18"/>
                <w:szCs w:val="18"/>
              </w:rPr>
              <w:t>МР-ТБ</w:t>
            </w:r>
          </w:p>
        </w:tc>
        <w:tc>
          <w:tcPr>
            <w:tcW w:w="7630"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color w:val="000000"/>
                <w:sz w:val="18"/>
                <w:szCs w:val="18"/>
              </w:rPr>
              <w:t>мультирезистентний туберкульоз</w:t>
            </w:r>
          </w:p>
        </w:tc>
      </w:tr>
      <w:tr w:rsidR="005C0A87" w:rsidRPr="006263CF" w:rsidTr="00AF465C">
        <w:trPr>
          <w:trHeight w:hRule="exact" w:val="341"/>
        </w:trPr>
        <w:tc>
          <w:tcPr>
            <w:tcW w:w="1584"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b/>
                <w:bCs/>
                <w:color w:val="5D7BBA"/>
                <w:sz w:val="18"/>
                <w:szCs w:val="18"/>
              </w:rPr>
              <w:t>МР/Риф-ТБ</w:t>
            </w:r>
          </w:p>
        </w:tc>
        <w:tc>
          <w:tcPr>
            <w:tcW w:w="7630"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color w:val="000000"/>
                <w:sz w:val="18"/>
                <w:szCs w:val="18"/>
              </w:rPr>
              <w:t>мультирезистентний/рифампіцин-резистентний туберкульоз</w:t>
            </w:r>
          </w:p>
        </w:tc>
      </w:tr>
      <w:tr w:rsidR="005C0A87" w:rsidRPr="006263CF" w:rsidTr="00AF465C">
        <w:trPr>
          <w:trHeight w:hRule="exact" w:val="346"/>
        </w:trPr>
        <w:tc>
          <w:tcPr>
            <w:tcW w:w="1584"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b/>
                <w:bCs/>
                <w:color w:val="5D7BBA"/>
                <w:sz w:val="18"/>
                <w:szCs w:val="18"/>
              </w:rPr>
              <w:t>MGIT</w:t>
            </w:r>
          </w:p>
        </w:tc>
        <w:tc>
          <w:tcPr>
            <w:tcW w:w="7630"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color w:val="000000"/>
                <w:sz w:val="18"/>
                <w:szCs w:val="18"/>
              </w:rPr>
              <w:t>пробірка з індикатором росту мікобактерій</w:t>
            </w:r>
          </w:p>
        </w:tc>
      </w:tr>
      <w:tr w:rsidR="005C0A87" w:rsidRPr="006263CF" w:rsidTr="00AF465C">
        <w:trPr>
          <w:trHeight w:hRule="exact" w:val="346"/>
        </w:trPr>
        <w:tc>
          <w:tcPr>
            <w:tcW w:w="1584"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b/>
                <w:bCs/>
                <w:color w:val="5D7BBA"/>
                <w:sz w:val="18"/>
                <w:szCs w:val="18"/>
              </w:rPr>
              <w:t>МІК</w:t>
            </w:r>
          </w:p>
        </w:tc>
        <w:tc>
          <w:tcPr>
            <w:tcW w:w="7630"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color w:val="000000"/>
                <w:sz w:val="18"/>
                <w:szCs w:val="18"/>
              </w:rPr>
              <w:t>мінімальна інгібуюча концентрація</w:t>
            </w:r>
          </w:p>
        </w:tc>
      </w:tr>
      <w:tr w:rsidR="005C0A87" w:rsidRPr="006263CF" w:rsidTr="00AF465C">
        <w:trPr>
          <w:trHeight w:hRule="exact" w:val="350"/>
        </w:trPr>
        <w:tc>
          <w:tcPr>
            <w:tcW w:w="1584"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b/>
                <w:bCs/>
                <w:color w:val="5D7BBA"/>
                <w:sz w:val="18"/>
                <w:szCs w:val="18"/>
              </w:rPr>
              <w:t>НПБТ</w:t>
            </w:r>
          </w:p>
        </w:tc>
        <w:tc>
          <w:tcPr>
            <w:tcW w:w="7630"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color w:val="000000"/>
                <w:sz w:val="18"/>
                <w:szCs w:val="18"/>
              </w:rPr>
              <w:t>Національна програма боротьби з туберкульозом</w:t>
            </w:r>
          </w:p>
        </w:tc>
      </w:tr>
      <w:tr w:rsidR="005C0A87" w:rsidRPr="006263CF" w:rsidTr="00AF465C">
        <w:trPr>
          <w:trHeight w:hRule="exact" w:val="350"/>
        </w:trPr>
        <w:tc>
          <w:tcPr>
            <w:tcW w:w="1584"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b/>
                <w:bCs/>
                <w:color w:val="5D7BBA"/>
                <w:sz w:val="18"/>
                <w:szCs w:val="18"/>
              </w:rPr>
              <w:t>ПАС кислота</w:t>
            </w:r>
          </w:p>
        </w:tc>
        <w:tc>
          <w:tcPr>
            <w:tcW w:w="7630"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i/>
                <w:iCs/>
                <w:color w:val="000000"/>
                <w:sz w:val="18"/>
                <w:szCs w:val="18"/>
              </w:rPr>
              <w:t>п</w:t>
            </w:r>
            <w:r w:rsidRPr="006263CF">
              <w:rPr>
                <w:rFonts w:asciiTheme="minorHAnsi" w:hAnsiTheme="minorHAnsi" w:cstheme="minorHAnsi"/>
                <w:color w:val="000000"/>
                <w:sz w:val="18"/>
                <w:szCs w:val="18"/>
              </w:rPr>
              <w:t>-аміносаліцилова кислота</w:t>
            </w:r>
          </w:p>
        </w:tc>
      </w:tr>
      <w:tr w:rsidR="005C0A87" w:rsidRPr="006263CF" w:rsidTr="00AF465C">
        <w:trPr>
          <w:trHeight w:hRule="exact" w:val="341"/>
        </w:trPr>
        <w:tc>
          <w:tcPr>
            <w:tcW w:w="1584"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b/>
                <w:bCs/>
                <w:color w:val="5D7BBA"/>
                <w:sz w:val="18"/>
                <w:szCs w:val="18"/>
              </w:rPr>
              <w:t>ІП</w:t>
            </w:r>
          </w:p>
        </w:tc>
        <w:tc>
          <w:tcPr>
            <w:tcW w:w="7630"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color w:val="000000"/>
                <w:sz w:val="18"/>
                <w:szCs w:val="18"/>
              </w:rPr>
              <w:t>інгібітори протеази</w:t>
            </w:r>
          </w:p>
        </w:tc>
      </w:tr>
      <w:tr w:rsidR="005C0A87" w:rsidRPr="006263CF" w:rsidTr="00AF465C">
        <w:trPr>
          <w:trHeight w:hRule="exact" w:val="346"/>
        </w:trPr>
        <w:tc>
          <w:tcPr>
            <w:tcW w:w="1584"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b/>
                <w:bCs/>
                <w:color w:val="5D7BBA"/>
                <w:sz w:val="18"/>
                <w:szCs w:val="18"/>
              </w:rPr>
              <w:t>ФК/ФД</w:t>
            </w:r>
          </w:p>
        </w:tc>
        <w:tc>
          <w:tcPr>
            <w:tcW w:w="7630"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color w:val="000000"/>
                <w:sz w:val="18"/>
                <w:szCs w:val="18"/>
              </w:rPr>
              <w:t>фармакокінетика/фармакодинаміка</w:t>
            </w:r>
          </w:p>
        </w:tc>
      </w:tr>
      <w:tr w:rsidR="005C0A87" w:rsidRPr="006263CF" w:rsidTr="00AF465C">
        <w:trPr>
          <w:trHeight w:hRule="exact" w:val="346"/>
        </w:trPr>
        <w:tc>
          <w:tcPr>
            <w:tcW w:w="1584"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b/>
                <w:bCs/>
                <w:color w:val="5D7BBA"/>
                <w:sz w:val="18"/>
                <w:szCs w:val="18"/>
              </w:rPr>
              <w:t>ЛЖВ</w:t>
            </w:r>
          </w:p>
        </w:tc>
        <w:tc>
          <w:tcPr>
            <w:tcW w:w="7630"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color w:val="000000"/>
                <w:sz w:val="18"/>
                <w:szCs w:val="18"/>
              </w:rPr>
              <w:t>люди, які живуть з ВІЛ</w:t>
            </w:r>
          </w:p>
        </w:tc>
      </w:tr>
      <w:tr w:rsidR="005C0A87" w:rsidRPr="006263CF" w:rsidTr="00AF465C">
        <w:trPr>
          <w:trHeight w:hRule="exact" w:val="355"/>
        </w:trPr>
        <w:tc>
          <w:tcPr>
            <w:tcW w:w="1584"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b/>
                <w:bCs/>
                <w:color w:val="5D7BBA"/>
                <w:sz w:val="18"/>
                <w:szCs w:val="18"/>
              </w:rPr>
              <w:t>РКД</w:t>
            </w:r>
          </w:p>
        </w:tc>
        <w:tc>
          <w:tcPr>
            <w:tcW w:w="7630"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color w:val="000000"/>
                <w:sz w:val="18"/>
                <w:szCs w:val="18"/>
              </w:rPr>
              <w:t>рандомізоване контрольоване дослідження</w:t>
            </w:r>
          </w:p>
        </w:tc>
      </w:tr>
    </w:tbl>
    <w:p w:rsidR="005C0A87" w:rsidRPr="006263CF" w:rsidRDefault="005C0A87" w:rsidP="006263CF">
      <w:pPr>
        <w:rPr>
          <w:rFonts w:asciiTheme="minorHAnsi" w:hAnsiTheme="minorHAnsi" w:cstheme="minorHAnsi"/>
          <w:sz w:val="18"/>
        </w:rPr>
        <w:sectPr w:rsidR="005C0A87" w:rsidRPr="006263CF" w:rsidSect="00445738">
          <w:footerReference w:type="default" r:id="rId17"/>
          <w:pgSz w:w="11904" w:h="16838"/>
          <w:pgMar w:top="2280" w:right="710" w:bottom="142" w:left="1387"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584"/>
        <w:gridCol w:w="7210"/>
      </w:tblGrid>
      <w:tr w:rsidR="005C0A87" w:rsidRPr="006263CF">
        <w:trPr>
          <w:trHeight w:hRule="exact" w:val="302"/>
        </w:trPr>
        <w:tc>
          <w:tcPr>
            <w:tcW w:w="1584"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b/>
                <w:bCs/>
                <w:color w:val="5D7BBA"/>
                <w:sz w:val="18"/>
                <w:szCs w:val="18"/>
              </w:rPr>
              <w:lastRenderedPageBreak/>
              <w:t>Риф-ТБ</w:t>
            </w:r>
          </w:p>
        </w:tc>
        <w:tc>
          <w:tcPr>
            <w:tcW w:w="7210"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color w:val="000000"/>
                <w:sz w:val="18"/>
                <w:szCs w:val="18"/>
              </w:rPr>
              <w:t>рифампіцин-резистентний туберкульоз</w:t>
            </w:r>
          </w:p>
        </w:tc>
      </w:tr>
      <w:tr w:rsidR="005C0A87" w:rsidRPr="006263CF">
        <w:trPr>
          <w:trHeight w:hRule="exact" w:val="341"/>
        </w:trPr>
        <w:tc>
          <w:tcPr>
            <w:tcW w:w="1584"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b/>
                <w:bCs/>
                <w:color w:val="5D7BBA"/>
                <w:sz w:val="18"/>
                <w:szCs w:val="18"/>
              </w:rPr>
              <w:t>СНЯ</w:t>
            </w:r>
          </w:p>
        </w:tc>
        <w:tc>
          <w:tcPr>
            <w:tcW w:w="7210"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color w:val="000000"/>
                <w:sz w:val="18"/>
                <w:szCs w:val="18"/>
              </w:rPr>
              <w:t>Серйозне небажане явище</w:t>
            </w:r>
          </w:p>
        </w:tc>
      </w:tr>
      <w:tr w:rsidR="005C0A87" w:rsidRPr="006263CF">
        <w:trPr>
          <w:trHeight w:hRule="exact" w:val="346"/>
        </w:trPr>
        <w:tc>
          <w:tcPr>
            <w:tcW w:w="1584"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b/>
                <w:bCs/>
                <w:color w:val="5D7BBA"/>
                <w:sz w:val="18"/>
                <w:szCs w:val="18"/>
              </w:rPr>
              <w:t>ТБ</w:t>
            </w:r>
          </w:p>
        </w:tc>
        <w:tc>
          <w:tcPr>
            <w:tcW w:w="7210"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color w:val="000000"/>
                <w:sz w:val="18"/>
                <w:szCs w:val="18"/>
              </w:rPr>
              <w:t>туберкульоз</w:t>
            </w:r>
          </w:p>
        </w:tc>
      </w:tr>
      <w:tr w:rsidR="005C0A87" w:rsidRPr="006263CF">
        <w:trPr>
          <w:trHeight w:hRule="exact" w:val="350"/>
        </w:trPr>
        <w:tc>
          <w:tcPr>
            <w:tcW w:w="1584"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b/>
                <w:bCs/>
                <w:color w:val="5D7BBA"/>
                <w:sz w:val="18"/>
                <w:szCs w:val="18"/>
              </w:rPr>
              <w:t>VOT</w:t>
            </w:r>
          </w:p>
        </w:tc>
        <w:tc>
          <w:tcPr>
            <w:tcW w:w="7210"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color w:val="000000"/>
                <w:sz w:val="18"/>
                <w:szCs w:val="18"/>
              </w:rPr>
              <w:t>лікування під безпосереднім наглядом за допомогою відео зв’язку</w:t>
            </w:r>
          </w:p>
        </w:tc>
      </w:tr>
      <w:tr w:rsidR="005C0A87" w:rsidRPr="006263CF">
        <w:trPr>
          <w:trHeight w:hRule="exact" w:val="350"/>
        </w:trPr>
        <w:tc>
          <w:tcPr>
            <w:tcW w:w="1584"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b/>
                <w:bCs/>
                <w:color w:val="5D7BBA"/>
                <w:sz w:val="18"/>
                <w:szCs w:val="18"/>
              </w:rPr>
              <w:t>WHO</w:t>
            </w:r>
          </w:p>
        </w:tc>
        <w:tc>
          <w:tcPr>
            <w:tcW w:w="7210"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color w:val="000000"/>
                <w:sz w:val="18"/>
                <w:szCs w:val="18"/>
              </w:rPr>
              <w:t>Всесвітня організація охорони здоров’я</w:t>
            </w:r>
          </w:p>
        </w:tc>
      </w:tr>
      <w:tr w:rsidR="005C0A87" w:rsidRPr="006263CF">
        <w:trPr>
          <w:trHeight w:hRule="exact" w:val="307"/>
        </w:trPr>
        <w:tc>
          <w:tcPr>
            <w:tcW w:w="1584"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b/>
                <w:bCs/>
                <w:color w:val="5D7BBA"/>
                <w:sz w:val="18"/>
                <w:szCs w:val="18"/>
              </w:rPr>
              <w:t>ШЛС-ТБ</w:t>
            </w:r>
          </w:p>
        </w:tc>
        <w:tc>
          <w:tcPr>
            <w:tcW w:w="7210"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szCs w:val="18"/>
              </w:rPr>
            </w:pPr>
            <w:r w:rsidRPr="006263CF">
              <w:rPr>
                <w:rFonts w:asciiTheme="minorHAnsi" w:hAnsiTheme="minorHAnsi" w:cstheme="minorHAnsi"/>
                <w:color w:val="000000"/>
                <w:sz w:val="18"/>
                <w:szCs w:val="18"/>
              </w:rPr>
              <w:t>туберкульоз із широкою лікарською стійкістю</w:t>
            </w:r>
          </w:p>
        </w:tc>
      </w:tr>
    </w:tbl>
    <w:p w:rsidR="005C0A87" w:rsidRPr="006263CF" w:rsidRDefault="005C0A87" w:rsidP="006263CF">
      <w:pPr>
        <w:rPr>
          <w:rFonts w:asciiTheme="minorHAnsi" w:hAnsiTheme="minorHAnsi" w:cstheme="minorHAnsi"/>
          <w:sz w:val="18"/>
        </w:rPr>
        <w:sectPr w:rsidR="005C0A87" w:rsidRPr="006263CF" w:rsidSect="005144DA">
          <w:footerReference w:type="even" r:id="rId18"/>
          <w:pgSz w:w="11904" w:h="16838"/>
          <w:pgMar w:top="1382" w:right="1723" w:bottom="5" w:left="1387" w:header="708" w:footer="708" w:gutter="0"/>
          <w:cols w:space="60"/>
          <w:noEndnote/>
        </w:sectPr>
      </w:pPr>
    </w:p>
    <w:p w:rsidR="005C0A87" w:rsidRPr="006263CF" w:rsidRDefault="00C73DE6" w:rsidP="006263CF">
      <w:pPr>
        <w:rPr>
          <w:rFonts w:asciiTheme="minorHAnsi" w:hAnsiTheme="minorHAnsi" w:cstheme="minorHAnsi"/>
          <w:b/>
          <w:sz w:val="18"/>
        </w:rPr>
      </w:pPr>
      <w:bookmarkStart w:id="3" w:name="bookmark2"/>
      <w:r>
        <w:rPr>
          <w:rFonts w:asciiTheme="minorHAnsi" w:hAnsiTheme="minorHAnsi" w:cstheme="minorHAnsi"/>
          <w:noProof/>
          <w:color w:val="1F61AA"/>
          <w:sz w:val="56"/>
          <w:szCs w:val="64"/>
        </w:rPr>
        <w:lastRenderedPageBreak/>
        <w:drawing>
          <wp:anchor distT="0" distB="0" distL="6400800" distR="6400800" simplePos="0" relativeHeight="251687936" behindDoc="1" locked="0" layoutInCell="0" allowOverlap="1" wp14:anchorId="74131892" wp14:editId="1BA29187">
            <wp:simplePos x="0" y="0"/>
            <wp:positionH relativeFrom="margin">
              <wp:posOffset>-1094830</wp:posOffset>
            </wp:positionH>
            <wp:positionV relativeFrom="paragraph">
              <wp:posOffset>-1346894</wp:posOffset>
            </wp:positionV>
            <wp:extent cx="8042910" cy="1629410"/>
            <wp:effectExtent l="0" t="0" r="0" b="8890"/>
            <wp:wrapNone/>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42910" cy="162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5C0A87" w:rsidRPr="006263CF">
        <w:rPr>
          <w:rFonts w:asciiTheme="minorHAnsi" w:hAnsiTheme="minorHAnsi" w:cstheme="minorHAnsi"/>
          <w:b/>
          <w:color w:val="1F61AA"/>
          <w:sz w:val="56"/>
          <w:szCs w:val="64"/>
        </w:rPr>
        <w:t>1</w:t>
      </w:r>
      <w:bookmarkEnd w:id="3"/>
      <w:r w:rsidR="005C0A87" w:rsidRPr="006263CF">
        <w:rPr>
          <w:rFonts w:asciiTheme="minorHAnsi" w:hAnsiTheme="minorHAnsi" w:cstheme="minorHAnsi"/>
          <w:b/>
          <w:color w:val="1F61AA"/>
          <w:sz w:val="56"/>
          <w:szCs w:val="64"/>
        </w:rPr>
        <w:t>. Вступ</w:t>
      </w:r>
    </w:p>
    <w:p w:rsidR="005C0A87" w:rsidRPr="006263CF" w:rsidRDefault="005C0A87" w:rsidP="006263CF">
      <w:pPr>
        <w:spacing w:before="614"/>
        <w:jc w:val="both"/>
        <w:rPr>
          <w:rFonts w:asciiTheme="minorHAnsi" w:hAnsiTheme="minorHAnsi" w:cstheme="minorHAnsi"/>
          <w:sz w:val="18"/>
        </w:rPr>
      </w:pPr>
      <w:r w:rsidRPr="006263CF">
        <w:rPr>
          <w:rFonts w:asciiTheme="minorHAnsi" w:hAnsiTheme="minorHAnsi" w:cstheme="minorHAnsi"/>
          <w:color w:val="000000"/>
          <w:szCs w:val="22"/>
        </w:rPr>
        <w:t xml:space="preserve">Всесвітня організація охорони здоров'я (ВООЗ) підготувала це </w:t>
      </w:r>
      <w:r w:rsidRPr="006263CF">
        <w:rPr>
          <w:rFonts w:asciiTheme="minorHAnsi" w:hAnsiTheme="minorHAnsi" w:cstheme="minorHAnsi"/>
          <w:i/>
          <w:iCs/>
          <w:color w:val="000000"/>
          <w:szCs w:val="22"/>
        </w:rPr>
        <w:t xml:space="preserve">Операційне керівництво ВООЗ щодо туберкульозу </w:t>
      </w:r>
      <w:r w:rsidRPr="006263CF">
        <w:rPr>
          <w:rFonts w:asciiTheme="minorHAnsi" w:hAnsiTheme="minorHAnsi" w:cstheme="minorHAnsi"/>
          <w:color w:val="000000"/>
          <w:szCs w:val="22"/>
        </w:rPr>
        <w:t xml:space="preserve">для надання практичних порад відносно доповнення останніх </w:t>
      </w:r>
      <w:r w:rsidRPr="006263CF">
        <w:rPr>
          <w:rFonts w:asciiTheme="minorHAnsi" w:hAnsiTheme="minorHAnsi" w:cstheme="minorHAnsi"/>
          <w:i/>
          <w:iCs/>
          <w:color w:val="000000"/>
          <w:szCs w:val="22"/>
        </w:rPr>
        <w:t xml:space="preserve">Консолідованих настанов ВООЗ із лікування лікарсько-стійкого туберкульозу </w:t>
      </w:r>
      <w:r w:rsidRPr="006263CF">
        <w:rPr>
          <w:rFonts w:asciiTheme="minorHAnsi" w:hAnsiTheme="minorHAnsi" w:cstheme="minorHAnsi"/>
          <w:color w:val="000000"/>
          <w:szCs w:val="22"/>
        </w:rPr>
        <w:t xml:space="preserve">(надалі – «Консолідовані настанови ВООЗ»). У цьому документі надається інформація щодо вибору та розробки схем лікування лікарсько-стійкого туберкульозу (ЛС-ТБ), включаючи мультирезистентний або рифампіцин-резистентний туберкульоз (МР/Риф-ТБ), а також підтверджений чутливий до рифампіцину, резистентний до ізоніазиду туберкульоз (Нрез-ТБ) </w:t>
      </w:r>
      <w:r w:rsidRPr="006263CF">
        <w:rPr>
          <w:rFonts w:asciiTheme="minorHAnsi" w:hAnsiTheme="minorHAnsi" w:cstheme="minorHAnsi"/>
          <w:i/>
          <w:iCs/>
          <w:color w:val="000000"/>
          <w:szCs w:val="22"/>
        </w:rPr>
        <w:t>(1).</w:t>
      </w:r>
    </w:p>
    <w:p w:rsidR="005C0A87" w:rsidRPr="006263CF" w:rsidRDefault="005C0A87" w:rsidP="006263CF">
      <w:pPr>
        <w:spacing w:before="91"/>
        <w:jc w:val="both"/>
        <w:rPr>
          <w:rFonts w:asciiTheme="minorHAnsi" w:hAnsiTheme="minorHAnsi" w:cstheme="minorHAnsi"/>
          <w:sz w:val="18"/>
        </w:rPr>
      </w:pPr>
      <w:r w:rsidRPr="006263CF">
        <w:rPr>
          <w:rFonts w:asciiTheme="minorHAnsi" w:hAnsiTheme="minorHAnsi" w:cstheme="minorHAnsi"/>
          <w:color w:val="000000"/>
          <w:szCs w:val="22"/>
        </w:rPr>
        <w:t xml:space="preserve">Стратегії, описані в цьому модулі, в основному ґрунтуються на останніх рекомендаціях ВООЗ </w:t>
      </w:r>
      <w:r w:rsidRPr="006263CF">
        <w:rPr>
          <w:rFonts w:asciiTheme="minorHAnsi" w:hAnsiTheme="minorHAnsi" w:cstheme="minorHAnsi"/>
          <w:i/>
          <w:iCs/>
          <w:color w:val="000000"/>
          <w:szCs w:val="22"/>
        </w:rPr>
        <w:t xml:space="preserve">(1-3), </w:t>
      </w:r>
      <w:r w:rsidRPr="006263CF">
        <w:rPr>
          <w:rFonts w:asciiTheme="minorHAnsi" w:hAnsiTheme="minorHAnsi" w:cstheme="minorHAnsi"/>
          <w:color w:val="000000"/>
          <w:szCs w:val="22"/>
        </w:rPr>
        <w:t xml:space="preserve">які були сформовані групами з розробки керівництва (ГРК), використовуючи підхід Градації з оцінки, розробки та ранжування рекомендацій (GRADE) </w:t>
      </w:r>
      <w:r w:rsidRPr="006263CF">
        <w:rPr>
          <w:rFonts w:asciiTheme="minorHAnsi" w:hAnsiTheme="minorHAnsi" w:cstheme="minorHAnsi"/>
          <w:i/>
          <w:iCs/>
          <w:color w:val="000000"/>
          <w:szCs w:val="22"/>
        </w:rPr>
        <w:t xml:space="preserve">(4). </w:t>
      </w:r>
      <w:r w:rsidRPr="006263CF">
        <w:rPr>
          <w:rFonts w:asciiTheme="minorHAnsi" w:hAnsiTheme="minorHAnsi" w:cstheme="minorHAnsi"/>
          <w:color w:val="000000"/>
          <w:szCs w:val="22"/>
        </w:rPr>
        <w:t>Однак, у багатьох випадках рекомендаціям бракувало рівня клінічної та програмної деталізації, необхідної для його впровадження. Цей модуль доповнює керівні настанови практичними порадами, що ґрунтуються на найкращих практиках та знаннях із таких галузей, як фармакокінетика, фармакодинаміка, мікробіологія, фармакологічний нагляд, а також клінічне та програмне управління.</w:t>
      </w:r>
    </w:p>
    <w:p w:rsidR="005C0A87" w:rsidRPr="006263CF" w:rsidRDefault="005C0A87" w:rsidP="006263CF">
      <w:pPr>
        <w:spacing w:before="91"/>
        <w:jc w:val="both"/>
        <w:rPr>
          <w:rFonts w:asciiTheme="minorHAnsi" w:hAnsiTheme="minorHAnsi" w:cstheme="minorHAnsi"/>
          <w:sz w:val="18"/>
        </w:rPr>
        <w:sectPr w:rsidR="005C0A87" w:rsidRPr="006263CF" w:rsidSect="005144DA">
          <w:footerReference w:type="default" r:id="rId19"/>
          <w:pgSz w:w="11904" w:h="16838"/>
          <w:pgMar w:top="2112" w:right="1416" w:bottom="5670" w:left="1416" w:header="708" w:footer="708" w:gutter="0"/>
          <w:cols w:space="60"/>
          <w:noEndnote/>
        </w:sectPr>
      </w:pPr>
    </w:p>
    <w:p w:rsidR="005C0A87" w:rsidRPr="006263CF" w:rsidRDefault="00C73DE6" w:rsidP="006263CF">
      <w:pPr>
        <w:rPr>
          <w:rFonts w:asciiTheme="minorHAnsi" w:hAnsiTheme="minorHAnsi" w:cstheme="minorHAnsi"/>
          <w:b/>
          <w:sz w:val="18"/>
        </w:rPr>
      </w:pPr>
      <w:bookmarkStart w:id="4" w:name="bookmark3"/>
      <w:r>
        <w:rPr>
          <w:rFonts w:asciiTheme="minorHAnsi" w:hAnsiTheme="minorHAnsi" w:cstheme="minorHAnsi"/>
          <w:b/>
          <w:noProof/>
          <w:color w:val="1F61AA"/>
          <w:sz w:val="56"/>
          <w:szCs w:val="64"/>
        </w:rPr>
        <w:lastRenderedPageBreak/>
        <w:drawing>
          <wp:anchor distT="0" distB="0" distL="6400800" distR="6400800" simplePos="0" relativeHeight="251684864" behindDoc="1" locked="0" layoutInCell="0" allowOverlap="1" wp14:anchorId="29C56058" wp14:editId="140DE65D">
            <wp:simplePos x="0" y="0"/>
            <wp:positionH relativeFrom="margin">
              <wp:posOffset>-924560</wp:posOffset>
            </wp:positionH>
            <wp:positionV relativeFrom="paragraph">
              <wp:posOffset>-1436279</wp:posOffset>
            </wp:positionV>
            <wp:extent cx="7729220" cy="1708785"/>
            <wp:effectExtent l="0" t="0" r="5080" b="5715"/>
            <wp:wrapNone/>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29220" cy="1708785"/>
                    </a:xfrm>
                    <a:prstGeom prst="rect">
                      <a:avLst/>
                    </a:prstGeom>
                    <a:noFill/>
                    <a:ln>
                      <a:noFill/>
                    </a:ln>
                  </pic:spPr>
                </pic:pic>
              </a:graphicData>
            </a:graphic>
            <wp14:sizeRelH relativeFrom="page">
              <wp14:pctWidth>0</wp14:pctWidth>
            </wp14:sizeRelH>
            <wp14:sizeRelV relativeFrom="page">
              <wp14:pctHeight>0</wp14:pctHeight>
            </wp14:sizeRelV>
          </wp:anchor>
        </w:drawing>
      </w:r>
      <w:r w:rsidR="005C0A87" w:rsidRPr="006263CF">
        <w:rPr>
          <w:rFonts w:asciiTheme="minorHAnsi" w:hAnsiTheme="minorHAnsi" w:cstheme="minorHAnsi"/>
          <w:b/>
          <w:color w:val="1F61AA"/>
          <w:sz w:val="56"/>
          <w:szCs w:val="64"/>
        </w:rPr>
        <w:t>2</w:t>
      </w:r>
      <w:bookmarkEnd w:id="4"/>
      <w:r w:rsidR="005C0A87" w:rsidRPr="006263CF">
        <w:rPr>
          <w:rFonts w:asciiTheme="minorHAnsi" w:hAnsiTheme="minorHAnsi" w:cstheme="minorHAnsi"/>
          <w:b/>
          <w:color w:val="1F61AA"/>
          <w:sz w:val="56"/>
          <w:szCs w:val="64"/>
        </w:rPr>
        <w:t>. Загальновживані терміни та ключові визначення при лікуванні лікарсько-стійкого ТБ</w:t>
      </w:r>
    </w:p>
    <w:p w:rsidR="005C0A87" w:rsidRPr="006263CF" w:rsidRDefault="005C0A87" w:rsidP="006263CF">
      <w:pPr>
        <w:spacing w:before="667"/>
        <w:rPr>
          <w:rFonts w:asciiTheme="minorHAnsi" w:hAnsiTheme="minorHAnsi" w:cstheme="minorHAnsi"/>
          <w:sz w:val="18"/>
        </w:rPr>
      </w:pPr>
      <w:r w:rsidRPr="006263CF">
        <w:rPr>
          <w:rFonts w:asciiTheme="minorHAnsi" w:hAnsiTheme="minorHAnsi" w:cstheme="minorHAnsi"/>
          <w:color w:val="000000"/>
          <w:szCs w:val="22"/>
        </w:rPr>
        <w:t>У цьому розділі коротко описані основні терміни, які використовуються в цьому та інших модулях.</w:t>
      </w:r>
    </w:p>
    <w:p w:rsidR="005C0A87" w:rsidRPr="006263CF" w:rsidRDefault="005C0A87" w:rsidP="006263CF">
      <w:pPr>
        <w:spacing w:before="144"/>
        <w:jc w:val="both"/>
        <w:rPr>
          <w:rFonts w:asciiTheme="minorHAnsi" w:hAnsiTheme="minorHAnsi" w:cstheme="minorHAnsi"/>
          <w:sz w:val="18"/>
        </w:rPr>
      </w:pPr>
      <w:r w:rsidRPr="006263CF">
        <w:rPr>
          <w:rFonts w:asciiTheme="minorHAnsi" w:hAnsiTheme="minorHAnsi" w:cstheme="minorHAnsi"/>
          <w:b/>
          <w:bCs/>
          <w:i/>
          <w:iCs/>
          <w:color w:val="000000"/>
          <w:szCs w:val="22"/>
        </w:rPr>
        <w:t xml:space="preserve">Тест медикаментозної чутливості (ТМЧ) </w:t>
      </w:r>
      <w:r w:rsidRPr="006263CF">
        <w:rPr>
          <w:rFonts w:asciiTheme="minorHAnsi" w:hAnsiTheme="minorHAnsi" w:cstheme="minorHAnsi"/>
          <w:color w:val="000000"/>
          <w:szCs w:val="22"/>
        </w:rPr>
        <w:t xml:space="preserve">означає тестування in vitro, у якому використовуються молекулярні, генотипові методи виявлення мутацій, що викликають стійкість, або фенотипові методи для визначення чутливості до лікарських препаратів </w:t>
      </w:r>
      <w:r w:rsidRPr="006263CF">
        <w:rPr>
          <w:rFonts w:asciiTheme="minorHAnsi" w:hAnsiTheme="minorHAnsi" w:cstheme="minorHAnsi"/>
          <w:i/>
          <w:iCs/>
          <w:color w:val="000000"/>
          <w:szCs w:val="22"/>
        </w:rPr>
        <w:t>(5, 6)</w:t>
      </w:r>
      <w:r w:rsidRPr="006263CF">
        <w:rPr>
          <w:rFonts w:asciiTheme="minorHAnsi" w:hAnsiTheme="minorHAnsi" w:cstheme="minorHAnsi"/>
          <w:color w:val="000000"/>
          <w:szCs w:val="22"/>
        </w:rPr>
        <w:t>.</w:t>
      </w:r>
    </w:p>
    <w:p w:rsidR="005C0A87" w:rsidRPr="006263CF" w:rsidRDefault="005C0A87" w:rsidP="006263CF">
      <w:pPr>
        <w:spacing w:before="86"/>
        <w:ind w:right="5"/>
        <w:jc w:val="both"/>
        <w:rPr>
          <w:rFonts w:asciiTheme="minorHAnsi" w:hAnsiTheme="minorHAnsi" w:cstheme="minorHAnsi"/>
          <w:sz w:val="18"/>
        </w:rPr>
      </w:pPr>
      <w:r w:rsidRPr="006263CF">
        <w:rPr>
          <w:rFonts w:asciiTheme="minorHAnsi" w:hAnsiTheme="minorHAnsi" w:cstheme="minorHAnsi"/>
          <w:b/>
          <w:bCs/>
          <w:i/>
          <w:iCs/>
          <w:color w:val="000000"/>
          <w:szCs w:val="22"/>
        </w:rPr>
        <w:t xml:space="preserve">Чутливий до рифампіцину, резистентний до ізоніазиду туберкульоз (Нрез-ТБ) </w:t>
      </w:r>
      <w:r w:rsidRPr="006263CF">
        <w:rPr>
          <w:rFonts w:asciiTheme="minorHAnsi" w:hAnsiTheme="minorHAnsi" w:cstheme="minorHAnsi"/>
          <w:color w:val="000000"/>
          <w:szCs w:val="22"/>
        </w:rPr>
        <w:t xml:space="preserve">викликають штами </w:t>
      </w:r>
      <w:r w:rsidRPr="006263CF">
        <w:rPr>
          <w:rFonts w:asciiTheme="minorHAnsi" w:hAnsiTheme="minorHAnsi" w:cstheme="minorHAnsi"/>
          <w:i/>
          <w:iCs/>
          <w:color w:val="000000"/>
          <w:szCs w:val="22"/>
        </w:rPr>
        <w:t>Mycobacterium tuberculosis</w:t>
      </w:r>
      <w:r w:rsidRPr="006263CF">
        <w:rPr>
          <w:rFonts w:asciiTheme="minorHAnsi" w:hAnsiTheme="minorHAnsi" w:cstheme="minorHAnsi"/>
          <w:color w:val="000000"/>
          <w:szCs w:val="22"/>
        </w:rPr>
        <w:t>, стійкими до ізоніазиду та стійкими до рифампіцину.</w:t>
      </w:r>
    </w:p>
    <w:p w:rsidR="005C0A87" w:rsidRPr="006263CF" w:rsidRDefault="005C0A87" w:rsidP="006263CF">
      <w:pPr>
        <w:spacing w:before="91"/>
        <w:jc w:val="both"/>
        <w:rPr>
          <w:rFonts w:asciiTheme="minorHAnsi" w:hAnsiTheme="minorHAnsi" w:cstheme="minorHAnsi"/>
          <w:sz w:val="18"/>
        </w:rPr>
      </w:pPr>
      <w:r w:rsidRPr="006263CF">
        <w:rPr>
          <w:rFonts w:asciiTheme="minorHAnsi" w:hAnsiTheme="minorHAnsi" w:cstheme="minorHAnsi"/>
          <w:b/>
          <w:bCs/>
          <w:i/>
          <w:iCs/>
          <w:color w:val="000000"/>
          <w:szCs w:val="22"/>
        </w:rPr>
        <w:t xml:space="preserve">Рифампіцин-резистентний туберкульоз (Риф-ТБ) </w:t>
      </w:r>
      <w:r w:rsidRPr="006263CF">
        <w:rPr>
          <w:rFonts w:asciiTheme="minorHAnsi" w:hAnsiTheme="minorHAnsi" w:cstheme="minorHAnsi"/>
          <w:color w:val="000000"/>
          <w:szCs w:val="22"/>
        </w:rPr>
        <w:t xml:space="preserve">викликають штами </w:t>
      </w:r>
      <w:r w:rsidRPr="006263CF">
        <w:rPr>
          <w:rFonts w:asciiTheme="minorHAnsi" w:hAnsiTheme="minorHAnsi" w:cstheme="minorHAnsi"/>
          <w:i/>
          <w:iCs/>
          <w:color w:val="000000"/>
          <w:szCs w:val="22"/>
        </w:rPr>
        <w:t>M. tuberculosis</w:t>
      </w:r>
      <w:r w:rsidRPr="006263CF">
        <w:rPr>
          <w:rFonts w:asciiTheme="minorHAnsi" w:hAnsiTheme="minorHAnsi" w:cstheme="minorHAnsi"/>
          <w:color w:val="000000"/>
          <w:szCs w:val="22"/>
        </w:rPr>
        <w:t>, стійкі до рифампіцину. Штами Риф-ТБ можуть виявляти чутливість або стійкість до ізоніазиду (тобто МР-ТБ), або стійкість до інших протитуберкульозних препаратів 1-го чи 2-го ряду.</w:t>
      </w:r>
    </w:p>
    <w:p w:rsidR="005C0A87" w:rsidRPr="006263CF" w:rsidRDefault="005C0A87" w:rsidP="006263CF">
      <w:pPr>
        <w:spacing w:before="86"/>
        <w:jc w:val="both"/>
        <w:rPr>
          <w:rFonts w:asciiTheme="minorHAnsi" w:hAnsiTheme="minorHAnsi" w:cstheme="minorHAnsi"/>
          <w:sz w:val="18"/>
        </w:rPr>
      </w:pPr>
      <w:r w:rsidRPr="006263CF">
        <w:rPr>
          <w:rFonts w:asciiTheme="minorHAnsi" w:hAnsiTheme="minorHAnsi" w:cstheme="minorHAnsi"/>
          <w:b/>
          <w:bCs/>
          <w:i/>
          <w:iCs/>
          <w:color w:val="000000"/>
          <w:szCs w:val="22"/>
        </w:rPr>
        <w:t xml:space="preserve">Мультирезистентний туберкульоз (МР-ТБ) </w:t>
      </w:r>
      <w:r w:rsidRPr="006263CF">
        <w:rPr>
          <w:rFonts w:asciiTheme="minorHAnsi" w:hAnsiTheme="minorHAnsi" w:cstheme="minorHAnsi"/>
          <w:color w:val="000000"/>
          <w:szCs w:val="22"/>
        </w:rPr>
        <w:t xml:space="preserve">викликають штами </w:t>
      </w:r>
      <w:r w:rsidRPr="006263CF">
        <w:rPr>
          <w:rFonts w:asciiTheme="minorHAnsi" w:hAnsiTheme="minorHAnsi" w:cstheme="minorHAnsi"/>
          <w:i/>
          <w:iCs/>
          <w:color w:val="000000"/>
          <w:szCs w:val="22"/>
        </w:rPr>
        <w:t>M. tuberculosis</w:t>
      </w:r>
      <w:r w:rsidRPr="006263CF">
        <w:rPr>
          <w:rFonts w:asciiTheme="minorHAnsi" w:hAnsiTheme="minorHAnsi" w:cstheme="minorHAnsi"/>
          <w:color w:val="000000"/>
          <w:szCs w:val="22"/>
        </w:rPr>
        <w:t>, стійкі принаймні як до ізоніазиду, так і до рифампіцину.</w:t>
      </w:r>
    </w:p>
    <w:p w:rsidR="005C0A87" w:rsidRPr="006263CF" w:rsidRDefault="005C0A87" w:rsidP="006263CF">
      <w:pPr>
        <w:spacing w:before="144"/>
        <w:jc w:val="both"/>
        <w:rPr>
          <w:rFonts w:asciiTheme="minorHAnsi" w:hAnsiTheme="minorHAnsi" w:cstheme="minorHAnsi"/>
          <w:sz w:val="18"/>
        </w:rPr>
      </w:pPr>
      <w:r w:rsidRPr="006263CF">
        <w:rPr>
          <w:rFonts w:asciiTheme="minorHAnsi" w:hAnsiTheme="minorHAnsi" w:cstheme="minorHAnsi"/>
          <w:b/>
          <w:bCs/>
          <w:i/>
          <w:iCs/>
          <w:color w:val="000000"/>
          <w:szCs w:val="22"/>
        </w:rPr>
        <w:t xml:space="preserve">Мультирезистентний/рифампіцин-резистентний туберкульоз (МР/Риф-ТБ) </w:t>
      </w:r>
      <w:r w:rsidRPr="006263CF">
        <w:rPr>
          <w:rFonts w:asciiTheme="minorHAnsi" w:hAnsiTheme="minorHAnsi" w:cstheme="minorHAnsi"/>
          <w:color w:val="000000"/>
          <w:szCs w:val="22"/>
        </w:rPr>
        <w:t>– термін, що використовується у цьому та інших посібниках для групування випадків МР-ТБ та Риф-ТБ разом із МР/Риф-ТБ; обидва випадки МР-ТБ та Риф-ТБ піддаються лікуванню схемами для МР-ТБ. МР/Риф-ТБ зазвичай стосується усіх пацієнтів, уражених МР-ТБ або Риф-ТБ.</w:t>
      </w:r>
    </w:p>
    <w:p w:rsidR="005C0A87" w:rsidRPr="006263CF" w:rsidRDefault="005C0A87" w:rsidP="006263CF">
      <w:pPr>
        <w:spacing w:before="144"/>
        <w:rPr>
          <w:rFonts w:asciiTheme="minorHAnsi" w:hAnsiTheme="minorHAnsi" w:cstheme="minorHAnsi"/>
          <w:sz w:val="18"/>
        </w:rPr>
      </w:pPr>
      <w:r w:rsidRPr="006263CF">
        <w:rPr>
          <w:rFonts w:asciiTheme="minorHAnsi" w:hAnsiTheme="minorHAnsi" w:cstheme="minorHAnsi"/>
          <w:b/>
          <w:bCs/>
          <w:i/>
          <w:iCs/>
          <w:color w:val="000000"/>
          <w:szCs w:val="22"/>
        </w:rPr>
        <w:t>Лікування МР-ТБ</w:t>
      </w:r>
      <w:r w:rsidRPr="006263CF">
        <w:rPr>
          <w:rFonts w:asciiTheme="minorHAnsi" w:hAnsiTheme="minorHAnsi" w:cstheme="minorHAnsi"/>
          <w:color w:val="000000"/>
          <w:szCs w:val="22"/>
        </w:rPr>
        <w:t xml:space="preserve"> означає варіанти лікування пацієнтів, хворих на МР/Риф-ТБ.</w:t>
      </w:r>
    </w:p>
    <w:p w:rsidR="005C0A87" w:rsidRPr="006263CF" w:rsidRDefault="005C0A87" w:rsidP="006263CF">
      <w:pPr>
        <w:spacing w:before="139"/>
        <w:jc w:val="both"/>
        <w:rPr>
          <w:rFonts w:asciiTheme="minorHAnsi" w:hAnsiTheme="minorHAnsi" w:cstheme="minorHAnsi"/>
          <w:sz w:val="18"/>
        </w:rPr>
      </w:pPr>
      <w:r w:rsidRPr="006263CF">
        <w:rPr>
          <w:rFonts w:asciiTheme="minorHAnsi" w:hAnsiTheme="minorHAnsi" w:cstheme="minorHAnsi"/>
          <w:b/>
          <w:bCs/>
          <w:i/>
          <w:iCs/>
          <w:color w:val="000000"/>
          <w:szCs w:val="22"/>
        </w:rPr>
        <w:t>Туберкульоз із широкою лікарською стійкістю (ШЛС-ТБ)</w:t>
      </w:r>
      <w:r w:rsidRPr="006263CF">
        <w:rPr>
          <w:rFonts w:asciiTheme="minorHAnsi" w:hAnsiTheme="minorHAnsi" w:cstheme="minorHAnsi"/>
          <w:color w:val="000000"/>
          <w:szCs w:val="22"/>
        </w:rPr>
        <w:t xml:space="preserve"> – це туберкульоз, стійкий до будь-якого хіміотерапевтичного засобу із групи фторхінолонів та щонайменше до одного із трьох ін'єкційних лікарських засобів 2-го ряду (капреоміцин, канаміцин та амікацин), додатково</w:t>
      </w:r>
    </w:p>
    <w:p w:rsidR="005C0A87" w:rsidRPr="006263CF" w:rsidRDefault="005C0A87" w:rsidP="006263CF">
      <w:pPr>
        <w:rPr>
          <w:rFonts w:asciiTheme="minorHAnsi" w:hAnsiTheme="minorHAnsi" w:cstheme="minorHAnsi"/>
          <w:sz w:val="18"/>
        </w:rPr>
      </w:pPr>
      <w:r w:rsidRPr="006263CF">
        <w:rPr>
          <w:rFonts w:asciiTheme="minorHAnsi" w:hAnsiTheme="minorHAnsi" w:cstheme="minorHAnsi"/>
          <w:color w:val="000000"/>
          <w:szCs w:val="22"/>
        </w:rPr>
        <w:t>до множинної лікарської стійкості.</w:t>
      </w:r>
      <w:r w:rsidRPr="006263CF">
        <w:rPr>
          <w:rFonts w:asciiTheme="minorHAnsi" w:hAnsiTheme="minorHAnsi" w:cstheme="minorHAnsi"/>
          <w:color w:val="000000"/>
          <w:szCs w:val="22"/>
          <w:vertAlign w:val="superscript"/>
        </w:rPr>
        <w:t>1</w:t>
      </w:r>
    </w:p>
    <w:p w:rsidR="005C0A87" w:rsidRPr="006263CF" w:rsidRDefault="005C0A87" w:rsidP="006263CF">
      <w:pPr>
        <w:spacing w:before="144"/>
        <w:jc w:val="both"/>
        <w:rPr>
          <w:rFonts w:asciiTheme="minorHAnsi" w:hAnsiTheme="minorHAnsi" w:cstheme="minorHAnsi"/>
          <w:sz w:val="18"/>
        </w:rPr>
      </w:pPr>
      <w:r w:rsidRPr="006263CF">
        <w:rPr>
          <w:rFonts w:asciiTheme="minorHAnsi" w:hAnsiTheme="minorHAnsi" w:cstheme="minorHAnsi"/>
          <w:b/>
          <w:bCs/>
          <w:i/>
          <w:iCs/>
          <w:color w:val="000000"/>
          <w:szCs w:val="22"/>
        </w:rPr>
        <w:t>Екстенсивний (або прогресуючий) туберкульоз</w:t>
      </w:r>
      <w:r w:rsidRPr="006263CF">
        <w:rPr>
          <w:rFonts w:asciiTheme="minorHAnsi" w:hAnsiTheme="minorHAnsi" w:cstheme="minorHAnsi"/>
          <w:color w:val="000000"/>
          <w:szCs w:val="22"/>
        </w:rPr>
        <w:t xml:space="preserve"> означає наявність двостороннього кавернозного туберкульозу легень або обширного ураження паренхіми на рентгенографії органів грудної клітки. У дітей віком до 15 років прогресуюче захворювання зазвичай визначається наявністю порожнин або двостороннього захворювання на рентгенографії органів грудної клітки.</w:t>
      </w:r>
    </w:p>
    <w:p w:rsidR="005C0A87" w:rsidRPr="006263CF" w:rsidRDefault="005C0A87" w:rsidP="006263CF">
      <w:pPr>
        <w:spacing w:before="139"/>
        <w:jc w:val="both"/>
        <w:rPr>
          <w:rFonts w:asciiTheme="minorHAnsi" w:hAnsiTheme="minorHAnsi" w:cstheme="minorHAnsi"/>
          <w:sz w:val="18"/>
        </w:rPr>
      </w:pPr>
      <w:r w:rsidRPr="006263CF">
        <w:rPr>
          <w:rFonts w:asciiTheme="minorHAnsi" w:hAnsiTheme="minorHAnsi" w:cstheme="minorHAnsi"/>
          <w:b/>
          <w:bCs/>
          <w:i/>
          <w:iCs/>
          <w:color w:val="000000"/>
          <w:szCs w:val="22"/>
        </w:rPr>
        <w:t>Гострий позалегеневий туберкульоз</w:t>
      </w:r>
      <w:r w:rsidRPr="006263CF">
        <w:rPr>
          <w:rFonts w:asciiTheme="minorHAnsi" w:hAnsiTheme="minorHAnsi" w:cstheme="minorHAnsi"/>
          <w:color w:val="000000"/>
          <w:szCs w:val="22"/>
        </w:rPr>
        <w:t xml:space="preserve"> означає наявність міліарного туберкульозу або туберкульозного менінгіту. У дітей віком до 15 років позалегеневі форми захворювання, відмінні від лімфаденопатії (периферичні вузли або ізольована пухлина середостіння без здавлення), вважаються тяжкими (адаптовано з Wiseman et al., 2012 </w:t>
      </w:r>
      <w:r w:rsidRPr="006263CF">
        <w:rPr>
          <w:rFonts w:asciiTheme="minorHAnsi" w:hAnsiTheme="minorHAnsi" w:cstheme="minorHAnsi"/>
          <w:i/>
          <w:iCs/>
          <w:color w:val="000000"/>
          <w:szCs w:val="22"/>
        </w:rPr>
        <w:t>(7)</w:t>
      </w:r>
      <w:r w:rsidRPr="006263CF">
        <w:rPr>
          <w:rFonts w:asciiTheme="minorHAnsi" w:hAnsiTheme="minorHAnsi" w:cstheme="minorHAnsi"/>
          <w:color w:val="000000"/>
          <w:szCs w:val="22"/>
        </w:rPr>
        <w:t>).</w:t>
      </w:r>
    </w:p>
    <w:p w:rsidR="005144DA" w:rsidRPr="006263CF" w:rsidRDefault="000344A4" w:rsidP="000344A4">
      <w:pPr>
        <w:spacing w:before="960"/>
        <w:jc w:val="both"/>
        <w:rPr>
          <w:rFonts w:asciiTheme="minorHAnsi" w:hAnsiTheme="minorHAnsi" w:cstheme="minorHAnsi"/>
          <w:color w:val="000000"/>
          <w:sz w:val="14"/>
          <w:szCs w:val="16"/>
          <w:u w:val="single"/>
          <w:vertAlign w:val="superscript"/>
        </w:rPr>
      </w:pPr>
      <w:r>
        <w:rPr>
          <w:rFonts w:asciiTheme="minorHAnsi" w:hAnsiTheme="minorHAnsi" w:cstheme="minorHAnsi"/>
          <w:color w:val="000000"/>
          <w:sz w:val="14"/>
          <w:szCs w:val="16"/>
          <w:u w:val="single"/>
          <w:vertAlign w:val="superscript"/>
        </w:rPr>
        <w:tab/>
      </w:r>
      <w:r>
        <w:rPr>
          <w:rFonts w:asciiTheme="minorHAnsi" w:hAnsiTheme="minorHAnsi" w:cstheme="minorHAnsi"/>
          <w:color w:val="000000"/>
          <w:sz w:val="14"/>
          <w:szCs w:val="16"/>
          <w:u w:val="single"/>
          <w:vertAlign w:val="superscript"/>
        </w:rPr>
        <w:tab/>
      </w:r>
      <w:r>
        <w:rPr>
          <w:rFonts w:asciiTheme="minorHAnsi" w:hAnsiTheme="minorHAnsi" w:cstheme="minorHAnsi"/>
          <w:color w:val="000000"/>
          <w:sz w:val="14"/>
          <w:szCs w:val="16"/>
          <w:u w:val="single"/>
          <w:vertAlign w:val="superscript"/>
        </w:rPr>
        <w:tab/>
      </w:r>
    </w:p>
    <w:p w:rsidR="005C0A87" w:rsidRPr="006263CF" w:rsidRDefault="005C0A87" w:rsidP="006263CF">
      <w:pPr>
        <w:ind w:left="221" w:hanging="221"/>
        <w:jc w:val="both"/>
        <w:rPr>
          <w:rFonts w:asciiTheme="minorHAnsi" w:hAnsiTheme="minorHAnsi" w:cstheme="minorHAnsi"/>
          <w:sz w:val="18"/>
        </w:rPr>
      </w:pPr>
      <w:r w:rsidRPr="006263CF">
        <w:rPr>
          <w:rFonts w:asciiTheme="minorHAnsi" w:hAnsiTheme="minorHAnsi" w:cstheme="minorHAnsi"/>
          <w:color w:val="000000"/>
          <w:sz w:val="14"/>
          <w:szCs w:val="16"/>
          <w:vertAlign w:val="superscript"/>
        </w:rPr>
        <w:t>1</w:t>
      </w:r>
      <w:r w:rsidRPr="006263CF">
        <w:rPr>
          <w:rFonts w:asciiTheme="minorHAnsi" w:hAnsiTheme="minorHAnsi" w:cstheme="minorHAnsi"/>
          <w:color w:val="000000"/>
          <w:sz w:val="14"/>
          <w:szCs w:val="16"/>
        </w:rPr>
        <w:t xml:space="preserve"> </w:t>
      </w:r>
      <w:r w:rsidR="005144DA" w:rsidRPr="006263CF">
        <w:rPr>
          <w:rFonts w:asciiTheme="minorHAnsi" w:hAnsiTheme="minorHAnsi" w:cstheme="minorHAnsi"/>
          <w:color w:val="000000"/>
          <w:sz w:val="14"/>
          <w:szCs w:val="16"/>
        </w:rPr>
        <w:tab/>
      </w:r>
      <w:r w:rsidRPr="006263CF">
        <w:rPr>
          <w:rFonts w:asciiTheme="minorHAnsi" w:hAnsiTheme="minorHAnsi" w:cstheme="minorHAnsi"/>
          <w:color w:val="000000"/>
          <w:sz w:val="14"/>
          <w:szCs w:val="16"/>
        </w:rPr>
        <w:t>Поточне визначення ШЛС-ТБ, імовірно, цілком може зазнати змін, враховуючи поступове припинення застосування ін'єкційних препаратів, ймовірність виникнення патернів стійкості, важливіших для теперішніх та майбутніх схем лікування, вдосконалення методів діагностики та ТМЧ. Зміни у визначенні ШЛС-ТБ стануть предметом майбутніх консультацій з експертами та будуть включені до переглянутих керівництв ВООЗ із нагляду та звітності. Вибір відповідних схем лікування для пацієнтів зі штамами, що виявляють МР-ТБ плюс додаткову стійкість до фторхінолонів (так звана «пре-ШЛС») стає все більш важливим та здійсненним завдяки швидкому розвитку молекулярного ТМЧ.</w:t>
      </w:r>
    </w:p>
    <w:p w:rsidR="005C0A87" w:rsidRPr="006263CF" w:rsidRDefault="005C0A87" w:rsidP="006263CF">
      <w:pPr>
        <w:spacing w:before="922"/>
        <w:ind w:left="221" w:hanging="221"/>
        <w:jc w:val="both"/>
        <w:rPr>
          <w:rFonts w:asciiTheme="minorHAnsi" w:hAnsiTheme="minorHAnsi" w:cstheme="minorHAnsi"/>
          <w:sz w:val="18"/>
        </w:rPr>
        <w:sectPr w:rsidR="005C0A87" w:rsidRPr="006263CF">
          <w:footerReference w:type="even" r:id="rId20"/>
          <w:pgSz w:w="11904" w:h="16838"/>
          <w:pgMar w:top="2112" w:right="1416" w:bottom="1354" w:left="1416" w:header="708" w:footer="708" w:gutter="0"/>
          <w:cols w:space="60"/>
          <w:noEndnote/>
        </w:sectPr>
      </w:pPr>
    </w:p>
    <w:p w:rsidR="005C0A87" w:rsidRPr="006263CF" w:rsidRDefault="005C0A87" w:rsidP="006263CF">
      <w:pPr>
        <w:jc w:val="both"/>
        <w:rPr>
          <w:rFonts w:asciiTheme="minorHAnsi" w:hAnsiTheme="minorHAnsi" w:cstheme="minorHAnsi"/>
          <w:sz w:val="18"/>
        </w:rPr>
      </w:pPr>
      <w:r w:rsidRPr="006263CF">
        <w:rPr>
          <w:rFonts w:asciiTheme="minorHAnsi" w:hAnsiTheme="minorHAnsi" w:cstheme="minorHAnsi"/>
          <w:b/>
          <w:bCs/>
          <w:i/>
          <w:iCs/>
          <w:color w:val="000000"/>
          <w:szCs w:val="22"/>
        </w:rPr>
        <w:lastRenderedPageBreak/>
        <w:t>Протитуберкульозний препарат (або засіб) 2-го ряду</w:t>
      </w:r>
      <w:r w:rsidRPr="006263CF">
        <w:rPr>
          <w:rFonts w:asciiTheme="minorHAnsi" w:hAnsiTheme="minorHAnsi" w:cstheme="minorHAnsi"/>
          <w:color w:val="000000"/>
          <w:szCs w:val="22"/>
        </w:rPr>
        <w:t xml:space="preserve"> – це препарат, що застосовується для лікування лікарсько-стійкого ТБ. Деякі протитуберкульозні препарати 1-го ряду, що використовуються для лікування лікарсько-чутливого туберкульозу (наприклад, етамбутол, ізоніазид та піразинамід), також можуть застосовуватися у схемах лікування МР-ТБ. Наразі стрептоміцин вважається протитуберкульозним препаратом 2-го ряду та використовується лише як замінник амікацину у разі його відсутності, або коли наявна підтверджена стійкість до амікацину, але й при підтвердженій чутливості до стрептоміцину, а також при неможливості застосування пероральної схеми лікування.</w:t>
      </w:r>
    </w:p>
    <w:p w:rsidR="005C0A87" w:rsidRPr="006263CF" w:rsidRDefault="005C0A87" w:rsidP="000344A4">
      <w:pPr>
        <w:spacing w:before="40"/>
        <w:jc w:val="both"/>
        <w:rPr>
          <w:rFonts w:asciiTheme="minorHAnsi" w:hAnsiTheme="minorHAnsi" w:cstheme="minorHAnsi"/>
          <w:sz w:val="18"/>
        </w:rPr>
      </w:pPr>
      <w:r w:rsidRPr="006263CF">
        <w:rPr>
          <w:rFonts w:asciiTheme="minorHAnsi" w:hAnsiTheme="minorHAnsi" w:cstheme="minorHAnsi"/>
          <w:b/>
          <w:bCs/>
          <w:i/>
          <w:iCs/>
          <w:color w:val="000000"/>
          <w:szCs w:val="22"/>
        </w:rPr>
        <w:t>Короткострокова схема лікування МР-ТБ</w:t>
      </w:r>
      <w:r w:rsidRPr="006263CF">
        <w:rPr>
          <w:rFonts w:asciiTheme="minorHAnsi" w:hAnsiTheme="minorHAnsi" w:cstheme="minorHAnsi"/>
          <w:color w:val="000000"/>
          <w:szCs w:val="22"/>
        </w:rPr>
        <w:t xml:space="preserve"> означає курс лікування МР/Риф-ТБ тривалістю менше 12 місяців, що значною мірою стандартизовано.</w:t>
      </w:r>
    </w:p>
    <w:p w:rsidR="005C0A87" w:rsidRPr="006263CF" w:rsidRDefault="005C0A87" w:rsidP="000344A4">
      <w:pPr>
        <w:spacing w:before="40"/>
        <w:jc w:val="both"/>
        <w:rPr>
          <w:rFonts w:asciiTheme="minorHAnsi" w:hAnsiTheme="minorHAnsi" w:cstheme="minorHAnsi"/>
          <w:sz w:val="18"/>
        </w:rPr>
      </w:pPr>
      <w:r w:rsidRPr="006263CF">
        <w:rPr>
          <w:rFonts w:asciiTheme="minorHAnsi" w:hAnsiTheme="minorHAnsi" w:cstheme="minorHAnsi"/>
          <w:b/>
          <w:bCs/>
          <w:i/>
          <w:iCs/>
          <w:color w:val="000000"/>
          <w:szCs w:val="22"/>
        </w:rPr>
        <w:t>Довгострокові схеми лікування МР-ТБ</w:t>
      </w:r>
      <w:r w:rsidRPr="006263CF">
        <w:rPr>
          <w:rFonts w:asciiTheme="minorHAnsi" w:hAnsiTheme="minorHAnsi" w:cstheme="minorHAnsi"/>
          <w:color w:val="000000"/>
          <w:szCs w:val="22"/>
        </w:rPr>
        <w:t xml:space="preserve"> застосовуються для лікування МР/Риф-ТБ тривалістю не менше 18 місяців та розробляються із використанням ієрархії рекомендованих лікарських препаратів для включення мінімальної кількості протитуберкульозних препаратів, що вважаються ефективними на лікарсько-стійкій основі або історії хворого.</w:t>
      </w:r>
    </w:p>
    <w:p w:rsidR="005C0A87" w:rsidRPr="006263CF" w:rsidRDefault="005C0A87" w:rsidP="000344A4">
      <w:pPr>
        <w:spacing w:before="40"/>
        <w:jc w:val="both"/>
        <w:rPr>
          <w:rFonts w:asciiTheme="minorHAnsi" w:hAnsiTheme="minorHAnsi" w:cstheme="minorHAnsi"/>
          <w:sz w:val="18"/>
        </w:rPr>
      </w:pPr>
      <w:r w:rsidRPr="006263CF">
        <w:rPr>
          <w:rFonts w:asciiTheme="minorHAnsi" w:hAnsiTheme="minorHAnsi" w:cstheme="minorHAnsi"/>
          <w:b/>
          <w:color w:val="000000"/>
          <w:szCs w:val="22"/>
        </w:rPr>
        <w:t>Емпіричне лікування</w:t>
      </w:r>
      <w:r w:rsidRPr="006263CF">
        <w:rPr>
          <w:rFonts w:asciiTheme="minorHAnsi" w:hAnsiTheme="minorHAnsi" w:cstheme="minorHAnsi"/>
          <w:color w:val="000000"/>
          <w:szCs w:val="22"/>
        </w:rPr>
        <w:t xml:space="preserve"> - це початок лікування до лабораторного підтвердження лікарської стійкості. Емпіричні схеми лікування бувають або </w:t>
      </w:r>
      <w:r w:rsidRPr="006263CF">
        <w:rPr>
          <w:rFonts w:asciiTheme="minorHAnsi" w:hAnsiTheme="minorHAnsi" w:cstheme="minorHAnsi"/>
          <w:i/>
          <w:iCs/>
          <w:color w:val="000000"/>
          <w:szCs w:val="22"/>
        </w:rPr>
        <w:t xml:space="preserve">стандартизованими </w:t>
      </w:r>
      <w:r w:rsidRPr="006263CF">
        <w:rPr>
          <w:rFonts w:asciiTheme="minorHAnsi" w:hAnsiTheme="minorHAnsi" w:cstheme="minorHAnsi"/>
          <w:color w:val="000000"/>
          <w:szCs w:val="22"/>
        </w:rPr>
        <w:t xml:space="preserve">(склад та тривалість яких значною мірою фіксовані), або </w:t>
      </w:r>
      <w:r w:rsidRPr="006263CF">
        <w:rPr>
          <w:rFonts w:asciiTheme="minorHAnsi" w:hAnsiTheme="minorHAnsi" w:cstheme="minorHAnsi"/>
          <w:i/>
          <w:iCs/>
          <w:color w:val="000000"/>
          <w:szCs w:val="22"/>
        </w:rPr>
        <w:t xml:space="preserve">індивідуалізованими </w:t>
      </w:r>
      <w:r w:rsidRPr="006263CF">
        <w:rPr>
          <w:rFonts w:asciiTheme="minorHAnsi" w:hAnsiTheme="minorHAnsi" w:cstheme="minorHAnsi"/>
          <w:color w:val="000000"/>
          <w:szCs w:val="22"/>
        </w:rPr>
        <w:t>(тобто адаптованими до місцевої епідеміологічної ситуації або специфічних потреб конкретного пацієнта чи групи пацієнтів).</w:t>
      </w:r>
      <w:r w:rsidRPr="006263CF">
        <w:rPr>
          <w:rFonts w:asciiTheme="minorHAnsi" w:hAnsiTheme="minorHAnsi" w:cstheme="minorHAnsi"/>
          <w:color w:val="000000"/>
          <w:szCs w:val="22"/>
          <w:vertAlign w:val="superscript"/>
        </w:rPr>
        <w:t>2</w:t>
      </w:r>
      <w:r w:rsidRPr="006263CF">
        <w:rPr>
          <w:rFonts w:asciiTheme="minorHAnsi" w:hAnsiTheme="minorHAnsi" w:cstheme="minorHAnsi"/>
          <w:color w:val="000000"/>
          <w:szCs w:val="22"/>
        </w:rPr>
        <w:t xml:space="preserve"> Загалом, чим більше доступної інформації про медикаментозну стійкість, тим менше схема лікування вважається емпіричною, і тим більша ймовірність, що лікування виявиться ефективним без експозиції пацієнтів до непотрібні лікарських препаратів, які малоймовірно забезпечать ефективність. Саме тому, наявність повного спектру швидкого молекулярного тестування допомагає забезпечити пацієнтам визначену схему лікування з високою ймовірністю одужання.</w:t>
      </w:r>
    </w:p>
    <w:p w:rsidR="005C0A87" w:rsidRPr="006263CF" w:rsidRDefault="005C0A87" w:rsidP="000344A4">
      <w:pPr>
        <w:spacing w:before="40"/>
        <w:jc w:val="both"/>
        <w:rPr>
          <w:rFonts w:asciiTheme="minorHAnsi" w:hAnsiTheme="minorHAnsi" w:cstheme="minorHAnsi"/>
          <w:sz w:val="18"/>
        </w:rPr>
      </w:pPr>
      <w:r w:rsidRPr="006263CF">
        <w:rPr>
          <w:rFonts w:asciiTheme="minorHAnsi" w:hAnsiTheme="minorHAnsi" w:cstheme="minorHAnsi"/>
          <w:b/>
          <w:bCs/>
          <w:i/>
          <w:iCs/>
          <w:color w:val="000000"/>
          <w:szCs w:val="22"/>
        </w:rPr>
        <w:t xml:space="preserve">Ймовірність ефективності </w:t>
      </w:r>
      <w:r w:rsidRPr="006263CF">
        <w:rPr>
          <w:rFonts w:asciiTheme="minorHAnsi" w:hAnsiTheme="minorHAnsi" w:cstheme="minorHAnsi"/>
          <w:color w:val="000000"/>
          <w:szCs w:val="22"/>
        </w:rPr>
        <w:t>лікарського препарату оцінюється на основі одного або декількох із наступних критеріїв: підтверджена чутливість у конкретного пацієнта; підтверджена чутливість у випадку, що передбачається, джерелом; відсутність відомої стійкості до іншого лікарського засобу, що має перехресну стійкість до лікарських препаратів; рідкісне використання лікарського засобу в географічному районі або місцевості (можливо, в поєднанні з низьким рівнем стійкості медикаментозної стійкості у ході спостереження); та жодне попереднє використання препарату у схемі, якою не вдалося вилікувати конкретного пацієнта.</w:t>
      </w:r>
      <w:r w:rsidRPr="006263CF">
        <w:rPr>
          <w:rFonts w:asciiTheme="minorHAnsi" w:hAnsiTheme="minorHAnsi" w:cstheme="minorHAnsi"/>
          <w:color w:val="000000"/>
          <w:szCs w:val="22"/>
          <w:vertAlign w:val="superscript"/>
        </w:rPr>
        <w:t>3</w:t>
      </w:r>
    </w:p>
    <w:p w:rsidR="005C0A87" w:rsidRPr="006263CF" w:rsidRDefault="005C0A87" w:rsidP="000344A4">
      <w:pPr>
        <w:spacing w:before="40"/>
        <w:jc w:val="both"/>
        <w:rPr>
          <w:rFonts w:asciiTheme="minorHAnsi" w:hAnsiTheme="minorHAnsi" w:cstheme="minorHAnsi"/>
          <w:sz w:val="18"/>
        </w:rPr>
      </w:pPr>
      <w:r w:rsidRPr="006263CF">
        <w:rPr>
          <w:rFonts w:asciiTheme="minorHAnsi" w:hAnsiTheme="minorHAnsi" w:cstheme="minorHAnsi"/>
          <w:b/>
          <w:bCs/>
          <w:i/>
          <w:iCs/>
          <w:color w:val="000000"/>
          <w:szCs w:val="22"/>
        </w:rPr>
        <w:t xml:space="preserve">Використання ЛЗ за показаннями, не зазначеними в інструкції для медичного застосування </w:t>
      </w:r>
      <w:r w:rsidRPr="006263CF">
        <w:rPr>
          <w:rFonts w:asciiTheme="minorHAnsi" w:hAnsiTheme="minorHAnsi" w:cstheme="minorHAnsi"/>
          <w:color w:val="000000"/>
          <w:szCs w:val="22"/>
        </w:rPr>
        <w:t xml:space="preserve">означає використання фармацевтичного препарату відмінного від рамок, затверджених національним органом по контролю лікарських засобів (призначення, вікова група, дозування, тривалість або шлях застосування) </w:t>
      </w:r>
      <w:r w:rsidRPr="006263CF">
        <w:rPr>
          <w:rFonts w:asciiTheme="minorHAnsi" w:hAnsiTheme="minorHAnsi" w:cstheme="minorHAnsi"/>
          <w:i/>
          <w:iCs/>
          <w:color w:val="000000"/>
          <w:szCs w:val="22"/>
        </w:rPr>
        <w:t>(8)</w:t>
      </w:r>
      <w:r w:rsidRPr="006263CF">
        <w:rPr>
          <w:rFonts w:asciiTheme="minorHAnsi" w:hAnsiTheme="minorHAnsi" w:cstheme="minorHAnsi"/>
          <w:color w:val="000000"/>
          <w:szCs w:val="22"/>
        </w:rPr>
        <w:t xml:space="preserve">. Декілька препаратів (наприклад, фторхінолони, клофазимін та лінезолід) використовувалися застосування за показаннями, не зазначеними в інструкції для медичного застосування для лікування МР-ТБ. Однак, оскільки до цього часу було зібрано достатньо доказів щодо ефективності та безпечності їх використання при лікуванні туберкульозу, сучасне використання цих лікарських засобів вже не вважається використанням за показаннями, не зазначеними в інструкції для медичного застосування. Рішення про використання лікарських засобів за показаннями, не зазначеними в інструкції для медичного застосування зазвичай ґрунтується на клінічному судженні, коли лікарі очікують кращого лікування пацієнтів, використовуючи лікарські засоби поза списком, затвердженим національними органами по контролю ЛЗ. Такими препаратами виявилися бедаквілін та деламанід при застосуванні понад 6 місяців (див. </w:t>
      </w:r>
      <w:r w:rsidRPr="006263CF">
        <w:rPr>
          <w:rFonts w:asciiTheme="minorHAnsi" w:hAnsiTheme="minorHAnsi" w:cstheme="minorHAnsi"/>
          <w:color w:val="1F61AA"/>
          <w:szCs w:val="22"/>
        </w:rPr>
        <w:t xml:space="preserve">Розділ 6 </w:t>
      </w:r>
      <w:r w:rsidRPr="006263CF">
        <w:rPr>
          <w:rFonts w:asciiTheme="minorHAnsi" w:hAnsiTheme="minorHAnsi" w:cstheme="minorHAnsi"/>
          <w:color w:val="000000"/>
          <w:szCs w:val="22"/>
        </w:rPr>
        <w:t>цього модуля).</w:t>
      </w:r>
    </w:p>
    <w:p w:rsidR="005C0A87" w:rsidRPr="006263CF" w:rsidRDefault="005C0A87" w:rsidP="000344A4">
      <w:pPr>
        <w:spacing w:before="40"/>
        <w:jc w:val="both"/>
        <w:rPr>
          <w:rFonts w:asciiTheme="minorHAnsi" w:hAnsiTheme="minorHAnsi" w:cstheme="minorHAnsi"/>
          <w:sz w:val="18"/>
        </w:rPr>
      </w:pPr>
      <w:r w:rsidRPr="006263CF">
        <w:rPr>
          <w:rFonts w:asciiTheme="minorHAnsi" w:hAnsiTheme="minorHAnsi" w:cstheme="minorHAnsi"/>
          <w:b/>
          <w:bCs/>
          <w:i/>
          <w:iCs/>
          <w:color w:val="000000"/>
          <w:szCs w:val="22"/>
        </w:rPr>
        <w:t xml:space="preserve">Небажане явище </w:t>
      </w:r>
      <w:r w:rsidRPr="006263CF">
        <w:rPr>
          <w:rFonts w:asciiTheme="minorHAnsi" w:hAnsiTheme="minorHAnsi" w:cstheme="minorHAnsi"/>
          <w:color w:val="000000"/>
          <w:szCs w:val="22"/>
        </w:rPr>
        <w:t>– це будь-яке несприятливе медичне явище, яке може проявлятися у хворого на туберкульоз під час лікування фармацевтичним препаратом, але не обов'язково має причинно-наслідковий зв’язок із цим лікуванням.</w:t>
      </w:r>
    </w:p>
    <w:p w:rsidR="005C0A87" w:rsidRPr="006263CF" w:rsidRDefault="005C0A87" w:rsidP="000344A4">
      <w:pPr>
        <w:spacing w:before="40"/>
        <w:jc w:val="both"/>
        <w:rPr>
          <w:rFonts w:asciiTheme="minorHAnsi" w:hAnsiTheme="minorHAnsi" w:cstheme="minorHAnsi"/>
          <w:sz w:val="18"/>
        </w:rPr>
      </w:pPr>
      <w:r w:rsidRPr="006263CF">
        <w:rPr>
          <w:rFonts w:asciiTheme="minorHAnsi" w:hAnsiTheme="minorHAnsi" w:cstheme="minorHAnsi"/>
          <w:b/>
          <w:bCs/>
          <w:i/>
          <w:iCs/>
          <w:color w:val="000000"/>
          <w:szCs w:val="22"/>
        </w:rPr>
        <w:t xml:space="preserve">Серйозне небажане явище </w:t>
      </w:r>
      <w:r w:rsidRPr="006263CF">
        <w:rPr>
          <w:rFonts w:asciiTheme="minorHAnsi" w:hAnsiTheme="minorHAnsi" w:cstheme="minorHAnsi"/>
          <w:color w:val="000000"/>
          <w:szCs w:val="22"/>
        </w:rPr>
        <w:t>– це побічна реакція, яка призводить до смерті або небезпечного для життя досвіду, до госпіталізації чи пролонгації госпіталізації, до персистентної або значної втрати працездатності, або до вродженої аномалії. Сюди належать серйозні небажані явища, які не одразу призводять до одного з наведених результатів, але потребують інтервенції для запобігання такого результату. Серйозні</w:t>
      </w:r>
    </w:p>
    <w:p w:rsidR="000344A4" w:rsidRDefault="000344A4" w:rsidP="000344A4">
      <w:pPr>
        <w:spacing w:before="120"/>
        <w:jc w:val="both"/>
        <w:rPr>
          <w:rFonts w:asciiTheme="minorHAnsi" w:hAnsiTheme="minorHAnsi" w:cstheme="minorHAnsi"/>
          <w:color w:val="000000"/>
          <w:sz w:val="14"/>
          <w:szCs w:val="16"/>
          <w:vertAlign w:val="superscript"/>
        </w:rPr>
      </w:pPr>
      <w:r>
        <w:rPr>
          <w:rFonts w:asciiTheme="minorHAnsi" w:hAnsiTheme="minorHAnsi" w:cstheme="minorHAnsi"/>
          <w:color w:val="000000"/>
          <w:sz w:val="14"/>
          <w:szCs w:val="16"/>
          <w:u w:val="single"/>
          <w:vertAlign w:val="superscript"/>
        </w:rPr>
        <w:tab/>
      </w:r>
      <w:r>
        <w:rPr>
          <w:rFonts w:asciiTheme="minorHAnsi" w:hAnsiTheme="minorHAnsi" w:cstheme="minorHAnsi"/>
          <w:color w:val="000000"/>
          <w:sz w:val="14"/>
          <w:szCs w:val="16"/>
          <w:u w:val="single"/>
          <w:vertAlign w:val="superscript"/>
        </w:rPr>
        <w:tab/>
      </w:r>
      <w:r>
        <w:rPr>
          <w:rFonts w:asciiTheme="minorHAnsi" w:hAnsiTheme="minorHAnsi" w:cstheme="minorHAnsi"/>
          <w:color w:val="000000"/>
          <w:sz w:val="14"/>
          <w:szCs w:val="16"/>
          <w:u w:val="single"/>
          <w:vertAlign w:val="superscript"/>
        </w:rPr>
        <w:tab/>
      </w:r>
    </w:p>
    <w:p w:rsidR="005C0A87" w:rsidRPr="006263CF" w:rsidRDefault="005C0A87" w:rsidP="000344A4">
      <w:pPr>
        <w:tabs>
          <w:tab w:val="left" w:pos="221"/>
        </w:tabs>
        <w:ind w:left="221" w:hanging="221"/>
        <w:jc w:val="both"/>
        <w:rPr>
          <w:rFonts w:asciiTheme="minorHAnsi" w:hAnsiTheme="minorHAnsi" w:cstheme="minorHAnsi"/>
          <w:sz w:val="18"/>
        </w:rPr>
      </w:pPr>
      <w:r w:rsidRPr="006263CF">
        <w:rPr>
          <w:rFonts w:asciiTheme="minorHAnsi" w:hAnsiTheme="minorHAnsi" w:cstheme="minorHAnsi"/>
          <w:color w:val="000000"/>
          <w:sz w:val="14"/>
          <w:szCs w:val="16"/>
          <w:vertAlign w:val="superscript"/>
        </w:rPr>
        <w:t>2</w:t>
      </w:r>
      <w:r w:rsidRPr="006263CF">
        <w:rPr>
          <w:rFonts w:asciiTheme="minorHAnsi" w:hAnsiTheme="minorHAnsi" w:cstheme="minorHAnsi"/>
          <w:color w:val="000000"/>
          <w:sz w:val="14"/>
          <w:szCs w:val="16"/>
        </w:rPr>
        <w:tab/>
        <w:t>Наприклад, емпірична схема лікування МР-ТБ може використовуватися серед діагностованих хворих на туберкульоз, які близько контактують із хворими на МР/Риф-ТБ та діагноз МР/Риф-ТБ яких ще не підтверджений діагностичним тестом, або з хворими із підтвердженим МР/Риф-ТБ, які все ще чекають на ТМЧ 2-го ряду (наприклад, результати лінійного зонд-аналізу для виявлення стійкості до фторхінолонів). У деяких пацієнтів (наприклад, у дітей або осіб, у яких підтвердився випадок МР/Риф-ТБ) остаточний діагноз не завжди можливо визначити, а розпочинання емпіричної терапії є найкращим варіантом для їхнього прогнозу.</w:t>
      </w:r>
    </w:p>
    <w:p w:rsidR="005C0A87" w:rsidRPr="006263CF" w:rsidRDefault="005C0A87" w:rsidP="006263CF">
      <w:pPr>
        <w:tabs>
          <w:tab w:val="left" w:pos="221"/>
        </w:tabs>
        <w:spacing w:before="38"/>
        <w:ind w:left="221" w:hanging="221"/>
        <w:jc w:val="both"/>
        <w:rPr>
          <w:rFonts w:asciiTheme="minorHAnsi" w:hAnsiTheme="minorHAnsi" w:cstheme="minorHAnsi"/>
          <w:sz w:val="18"/>
        </w:rPr>
      </w:pPr>
      <w:r w:rsidRPr="006263CF">
        <w:rPr>
          <w:rFonts w:asciiTheme="minorHAnsi" w:hAnsiTheme="minorHAnsi" w:cstheme="minorHAnsi"/>
          <w:color w:val="000000"/>
          <w:sz w:val="14"/>
          <w:szCs w:val="16"/>
          <w:vertAlign w:val="superscript"/>
        </w:rPr>
        <w:t>3</w:t>
      </w:r>
      <w:r w:rsidRPr="006263CF">
        <w:rPr>
          <w:rFonts w:asciiTheme="minorHAnsi" w:hAnsiTheme="minorHAnsi" w:cstheme="minorHAnsi"/>
          <w:color w:val="000000"/>
          <w:sz w:val="14"/>
          <w:szCs w:val="16"/>
        </w:rPr>
        <w:tab/>
        <w:t>У разі сумнівів щодо ефективності певного препарату, його все одно можна включити до схеми лікування, але при цьому слід вважати додатковим для цільової кількості необхідних лікарських препаратів (як правило, щонайменше чотирьох ефективних препаратів на початку лікування). У разі сумнівів щодо ефективності часто вимагається клінічне судження для визначення імовірної «ефективності» препарату, а також для визначення чи користь від застосування препарату переважає над будь-якою додатковою токсичністю, кількість отримуваних препаратів або іншими негативними факторами.</w:t>
      </w:r>
    </w:p>
    <w:p w:rsidR="005C0A87" w:rsidRPr="006263CF" w:rsidRDefault="005C0A87" w:rsidP="006263CF">
      <w:pPr>
        <w:tabs>
          <w:tab w:val="left" w:pos="221"/>
        </w:tabs>
        <w:spacing w:before="38"/>
        <w:ind w:left="221" w:hanging="221"/>
        <w:jc w:val="both"/>
        <w:rPr>
          <w:rFonts w:asciiTheme="minorHAnsi" w:hAnsiTheme="minorHAnsi" w:cstheme="minorHAnsi"/>
          <w:sz w:val="18"/>
        </w:rPr>
        <w:sectPr w:rsidR="005C0A87" w:rsidRPr="006263CF" w:rsidSect="005144DA">
          <w:footerReference w:type="default" r:id="rId21"/>
          <w:pgSz w:w="11904" w:h="16838"/>
          <w:pgMar w:top="1344" w:right="1416" w:bottom="43" w:left="1416" w:header="708" w:footer="708" w:gutter="0"/>
          <w:cols w:space="60"/>
          <w:noEndnote/>
        </w:sectPr>
      </w:pPr>
    </w:p>
    <w:p w:rsidR="005C0A87" w:rsidRPr="006263CF" w:rsidRDefault="005C0A87" w:rsidP="006263CF">
      <w:pPr>
        <w:jc w:val="both"/>
        <w:rPr>
          <w:rFonts w:asciiTheme="minorHAnsi" w:hAnsiTheme="minorHAnsi" w:cstheme="minorHAnsi"/>
          <w:sz w:val="18"/>
        </w:rPr>
      </w:pPr>
      <w:r w:rsidRPr="006263CF">
        <w:rPr>
          <w:rFonts w:asciiTheme="minorHAnsi" w:hAnsiTheme="minorHAnsi" w:cstheme="minorHAnsi"/>
          <w:color w:val="000000"/>
          <w:szCs w:val="22"/>
        </w:rPr>
        <w:lastRenderedPageBreak/>
        <w:t>небажані явища можуть вимагати радикальної інтервенції наприклад, припинення застосування лікарського засобу, що імовірно спричинив ці явища.</w:t>
      </w:r>
    </w:p>
    <w:p w:rsidR="005C0A87" w:rsidRPr="006263CF" w:rsidRDefault="005C0A87" w:rsidP="006263CF">
      <w:pPr>
        <w:spacing w:before="139"/>
        <w:jc w:val="both"/>
        <w:rPr>
          <w:rFonts w:asciiTheme="minorHAnsi" w:hAnsiTheme="minorHAnsi" w:cstheme="minorHAnsi"/>
          <w:sz w:val="18"/>
        </w:rPr>
      </w:pPr>
      <w:r w:rsidRPr="006263CF">
        <w:rPr>
          <w:rFonts w:asciiTheme="minorHAnsi" w:hAnsiTheme="minorHAnsi" w:cstheme="minorHAnsi"/>
          <w:b/>
          <w:bCs/>
          <w:i/>
          <w:iCs/>
          <w:color w:val="000000"/>
          <w:szCs w:val="22"/>
        </w:rPr>
        <w:t xml:space="preserve">Операційне дослідження </w:t>
      </w:r>
      <w:r w:rsidRPr="006263CF">
        <w:rPr>
          <w:rFonts w:asciiTheme="minorHAnsi" w:hAnsiTheme="minorHAnsi" w:cstheme="minorHAnsi"/>
          <w:color w:val="000000"/>
          <w:szCs w:val="22"/>
        </w:rPr>
        <w:t xml:space="preserve">або </w:t>
      </w:r>
      <w:r w:rsidRPr="006263CF">
        <w:rPr>
          <w:rFonts w:asciiTheme="minorHAnsi" w:hAnsiTheme="minorHAnsi" w:cstheme="minorHAnsi"/>
          <w:b/>
          <w:bCs/>
          <w:i/>
          <w:iCs/>
          <w:color w:val="000000"/>
          <w:szCs w:val="22"/>
        </w:rPr>
        <w:t xml:space="preserve">дослідження впровадження </w:t>
      </w:r>
      <w:r w:rsidRPr="006263CF">
        <w:rPr>
          <w:rFonts w:asciiTheme="minorHAnsi" w:hAnsiTheme="minorHAnsi" w:cstheme="minorHAnsi"/>
          <w:color w:val="000000"/>
          <w:szCs w:val="22"/>
        </w:rPr>
        <w:t xml:space="preserve">були визначені як «використання методик систематичного дослідження для прийняття програмних рішень для досягнення конкретного результату» </w:t>
      </w:r>
      <w:r w:rsidRPr="006263CF">
        <w:rPr>
          <w:rFonts w:asciiTheme="minorHAnsi" w:hAnsiTheme="minorHAnsi" w:cstheme="minorHAnsi"/>
          <w:i/>
          <w:iCs/>
          <w:color w:val="000000"/>
          <w:szCs w:val="22"/>
        </w:rPr>
        <w:t>(9)</w:t>
      </w:r>
      <w:r w:rsidRPr="006263CF">
        <w:rPr>
          <w:rFonts w:asciiTheme="minorHAnsi" w:hAnsiTheme="minorHAnsi" w:cstheme="minorHAnsi"/>
          <w:color w:val="000000"/>
          <w:szCs w:val="22"/>
        </w:rPr>
        <w:t xml:space="preserve">. У контексті цього документу таке дослідження можна також охарактеризувати як прикладне дослідження, націлене на створення критичної доказової бази, яка сприятиме ефективному, стійкому та послідовному прийнятті інтервенцій в системі охорони здоров’я з метою покращення стану здоров'я або результатів лікування пацієнтів. У ньому розглядається відсутність знань між ефективністю, дієвістю та поточною практикою в цілях досягнення максимальних успіхів у боротьбі із захворюваннями </w:t>
      </w:r>
      <w:r w:rsidRPr="006263CF">
        <w:rPr>
          <w:rFonts w:asciiTheme="minorHAnsi" w:hAnsiTheme="minorHAnsi" w:cstheme="minorHAnsi"/>
          <w:i/>
          <w:iCs/>
          <w:color w:val="000000"/>
          <w:szCs w:val="22"/>
        </w:rPr>
        <w:t>(10)</w:t>
      </w:r>
      <w:r w:rsidRPr="006263CF">
        <w:rPr>
          <w:rFonts w:asciiTheme="minorHAnsi" w:hAnsiTheme="minorHAnsi" w:cstheme="minorHAnsi"/>
          <w:color w:val="000000"/>
          <w:szCs w:val="22"/>
        </w:rPr>
        <w:t xml:space="preserve">. Операційне дослідження також надає директивним органам інформацію, яка дозволяє їм підвищити ефективність своїх програм у галузі охорони здоров'я </w:t>
      </w:r>
      <w:r w:rsidRPr="006263CF">
        <w:rPr>
          <w:rFonts w:asciiTheme="minorHAnsi" w:hAnsiTheme="minorHAnsi" w:cstheme="minorHAnsi"/>
          <w:i/>
          <w:iCs/>
          <w:color w:val="000000"/>
          <w:szCs w:val="22"/>
        </w:rPr>
        <w:t>(11)</w:t>
      </w:r>
      <w:r w:rsidRPr="006263CF">
        <w:rPr>
          <w:rFonts w:asciiTheme="minorHAnsi" w:hAnsiTheme="minorHAnsi" w:cstheme="minorHAnsi"/>
          <w:color w:val="000000"/>
          <w:szCs w:val="22"/>
        </w:rPr>
        <w:t>.</w:t>
      </w:r>
    </w:p>
    <w:p w:rsidR="005C0A87" w:rsidRPr="006263CF" w:rsidRDefault="005C0A87" w:rsidP="006263CF">
      <w:pPr>
        <w:spacing w:before="139"/>
        <w:jc w:val="both"/>
        <w:rPr>
          <w:rFonts w:asciiTheme="minorHAnsi" w:hAnsiTheme="minorHAnsi" w:cstheme="minorHAnsi"/>
          <w:sz w:val="18"/>
        </w:rPr>
        <w:sectPr w:rsidR="005C0A87" w:rsidRPr="006263CF" w:rsidSect="005144DA">
          <w:pgSz w:w="11904" w:h="16838"/>
          <w:pgMar w:top="1349" w:right="1416" w:bottom="7513" w:left="1416" w:header="708" w:footer="708" w:gutter="0"/>
          <w:cols w:space="60"/>
          <w:noEndnote/>
        </w:sectPr>
      </w:pPr>
    </w:p>
    <w:p w:rsidR="005C0A87" w:rsidRPr="006263CF" w:rsidRDefault="00C73DE6" w:rsidP="006263CF">
      <w:pPr>
        <w:rPr>
          <w:rFonts w:asciiTheme="minorHAnsi" w:hAnsiTheme="minorHAnsi" w:cstheme="minorHAnsi"/>
          <w:b/>
          <w:sz w:val="18"/>
        </w:rPr>
      </w:pPr>
      <w:bookmarkStart w:id="5" w:name="bookmark4"/>
      <w:r>
        <w:rPr>
          <w:rFonts w:asciiTheme="minorHAnsi" w:hAnsiTheme="minorHAnsi" w:cstheme="minorHAnsi"/>
          <w:noProof/>
          <w:color w:val="1F61AA"/>
          <w:sz w:val="56"/>
          <w:szCs w:val="64"/>
        </w:rPr>
        <w:lastRenderedPageBreak/>
        <w:drawing>
          <wp:anchor distT="0" distB="0" distL="6400800" distR="6400800" simplePos="0" relativeHeight="251689984" behindDoc="1" locked="0" layoutInCell="0" allowOverlap="1" wp14:anchorId="22724810" wp14:editId="15436495">
            <wp:simplePos x="0" y="0"/>
            <wp:positionH relativeFrom="margin">
              <wp:posOffset>-1214755</wp:posOffset>
            </wp:positionH>
            <wp:positionV relativeFrom="paragraph">
              <wp:posOffset>-1350069</wp:posOffset>
            </wp:positionV>
            <wp:extent cx="8042910" cy="1629410"/>
            <wp:effectExtent l="0" t="0" r="0" b="8890"/>
            <wp:wrapNone/>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42910" cy="162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5C0A87" w:rsidRPr="006263CF">
        <w:rPr>
          <w:rFonts w:asciiTheme="minorHAnsi" w:hAnsiTheme="minorHAnsi" w:cstheme="minorHAnsi"/>
          <w:b/>
          <w:color w:val="1F61AA"/>
          <w:sz w:val="56"/>
          <w:szCs w:val="64"/>
        </w:rPr>
        <w:t>3</w:t>
      </w:r>
      <w:bookmarkEnd w:id="5"/>
      <w:r w:rsidR="005C0A87" w:rsidRPr="006263CF">
        <w:rPr>
          <w:rFonts w:asciiTheme="minorHAnsi" w:hAnsiTheme="minorHAnsi" w:cstheme="minorHAnsi"/>
          <w:b/>
          <w:color w:val="1F61AA"/>
          <w:sz w:val="56"/>
          <w:szCs w:val="64"/>
        </w:rPr>
        <w:t>. Головні особливості при лікуванні лікарсько-стійкого ТБ</w:t>
      </w:r>
    </w:p>
    <w:p w:rsidR="005C0A87" w:rsidRPr="006263CF" w:rsidRDefault="005C0A87" w:rsidP="006263CF">
      <w:pPr>
        <w:spacing w:before="720"/>
        <w:rPr>
          <w:rFonts w:asciiTheme="minorHAnsi" w:hAnsiTheme="minorHAnsi" w:cstheme="minorHAnsi"/>
          <w:sz w:val="18"/>
        </w:rPr>
      </w:pPr>
      <w:bookmarkStart w:id="6" w:name="bookmark5"/>
      <w:r w:rsidRPr="006263CF">
        <w:rPr>
          <w:rFonts w:asciiTheme="minorHAnsi" w:hAnsiTheme="minorHAnsi" w:cstheme="minorHAnsi"/>
          <w:b/>
          <w:bCs/>
          <w:color w:val="1F61AA"/>
          <w:sz w:val="32"/>
          <w:szCs w:val="36"/>
        </w:rPr>
        <w:t>3</w:t>
      </w:r>
      <w:bookmarkEnd w:id="6"/>
      <w:r w:rsidRPr="006263CF">
        <w:rPr>
          <w:rFonts w:asciiTheme="minorHAnsi" w:hAnsiTheme="minorHAnsi" w:cstheme="minorHAnsi"/>
          <w:b/>
          <w:bCs/>
          <w:color w:val="1F61AA"/>
          <w:sz w:val="32"/>
          <w:szCs w:val="36"/>
        </w:rPr>
        <w:t>.1 Доступ до ТМЧ</w:t>
      </w:r>
    </w:p>
    <w:p w:rsidR="005C0A87" w:rsidRPr="006263CF" w:rsidRDefault="005C0A87" w:rsidP="006263CF">
      <w:pPr>
        <w:spacing w:before="110"/>
        <w:jc w:val="both"/>
        <w:rPr>
          <w:rFonts w:asciiTheme="minorHAnsi" w:hAnsiTheme="minorHAnsi" w:cstheme="minorHAnsi"/>
          <w:sz w:val="18"/>
        </w:rPr>
      </w:pPr>
      <w:r w:rsidRPr="006263CF">
        <w:rPr>
          <w:rFonts w:asciiTheme="minorHAnsi" w:hAnsiTheme="minorHAnsi" w:cstheme="minorHAnsi"/>
          <w:color w:val="000000"/>
          <w:szCs w:val="22"/>
        </w:rPr>
        <w:t xml:space="preserve">У діючих керівних принципах лікування лікарсько-стійкого ТБ наголошується на необхідності забезпечення доступу до надійних, якісних ТМЧ, які мають надаватися національними програмами боротьби з туберкульозом (НПБТ) та відповідними лабораторіями, з тим, щоб використовувати рекомендовані ВООЗ методи лікування. За допомогою швидкого молекулярного тесту НПБТ мають все більше можливостей для виявлення МР/Риф-ТБ та інших видів стійкості, а також для використання результатів при прийнятті рішень про лікування </w:t>
      </w:r>
      <w:r w:rsidRPr="006263CF">
        <w:rPr>
          <w:rFonts w:asciiTheme="minorHAnsi" w:hAnsiTheme="minorHAnsi" w:cstheme="minorHAnsi"/>
          <w:i/>
          <w:iCs/>
          <w:color w:val="000000"/>
          <w:szCs w:val="22"/>
        </w:rPr>
        <w:t xml:space="preserve">(12, 13) </w:t>
      </w:r>
      <w:r w:rsidRPr="006263CF">
        <w:rPr>
          <w:rFonts w:asciiTheme="minorHAnsi" w:hAnsiTheme="minorHAnsi" w:cstheme="minorHAnsi"/>
          <w:color w:val="000000"/>
          <w:szCs w:val="22"/>
        </w:rPr>
        <w:t xml:space="preserve">(див. також Розділи 4-7). Отже, швидкий молекулярний тест має бути наявним та доступним, щоб забезпечити ТМЧ принаймні для рифампіцину та фторхінолонів, враховуючи, що ТМЧ для обох цих препаратів являється необхідним при виборі найбільш відповідної початкової схеми лікування. У той час як НПБТ будують потенціал для забезпечення доступу до ТМЧ, вони також повинні зміцнювати потенціал системи нагляду для визначення локальної поширеності лікарсько-стійких туберкульозних штамів та для керівництва програмного менеджменту. Таку інформацію можна точно визначити лише шляхом належного нагляду, незалежно від того, чи ґрунтується він на даних звичайної діагностики ТМЧ у хворих на туберкульоз (тобто безперервного нагляду), чи на результатах спеціальних обстежень, репрезентативних для всього населення, яке хворіє туберкульозом (тобто обстежень лікарської стійкості) </w:t>
      </w:r>
      <w:r w:rsidRPr="006263CF">
        <w:rPr>
          <w:rFonts w:asciiTheme="minorHAnsi" w:hAnsiTheme="minorHAnsi" w:cstheme="minorHAnsi"/>
          <w:i/>
          <w:iCs/>
          <w:color w:val="000000"/>
          <w:szCs w:val="22"/>
        </w:rPr>
        <w:t>(14)</w:t>
      </w:r>
      <w:r w:rsidRPr="006263CF">
        <w:rPr>
          <w:rFonts w:asciiTheme="minorHAnsi" w:hAnsiTheme="minorHAnsi" w:cstheme="minorHAnsi"/>
          <w:color w:val="000000"/>
          <w:szCs w:val="22"/>
        </w:rPr>
        <w:t xml:space="preserve">. Місцеві дані нагляду за стійкістю до лікарських засобів (НСЛЗ) повинні давати точні оцінки частоти виникнення стійкості принаймні до рифампіцину та ізоніазиду у нових пацієнтів, та до фторхінолонів у випадках МР/Риф-ТБ, а також деякій інформації про частоту виникнення стійкості у відповідних підгрупах випадків повторного лікування (наприклад, рецидиви або відсутність ефективності після першого курсу лікування ТБ та повернення до початкового стану після відсутності подальшого спостереження). У деяких дослідженнях лікарської стійкості в даний час в якості основного цільового показника використовується стійкість до рифампіцину, враховуючи, що всі випадки Риф-ТБ мають право на схему лікування МР-ТБ </w:t>
      </w:r>
      <w:r w:rsidRPr="006263CF">
        <w:rPr>
          <w:rFonts w:asciiTheme="minorHAnsi" w:hAnsiTheme="minorHAnsi" w:cstheme="minorHAnsi"/>
          <w:i/>
          <w:iCs/>
          <w:color w:val="000000"/>
          <w:szCs w:val="22"/>
        </w:rPr>
        <w:t>(1, 15)</w:t>
      </w:r>
      <w:r w:rsidRPr="006263CF">
        <w:rPr>
          <w:rFonts w:asciiTheme="minorHAnsi" w:hAnsiTheme="minorHAnsi" w:cstheme="minorHAnsi"/>
          <w:color w:val="000000"/>
          <w:szCs w:val="22"/>
        </w:rPr>
        <w:t>.</w:t>
      </w:r>
    </w:p>
    <w:p w:rsidR="005C0A87" w:rsidRPr="006263CF" w:rsidRDefault="005C0A87" w:rsidP="006263CF">
      <w:pPr>
        <w:spacing w:before="144"/>
        <w:jc w:val="both"/>
        <w:rPr>
          <w:rFonts w:asciiTheme="minorHAnsi" w:hAnsiTheme="minorHAnsi" w:cstheme="minorHAnsi"/>
          <w:sz w:val="18"/>
        </w:rPr>
      </w:pPr>
      <w:r w:rsidRPr="006263CF">
        <w:rPr>
          <w:rFonts w:asciiTheme="minorHAnsi" w:hAnsiTheme="minorHAnsi" w:cstheme="minorHAnsi"/>
          <w:color w:val="000000"/>
          <w:szCs w:val="22"/>
        </w:rPr>
        <w:t xml:space="preserve">ВООЗ рекомендує використовувати затверджений швидкий молекулярний ТМЧ у якості початкового тесту для виявлення медикаментозної резистентності до початку відповідного лікування для всіх хворих на туберкульоз, включаючи нових пацієнтів та пацієнтів, які вже хворіли туберкульозом. Підвищена розпізнаваність медикаментозної резистентності та покращений доступ до молекулярного експрес-тестування призвели до збільшення кількості програм для перевірки стійкості до рифампіцину на початковому етапі лікування ТБ. На додаток до діагностичного тесту Xpert MTB/RIF® для рифампіцину, лінійний зонд-аналіз здатний виявляти мутації, зазвичай пов’язані зі стійкістю до рифампіцину, ізоніазиду, фторхінолонів та ін'єкційних препаратів 2-го ряду. Наразі відсутній швидкий молекулярний тест етамбутолу чи піразинаміду. Результати LPA зазвичай стають доступними протягом декількох днів після проведення тесту, тому їх можна використовувати для визначення початкової схеми лікування Нрез-ТБ або деяких інших форм монорезистентного або полірезистентного туберкульозу. Окрім швидкості виконання аналізу, лінійний зонд-аналіз (LPA) також може надавати інформацію про закономірності мутацій, які здатні впливати на вибір лікування (наприклад, якщо наявна лише мутація </w:t>
      </w:r>
      <w:r w:rsidRPr="006263CF">
        <w:rPr>
          <w:rFonts w:asciiTheme="minorHAnsi" w:hAnsiTheme="minorHAnsi" w:cstheme="minorHAnsi"/>
          <w:i/>
          <w:iCs/>
          <w:color w:val="000000"/>
          <w:szCs w:val="22"/>
        </w:rPr>
        <w:t>inh</w:t>
      </w:r>
      <w:r w:rsidRPr="006263CF">
        <w:rPr>
          <w:rFonts w:asciiTheme="minorHAnsi" w:hAnsiTheme="minorHAnsi" w:cstheme="minorHAnsi"/>
          <w:color w:val="000000"/>
          <w:szCs w:val="22"/>
        </w:rPr>
        <w:t xml:space="preserve">A, можливо, що ізоніазид все ще може бути ефективним у високій дозі, а у разі, якщо наявна лише </w:t>
      </w:r>
      <w:r w:rsidRPr="006263CF">
        <w:rPr>
          <w:rFonts w:asciiTheme="minorHAnsi" w:hAnsiTheme="minorHAnsi" w:cstheme="minorHAnsi"/>
          <w:i/>
          <w:iCs/>
          <w:color w:val="000000"/>
          <w:szCs w:val="22"/>
        </w:rPr>
        <w:t>kat</w:t>
      </w:r>
      <w:r w:rsidRPr="006263CF">
        <w:rPr>
          <w:rFonts w:asciiTheme="minorHAnsi" w:hAnsiTheme="minorHAnsi" w:cstheme="minorHAnsi"/>
          <w:color w:val="000000"/>
          <w:szCs w:val="22"/>
        </w:rPr>
        <w:t xml:space="preserve">G мутація або наявні як </w:t>
      </w:r>
      <w:r w:rsidRPr="006263CF">
        <w:rPr>
          <w:rFonts w:asciiTheme="minorHAnsi" w:hAnsiTheme="minorHAnsi" w:cstheme="minorHAnsi"/>
          <w:i/>
          <w:iCs/>
          <w:color w:val="000000"/>
          <w:szCs w:val="22"/>
        </w:rPr>
        <w:t>inh</w:t>
      </w:r>
      <w:r w:rsidRPr="006263CF">
        <w:rPr>
          <w:rFonts w:asciiTheme="minorHAnsi" w:hAnsiTheme="minorHAnsi" w:cstheme="minorHAnsi"/>
          <w:color w:val="000000"/>
          <w:szCs w:val="22"/>
        </w:rPr>
        <w:t xml:space="preserve">A, так і </w:t>
      </w:r>
      <w:r w:rsidRPr="006263CF">
        <w:rPr>
          <w:rFonts w:asciiTheme="minorHAnsi" w:hAnsiTheme="minorHAnsi" w:cstheme="minorHAnsi"/>
          <w:i/>
          <w:iCs/>
          <w:color w:val="000000"/>
          <w:szCs w:val="22"/>
        </w:rPr>
        <w:t>kat</w:t>
      </w:r>
      <w:r w:rsidRPr="006263CF">
        <w:rPr>
          <w:rFonts w:asciiTheme="minorHAnsi" w:hAnsiTheme="minorHAnsi" w:cstheme="minorHAnsi"/>
          <w:color w:val="000000"/>
          <w:szCs w:val="22"/>
        </w:rPr>
        <w:t xml:space="preserve">G, ізоніазид втрачає ефективність, навіть у високій дозі). У разі виявлення​ стійкості до рифампіцину, слід негайно провести швидкі молекулярні тести на стійкість до ізоніазиду, фторхінолонів та амікацину для того, щоб визначитися із вибором схеми для лікування. </w:t>
      </w:r>
      <w:r w:rsidRPr="006263CF">
        <w:rPr>
          <w:rFonts w:asciiTheme="minorHAnsi" w:hAnsiTheme="minorHAnsi" w:cstheme="minorHAnsi"/>
          <w:i/>
          <w:iCs/>
          <w:color w:val="000000"/>
          <w:szCs w:val="22"/>
        </w:rPr>
        <w:t>(16)</w:t>
      </w:r>
      <w:r w:rsidRPr="006263CF">
        <w:rPr>
          <w:rFonts w:asciiTheme="minorHAnsi" w:hAnsiTheme="minorHAnsi" w:cstheme="minorHAnsi"/>
          <w:color w:val="000000"/>
          <w:szCs w:val="22"/>
        </w:rPr>
        <w:t xml:space="preserve">. Наразі швидкий молекулярний тест як рифампіцину, так і фторхінолонів є широкодоступним; країни накопичили досвід у використанні цих швидких тестів, і, за необхідності, основним донорам надається підтримка в забезпеченні доступу. Комерційно доступні швидкі молекулярні методи (наприклад, LPA 2-го ряду) виявляють близько 85% стійких до фторхінолону ізолятів </w:t>
      </w:r>
      <w:r w:rsidRPr="006263CF">
        <w:rPr>
          <w:rFonts w:asciiTheme="minorHAnsi" w:hAnsiTheme="minorHAnsi" w:cstheme="minorHAnsi"/>
          <w:i/>
          <w:iCs/>
          <w:color w:val="000000"/>
          <w:szCs w:val="22"/>
        </w:rPr>
        <w:t>(13)</w:t>
      </w:r>
      <w:r w:rsidRPr="006263CF">
        <w:rPr>
          <w:rFonts w:asciiTheme="minorHAnsi" w:hAnsiTheme="minorHAnsi" w:cstheme="minorHAnsi"/>
          <w:color w:val="000000"/>
          <w:szCs w:val="22"/>
        </w:rPr>
        <w:t>. Культуральний ТМЧ фторхінолонів</w:t>
      </w:r>
    </w:p>
    <w:p w:rsidR="005C0A87" w:rsidRPr="006263CF" w:rsidRDefault="005C0A87" w:rsidP="006263CF">
      <w:pPr>
        <w:spacing w:before="144"/>
        <w:jc w:val="both"/>
        <w:rPr>
          <w:rFonts w:asciiTheme="minorHAnsi" w:hAnsiTheme="minorHAnsi" w:cstheme="minorHAnsi"/>
          <w:sz w:val="18"/>
        </w:rPr>
        <w:sectPr w:rsidR="005C0A87" w:rsidRPr="006263CF" w:rsidSect="005144DA">
          <w:footerReference w:type="default" r:id="rId22"/>
          <w:pgSz w:w="11904" w:h="16838"/>
          <w:pgMar w:top="2117" w:right="1416" w:bottom="0" w:left="1416" w:header="708" w:footer="708" w:gutter="0"/>
          <w:cols w:space="60"/>
          <w:noEndnote/>
        </w:sectPr>
      </w:pPr>
    </w:p>
    <w:p w:rsidR="005C0A87" w:rsidRPr="006263CF" w:rsidRDefault="005C0A87" w:rsidP="006263CF">
      <w:pPr>
        <w:jc w:val="both"/>
        <w:rPr>
          <w:rFonts w:asciiTheme="minorHAnsi" w:hAnsiTheme="minorHAnsi" w:cstheme="minorHAnsi"/>
          <w:sz w:val="18"/>
        </w:rPr>
      </w:pPr>
      <w:r w:rsidRPr="006263CF">
        <w:rPr>
          <w:rFonts w:asciiTheme="minorHAnsi" w:hAnsiTheme="minorHAnsi" w:cstheme="minorHAnsi"/>
          <w:color w:val="000000"/>
          <w:szCs w:val="22"/>
        </w:rPr>
        <w:lastRenderedPageBreak/>
        <w:t>слід враховувати при високому поширенні стійкості до цих лікарських засобів або за наявності підозри на стійкість, незважаючи на те, що результати молекулярних тестів негативні.</w:t>
      </w:r>
    </w:p>
    <w:p w:rsidR="005C0A87" w:rsidRPr="006263CF" w:rsidRDefault="005C0A87" w:rsidP="000344A4">
      <w:pPr>
        <w:spacing w:before="40"/>
        <w:jc w:val="both"/>
        <w:rPr>
          <w:rFonts w:asciiTheme="minorHAnsi" w:hAnsiTheme="minorHAnsi" w:cstheme="minorHAnsi"/>
          <w:sz w:val="18"/>
        </w:rPr>
      </w:pPr>
      <w:r w:rsidRPr="006263CF">
        <w:rPr>
          <w:rFonts w:asciiTheme="minorHAnsi" w:hAnsiTheme="minorHAnsi" w:cstheme="minorHAnsi"/>
          <w:color w:val="000000"/>
          <w:szCs w:val="22"/>
        </w:rPr>
        <w:t xml:space="preserve">Державні програми повинні працювати над створенням ТМЧ для всіх протитуберкульозних препаратів, для яких на даний час існують узгоджені надійні та відтворювані методи (наприклад, для бедаквіліну, лінезоліду, клофазиміну, деламаніду та піразинаміду). Критичні концентрації для різних лікарських засобів були або встановлені вперше (бедаквілін, деламанід, клофазимін та лінезолід), або переглянуті (фторхінолони) у технічній консультації ВООЗ у 2017 році </w:t>
      </w:r>
      <w:r w:rsidRPr="006263CF">
        <w:rPr>
          <w:rFonts w:asciiTheme="minorHAnsi" w:hAnsiTheme="minorHAnsi" w:cstheme="minorHAnsi"/>
          <w:i/>
          <w:iCs/>
          <w:color w:val="000000"/>
          <w:szCs w:val="22"/>
        </w:rPr>
        <w:t>(17)</w:t>
      </w:r>
      <w:r w:rsidRPr="006263CF">
        <w:rPr>
          <w:rFonts w:asciiTheme="minorHAnsi" w:hAnsiTheme="minorHAnsi" w:cstheme="minorHAnsi"/>
          <w:color w:val="000000"/>
          <w:szCs w:val="22"/>
        </w:rPr>
        <w:t xml:space="preserve">. У разі доступності, цільове або повне геномне секвенування (або секвенування гену </w:t>
      </w:r>
      <w:r w:rsidRPr="006263CF">
        <w:rPr>
          <w:rFonts w:asciiTheme="minorHAnsi" w:hAnsiTheme="minorHAnsi" w:cstheme="minorHAnsi"/>
          <w:i/>
          <w:iCs/>
          <w:color w:val="000000"/>
          <w:szCs w:val="22"/>
        </w:rPr>
        <w:t xml:space="preserve">pncA </w:t>
      </w:r>
      <w:r w:rsidRPr="006263CF">
        <w:rPr>
          <w:rFonts w:asciiTheme="minorHAnsi" w:hAnsiTheme="minorHAnsi" w:cstheme="minorHAnsi"/>
          <w:color w:val="000000"/>
          <w:szCs w:val="22"/>
        </w:rPr>
        <w:t xml:space="preserve">) буде використано в якості еталонного методу для виявлення стійкості до піразинаміду. Чутливість до етіонаміду/протіонаміду частково можна визначити, ґрунтуючись на результатах молекулярного тесту на стійкість до ізоніазиду (тобто, наявності мутацій у промоторній ділянці гену </w:t>
      </w:r>
      <w:r w:rsidRPr="006263CF">
        <w:rPr>
          <w:rFonts w:asciiTheme="minorHAnsi" w:hAnsiTheme="minorHAnsi" w:cstheme="minorHAnsi"/>
          <w:i/>
          <w:iCs/>
          <w:color w:val="000000"/>
          <w:szCs w:val="22"/>
        </w:rPr>
        <w:t xml:space="preserve">inhA </w:t>
      </w:r>
      <w:r w:rsidRPr="006263CF">
        <w:rPr>
          <w:rFonts w:asciiTheme="minorHAnsi" w:hAnsiTheme="minorHAnsi" w:cstheme="minorHAnsi"/>
          <w:color w:val="000000"/>
          <w:szCs w:val="22"/>
        </w:rPr>
        <w:t xml:space="preserve">) за допомогою аналізу LPA. ТМЧ за фенотиповим методом не рекомендується проводити регулярно для таких препаратів: циклосерину/теризідону, етамбутолу, етіонаміду/протіонаміду, іміпенему/меропенему або </w:t>
      </w:r>
      <w:r w:rsidRPr="006263CF">
        <w:rPr>
          <w:rFonts w:asciiTheme="minorHAnsi" w:hAnsiTheme="minorHAnsi" w:cstheme="minorHAnsi"/>
          <w:i/>
          <w:iCs/>
          <w:color w:val="000000"/>
          <w:szCs w:val="22"/>
        </w:rPr>
        <w:t>п</w:t>
      </w:r>
      <w:r w:rsidRPr="006263CF">
        <w:rPr>
          <w:rFonts w:asciiTheme="minorHAnsi" w:hAnsiTheme="minorHAnsi" w:cstheme="minorHAnsi"/>
          <w:color w:val="000000"/>
          <w:szCs w:val="22"/>
        </w:rPr>
        <w:t xml:space="preserve">-аміносаліцилової кислоти, оскільки результати можуть виявитися недостовірними </w:t>
      </w:r>
      <w:r w:rsidRPr="006263CF">
        <w:rPr>
          <w:rFonts w:asciiTheme="minorHAnsi" w:hAnsiTheme="minorHAnsi" w:cstheme="minorHAnsi"/>
          <w:i/>
          <w:iCs/>
          <w:color w:val="000000"/>
          <w:szCs w:val="22"/>
        </w:rPr>
        <w:t>(16)</w:t>
      </w:r>
      <w:r w:rsidRPr="006263CF">
        <w:rPr>
          <w:rFonts w:asciiTheme="minorHAnsi" w:hAnsiTheme="minorHAnsi" w:cstheme="minorHAnsi"/>
          <w:color w:val="000000"/>
          <w:szCs w:val="22"/>
        </w:rPr>
        <w:t>.</w:t>
      </w:r>
    </w:p>
    <w:p w:rsidR="005C0A87" w:rsidRPr="006263CF" w:rsidRDefault="005C0A87" w:rsidP="000344A4">
      <w:pPr>
        <w:spacing w:before="40"/>
        <w:jc w:val="both"/>
        <w:rPr>
          <w:rFonts w:asciiTheme="minorHAnsi" w:hAnsiTheme="minorHAnsi" w:cstheme="minorHAnsi"/>
          <w:sz w:val="18"/>
        </w:rPr>
      </w:pPr>
      <w:r w:rsidRPr="006263CF">
        <w:rPr>
          <w:rFonts w:asciiTheme="minorHAnsi" w:hAnsiTheme="minorHAnsi" w:cstheme="minorHAnsi"/>
          <w:color w:val="000000"/>
          <w:szCs w:val="22"/>
        </w:rPr>
        <w:t xml:space="preserve">Неможливість регулярного проведення ТМЧ для всіх пацієнтів, незважаючи на всі можливі зусилля, не повинна бути перешкодою для початку життєзберігаючої схеми лікування МР-ТБ, але завжди повинна розглядатися у контексті потенційного ризику призначення неефективного лікування та посилення медикаментозної резистентності з подальшим зниженням імовірності успішного результату лікування. Якщо ТМЧ все ще недоступний для протитуберкульозних препаратів 2-го ряду, лікар або керівник програми боротьби з туберкульозом повинні оцінити ймовірність ефективності використовуваних лікарських препаратів із врахуванням історії використання пацієнтом протитуберкульозних препаратів 2-го ряду, лікарсько-стійкого контакту або нульового пацієнта, а також останніх репрезентативних даних спостереження стосовно лікарської стійкості. Саме тому, при розробці схеми лікування слід враховувати достовірну клінічну історію експозиції протитуберкульозних препаратів 2-го ряду, при цьому анамнез захворювання не слід вважати основним джерелом доказів, яким можна керуватися при клінічному судженні. Для дітей не завжди є можливість отримати результат TМЧ внаслідок труднощів із отриманням належного зразка або відсутності бактеріологічного підтвердження. Відповідно, розробка лікування зазвичай відбувається на основі лікарсько-стійкої схеми із нульовим пацієнтом. У разі відсутності індивідуального ТМЧ, відповідні дані нагляду стають ключовими для обґрунтування вибору та розробки схем лікування МР-ТБ. На додаток до результатів нагляду за стійкістю до протитуберкульозних препаратів, лікарям важливо знати, які лікарські препарати часто використовувались у певних географічних умовах або групах пацієнтів. Якщо ТМЧ відсутні у звичайному доступі для окремих пацієнтів, можна розглянути можливість зберігання ізолятів </w:t>
      </w:r>
      <w:r w:rsidRPr="006263CF">
        <w:rPr>
          <w:rFonts w:asciiTheme="minorHAnsi" w:hAnsiTheme="minorHAnsi" w:cstheme="minorHAnsi"/>
          <w:i/>
          <w:iCs/>
          <w:color w:val="000000"/>
          <w:szCs w:val="22"/>
        </w:rPr>
        <w:t xml:space="preserve">M. tuberculosis, </w:t>
      </w:r>
      <w:r w:rsidRPr="006263CF">
        <w:rPr>
          <w:rFonts w:asciiTheme="minorHAnsi" w:hAnsiTheme="minorHAnsi" w:cstheme="minorHAnsi"/>
          <w:color w:val="000000"/>
          <w:szCs w:val="22"/>
        </w:rPr>
        <w:t>зібраних на початковому рівні або під час моніторингу лікування з метою забезпечення повногеномного секвенування у разі неефективності лікування.</w:t>
      </w:r>
    </w:p>
    <w:p w:rsidR="005C0A87" w:rsidRPr="006263CF" w:rsidRDefault="005C0A87" w:rsidP="000344A4">
      <w:pPr>
        <w:spacing w:before="40"/>
        <w:jc w:val="both"/>
        <w:rPr>
          <w:rFonts w:asciiTheme="minorHAnsi" w:hAnsiTheme="minorHAnsi" w:cstheme="minorHAnsi"/>
          <w:sz w:val="18"/>
        </w:rPr>
      </w:pPr>
      <w:r w:rsidRPr="006263CF">
        <w:rPr>
          <w:rFonts w:asciiTheme="minorHAnsi" w:hAnsiTheme="minorHAnsi" w:cstheme="minorHAnsi"/>
          <w:color w:val="000000"/>
          <w:szCs w:val="22"/>
        </w:rPr>
        <w:t xml:space="preserve">Результати ТМЧ, як правило, використовуються для визначення вибору хіміотерапії у схемах лікування ТБ та МР-ТБ. При ґрунтуванні на лабораторних роботах, що гарантують зовнішню якість, ТМЧ до ізоніазиду, рифампіцину та фторхінолонів вважаються найбільш корисними для клінічних цілей. ТМЧ фенотиповим методом (у пробірці з індикатором росту мікобактерій) для бедаквіліну, лінезоліду, клофазиміну, піразинаміду та деламаніду наразі також були валідовані </w:t>
      </w:r>
      <w:r w:rsidRPr="006263CF">
        <w:rPr>
          <w:rFonts w:asciiTheme="minorHAnsi" w:hAnsiTheme="minorHAnsi" w:cstheme="minorHAnsi"/>
          <w:i/>
          <w:iCs/>
          <w:color w:val="000000"/>
          <w:szCs w:val="22"/>
        </w:rPr>
        <w:t>(16, 17)</w:t>
      </w:r>
      <w:r w:rsidRPr="006263CF">
        <w:rPr>
          <w:rFonts w:asciiTheme="minorHAnsi" w:hAnsiTheme="minorHAnsi" w:cstheme="minorHAnsi"/>
          <w:color w:val="000000"/>
          <w:szCs w:val="22"/>
        </w:rPr>
        <w:t xml:space="preserve">. Мутації в промоторній ділянці гену </w:t>
      </w:r>
      <w:r w:rsidRPr="006263CF">
        <w:rPr>
          <w:rFonts w:asciiTheme="minorHAnsi" w:hAnsiTheme="minorHAnsi" w:cstheme="minorHAnsi"/>
          <w:i/>
          <w:iCs/>
          <w:color w:val="000000"/>
          <w:szCs w:val="22"/>
        </w:rPr>
        <w:t>inh</w:t>
      </w:r>
      <w:r w:rsidRPr="006263CF">
        <w:rPr>
          <w:rFonts w:asciiTheme="minorHAnsi" w:hAnsiTheme="minorHAnsi" w:cstheme="minorHAnsi"/>
          <w:color w:val="000000"/>
          <w:szCs w:val="22"/>
        </w:rPr>
        <w:t>A виявляються за допомогою LPA 1-го ряду, ці мутації забезпечують стійкість до тіонамідів. Швидка імплементація та використання цих методів необхідні для забезпечення раціональної антимікробної терапії та супроводження переходу до нових схем лікування. Стандартизований метод TМЧ для претоманіду знаходиться на стадії розробки та буде доступний найближчим часом. Необхідно в пріоритетній послідовності створити можливість для проведення тестів для щонайменше бедаквіліну та лінезоліду. Однак, прийняття й впровадження схеми лікування (згідно з нещодавніми рекомендаціями ВООЗ) може та повинно тривати в період створення цієї можливості для проведення ТМЧ.</w:t>
      </w:r>
    </w:p>
    <w:p w:rsidR="005C0A87" w:rsidRPr="006263CF" w:rsidRDefault="005C0A87" w:rsidP="000344A4">
      <w:pPr>
        <w:spacing w:before="40"/>
        <w:jc w:val="both"/>
        <w:rPr>
          <w:rFonts w:asciiTheme="minorHAnsi" w:hAnsiTheme="minorHAnsi" w:cstheme="minorHAnsi"/>
          <w:sz w:val="18"/>
        </w:rPr>
      </w:pPr>
      <w:r w:rsidRPr="006263CF">
        <w:rPr>
          <w:rFonts w:asciiTheme="minorHAnsi" w:hAnsiTheme="minorHAnsi" w:cstheme="minorHAnsi"/>
          <w:color w:val="000000"/>
          <w:szCs w:val="22"/>
        </w:rPr>
        <w:t xml:space="preserve">ТМЧ фенотиповим методом для етамбутолу, етіонаміду та протіонаміду може бути неточним та не відтворюваним, особливо в умовах, що не забезпечують належні гарантії зовнішньої якості. Більш того, погоджені методи ТМЧ для деяких інших лікарських засобів 2-го ряду (наприклад, циклосерину/теризідону, іміпенем-циластатину/меропенему та ПАС кислоти) не були встановлені </w:t>
      </w:r>
      <w:r w:rsidRPr="006263CF">
        <w:rPr>
          <w:rFonts w:asciiTheme="minorHAnsi" w:hAnsiTheme="minorHAnsi" w:cstheme="minorHAnsi"/>
          <w:i/>
          <w:iCs/>
          <w:color w:val="000000"/>
          <w:szCs w:val="22"/>
        </w:rPr>
        <w:t>(16)</w:t>
      </w:r>
      <w:r w:rsidRPr="006263CF">
        <w:rPr>
          <w:rFonts w:asciiTheme="minorHAnsi" w:hAnsiTheme="minorHAnsi" w:cstheme="minorHAnsi"/>
          <w:color w:val="000000"/>
          <w:szCs w:val="22"/>
        </w:rPr>
        <w:t>.</w:t>
      </w:r>
    </w:p>
    <w:p w:rsidR="005C0A87" w:rsidRPr="006263CF" w:rsidRDefault="005C0A87" w:rsidP="000344A4">
      <w:pPr>
        <w:spacing w:before="40"/>
        <w:jc w:val="both"/>
        <w:rPr>
          <w:rFonts w:asciiTheme="minorHAnsi" w:hAnsiTheme="minorHAnsi" w:cstheme="minorHAnsi"/>
          <w:sz w:val="18"/>
        </w:rPr>
      </w:pPr>
      <w:r w:rsidRPr="006263CF">
        <w:rPr>
          <w:rFonts w:asciiTheme="minorHAnsi" w:hAnsiTheme="minorHAnsi" w:cstheme="minorHAnsi"/>
          <w:color w:val="000000"/>
          <w:szCs w:val="22"/>
        </w:rPr>
        <w:t xml:space="preserve">Незважаючи на деякі невизначеності щодо ТМЧ, НПБТ повинні спрямовуватися на перевірку медикаментозної резистентності та обмеження емпіричної терапії до мінімуму. Клінічна відповідь на лікування пацієнта має завжди знаходитись під ретельним моніторингом. У разі поганої відповіді на лікування, слід враховувати недіагностовану стійкість, а також альтернативні пояснення неефективної відповіді на лікування (наприклад, погана або нестійка прихильність до лікування, запальний синдром відновлення імунітету (ЗСВІ) або наявність супутніх захворювань) </w:t>
      </w:r>
      <w:r w:rsidRPr="006263CF">
        <w:rPr>
          <w:rFonts w:asciiTheme="minorHAnsi" w:hAnsiTheme="minorHAnsi" w:cstheme="minorHAnsi"/>
          <w:i/>
          <w:iCs/>
          <w:color w:val="000000"/>
          <w:szCs w:val="22"/>
        </w:rPr>
        <w:t>(18)</w:t>
      </w:r>
      <w:r w:rsidRPr="006263CF">
        <w:rPr>
          <w:rFonts w:asciiTheme="minorHAnsi" w:hAnsiTheme="minorHAnsi" w:cstheme="minorHAnsi"/>
          <w:color w:val="000000"/>
          <w:szCs w:val="22"/>
        </w:rPr>
        <w:t>.</w:t>
      </w:r>
    </w:p>
    <w:p w:rsidR="005C0A87" w:rsidRPr="006263CF" w:rsidRDefault="005C0A87" w:rsidP="006263CF">
      <w:pPr>
        <w:spacing w:before="144"/>
        <w:jc w:val="both"/>
        <w:rPr>
          <w:rFonts w:asciiTheme="minorHAnsi" w:hAnsiTheme="minorHAnsi" w:cstheme="minorHAnsi"/>
          <w:sz w:val="18"/>
        </w:rPr>
        <w:sectPr w:rsidR="005C0A87" w:rsidRPr="006263CF" w:rsidSect="00445738">
          <w:pgSz w:w="11904" w:h="16838"/>
          <w:pgMar w:top="1349" w:right="1416" w:bottom="284" w:left="1416" w:header="708" w:footer="708" w:gutter="0"/>
          <w:cols w:space="60"/>
          <w:noEndnote/>
        </w:sectPr>
      </w:pPr>
    </w:p>
    <w:p w:rsidR="005C0A87" w:rsidRPr="006263CF" w:rsidRDefault="005C0A87" w:rsidP="006263CF">
      <w:pPr>
        <w:tabs>
          <w:tab w:val="left" w:pos="614"/>
        </w:tabs>
        <w:ind w:right="5"/>
        <w:jc w:val="both"/>
        <w:rPr>
          <w:rFonts w:asciiTheme="minorHAnsi" w:hAnsiTheme="minorHAnsi" w:cstheme="minorHAnsi"/>
          <w:sz w:val="18"/>
        </w:rPr>
      </w:pPr>
      <w:bookmarkStart w:id="7" w:name="bookmark6"/>
      <w:r w:rsidRPr="006263CF">
        <w:rPr>
          <w:rFonts w:asciiTheme="minorHAnsi" w:hAnsiTheme="minorHAnsi" w:cstheme="minorHAnsi"/>
          <w:b/>
          <w:bCs/>
          <w:color w:val="1F61AA"/>
          <w:sz w:val="36"/>
          <w:szCs w:val="38"/>
        </w:rPr>
        <w:lastRenderedPageBreak/>
        <w:t>3</w:t>
      </w:r>
      <w:bookmarkEnd w:id="7"/>
      <w:r w:rsidRPr="006263CF">
        <w:rPr>
          <w:rFonts w:asciiTheme="minorHAnsi" w:hAnsiTheme="minorHAnsi" w:cstheme="minorHAnsi"/>
          <w:b/>
          <w:bCs/>
          <w:color w:val="1F61AA"/>
          <w:sz w:val="36"/>
          <w:szCs w:val="38"/>
        </w:rPr>
        <w:t>.2</w:t>
      </w:r>
      <w:r w:rsidRPr="006263CF">
        <w:rPr>
          <w:rFonts w:asciiTheme="minorHAnsi" w:hAnsiTheme="minorHAnsi" w:cstheme="minorHAnsi"/>
          <w:b/>
          <w:bCs/>
          <w:color w:val="1F61AA"/>
          <w:sz w:val="36"/>
          <w:szCs w:val="38"/>
        </w:rPr>
        <w:tab/>
        <w:t>Моніторинг та управління безпекою, забезпечення підтримки пацієнтів та ведення супутніх захворювань</w:t>
      </w:r>
    </w:p>
    <w:p w:rsidR="005C0A87" w:rsidRPr="006263CF" w:rsidRDefault="005C0A87" w:rsidP="006263CF">
      <w:pPr>
        <w:spacing w:before="106"/>
        <w:jc w:val="both"/>
        <w:rPr>
          <w:rFonts w:asciiTheme="minorHAnsi" w:hAnsiTheme="minorHAnsi" w:cstheme="minorHAnsi"/>
          <w:sz w:val="18"/>
        </w:rPr>
      </w:pPr>
      <w:r w:rsidRPr="006263CF">
        <w:rPr>
          <w:rFonts w:asciiTheme="minorHAnsi" w:hAnsiTheme="minorHAnsi" w:cstheme="minorHAnsi"/>
          <w:color w:val="000000"/>
          <w:szCs w:val="22"/>
        </w:rPr>
        <w:t xml:space="preserve">Усі види лікування повинні проводитися відповідно до рекомендованих стандартів ВООЗ, включаючи допомогу та підтримку, орієнтовані на пацієнта, за необхідності, усвідомлену згоду, принципи належної клінічної практики, aDSM для активної форми туберкульозу та регулярний моніторинг пацієнтів для оцінки ефективності схеми лікування. Медичні працівники повинні запропонувати ретельне клінічне та бактеріологічне спостереження, щоб оцінити відповідь на лікування туберкульозу, із загальною лабораторною підтримкою для контролю та управління небажаними явищами та супутніми захворюваннями. Надання соціальної підтримки має важливе значення для забезпечення прихильності до лікування </w:t>
      </w:r>
      <w:r w:rsidRPr="006263CF">
        <w:rPr>
          <w:rFonts w:asciiTheme="minorHAnsi" w:hAnsiTheme="minorHAnsi" w:cstheme="minorHAnsi"/>
          <w:i/>
          <w:iCs/>
          <w:color w:val="000000"/>
          <w:szCs w:val="22"/>
        </w:rPr>
        <w:t>(5)</w:t>
      </w:r>
      <w:r w:rsidRPr="006263CF">
        <w:rPr>
          <w:rFonts w:asciiTheme="minorHAnsi" w:hAnsiTheme="minorHAnsi" w:cstheme="minorHAnsi"/>
          <w:color w:val="000000"/>
          <w:szCs w:val="22"/>
        </w:rPr>
        <w:t xml:space="preserve">. Певні програмні компоненти (наприклад, aDSM) </w:t>
      </w:r>
      <w:r w:rsidRPr="006263CF">
        <w:rPr>
          <w:rFonts w:asciiTheme="minorHAnsi" w:hAnsiTheme="minorHAnsi" w:cstheme="minorHAnsi"/>
          <w:i/>
          <w:iCs/>
          <w:color w:val="000000"/>
          <w:szCs w:val="22"/>
        </w:rPr>
        <w:t xml:space="preserve">(5, 19) </w:t>
      </w:r>
      <w:r w:rsidRPr="006263CF">
        <w:rPr>
          <w:rFonts w:asciiTheme="minorHAnsi" w:hAnsiTheme="minorHAnsi" w:cstheme="minorHAnsi"/>
          <w:color w:val="000000"/>
          <w:szCs w:val="22"/>
        </w:rPr>
        <w:t>рекомендуються для всіх пацієнтів на будь-якій схемі лікування МР-ТБ. У медичну карту лікування пацієнта слід включити відповідний графік лабораторних досліджень та клінічних обстежень для виявлення небажаних явищ</w:t>
      </w:r>
      <w:r w:rsidRPr="006263CF">
        <w:rPr>
          <w:rFonts w:asciiTheme="minorHAnsi" w:hAnsiTheme="minorHAnsi" w:cstheme="minorHAnsi"/>
          <w:i/>
          <w:iCs/>
          <w:color w:val="000000"/>
          <w:szCs w:val="22"/>
        </w:rPr>
        <w:t>(5)</w:t>
      </w:r>
      <w:r w:rsidRPr="006263CF">
        <w:rPr>
          <w:rFonts w:asciiTheme="minorHAnsi" w:hAnsiTheme="minorHAnsi" w:cstheme="minorHAnsi"/>
          <w:color w:val="000000"/>
          <w:szCs w:val="22"/>
        </w:rPr>
        <w:t xml:space="preserve">. У деяких умовах, при яких aDSM не розроблена, а національні настанови оновлені ще не повною мірою, пацієнтів не слід змушувати чекати, поки повністю сформують компоненти програми, перш ніж вони зможуть отримати потенційно життєзабезпечуючі інтервенції. Консолідовані настанови ВООЗ також підкріплюють повідомлення про те, що підтримка пацієнтів є критичною для належної прихильності та покращення результатів лікування </w:t>
      </w:r>
      <w:r w:rsidRPr="006263CF">
        <w:rPr>
          <w:rFonts w:asciiTheme="minorHAnsi" w:hAnsiTheme="minorHAnsi" w:cstheme="minorHAnsi"/>
          <w:i/>
          <w:iCs/>
          <w:color w:val="000000"/>
          <w:szCs w:val="22"/>
        </w:rPr>
        <w:t>(1)</w:t>
      </w:r>
      <w:r w:rsidRPr="006263CF">
        <w:rPr>
          <w:rFonts w:asciiTheme="minorHAnsi" w:hAnsiTheme="minorHAnsi" w:cstheme="minorHAnsi"/>
          <w:color w:val="000000"/>
          <w:szCs w:val="22"/>
        </w:rPr>
        <w:t>.</w:t>
      </w:r>
    </w:p>
    <w:p w:rsidR="005C0A87" w:rsidRPr="006263CF" w:rsidRDefault="005C0A87" w:rsidP="006263CF">
      <w:pPr>
        <w:tabs>
          <w:tab w:val="left" w:pos="614"/>
        </w:tabs>
        <w:spacing w:before="278"/>
        <w:rPr>
          <w:rFonts w:asciiTheme="minorHAnsi" w:hAnsiTheme="minorHAnsi" w:cstheme="minorHAnsi"/>
          <w:sz w:val="18"/>
        </w:rPr>
      </w:pPr>
      <w:r w:rsidRPr="006263CF">
        <w:rPr>
          <w:rFonts w:asciiTheme="minorHAnsi" w:hAnsiTheme="minorHAnsi" w:cstheme="minorHAnsi"/>
          <w:b/>
          <w:bCs/>
          <w:color w:val="1F61AA"/>
          <w:sz w:val="36"/>
          <w:szCs w:val="38"/>
        </w:rPr>
        <w:t>3.3</w:t>
      </w:r>
      <w:r w:rsidRPr="006263CF">
        <w:rPr>
          <w:rFonts w:asciiTheme="minorHAnsi" w:hAnsiTheme="minorHAnsi" w:cstheme="minorHAnsi"/>
          <w:b/>
          <w:bCs/>
          <w:color w:val="1F61AA"/>
          <w:sz w:val="36"/>
          <w:szCs w:val="38"/>
        </w:rPr>
        <w:tab/>
        <w:t>Варіанти схем лікування лікарсько-стійкого ТБ</w:t>
      </w:r>
    </w:p>
    <w:p w:rsidR="005C0A87" w:rsidRPr="006263CF" w:rsidRDefault="005C0A87" w:rsidP="006263CF">
      <w:pPr>
        <w:spacing w:before="110"/>
        <w:ind w:right="5"/>
        <w:jc w:val="both"/>
        <w:rPr>
          <w:rFonts w:asciiTheme="minorHAnsi" w:hAnsiTheme="minorHAnsi" w:cstheme="minorHAnsi"/>
          <w:sz w:val="18"/>
        </w:rPr>
      </w:pPr>
      <w:r w:rsidRPr="006263CF">
        <w:rPr>
          <w:rFonts w:asciiTheme="minorHAnsi" w:hAnsiTheme="minorHAnsi" w:cstheme="minorHAnsi"/>
          <w:color w:val="000000"/>
          <w:szCs w:val="22"/>
        </w:rPr>
        <w:t>Позначення схем лікування, які використовуються в таблицях та в цьому документі, вказують кількість місяців, протягом яких застосовується відповідна комбінація лікарських препаратів; якщо певні лікарські засоби застосовуються протягом різної тривалості, це також відзначається за допомогою підпису у дужках. Нижче наведено приклади позначень схем лікування:</w:t>
      </w:r>
    </w:p>
    <w:p w:rsidR="005C0A87" w:rsidRPr="006263CF" w:rsidRDefault="005C0A87" w:rsidP="006263CF">
      <w:pPr>
        <w:numPr>
          <w:ilvl w:val="0"/>
          <w:numId w:val="9"/>
        </w:numPr>
        <w:tabs>
          <w:tab w:val="left" w:pos="240"/>
        </w:tabs>
        <w:spacing w:before="144"/>
        <w:ind w:left="240" w:right="5" w:hanging="240"/>
        <w:jc w:val="both"/>
        <w:rPr>
          <w:rFonts w:asciiTheme="minorHAnsi" w:eastAsia="Times New Roman" w:hAnsiTheme="minorHAnsi" w:cstheme="minorHAnsi"/>
          <w:color w:val="1F61AA"/>
          <w:szCs w:val="22"/>
        </w:rPr>
      </w:pPr>
      <w:r w:rsidRPr="006263CF">
        <w:rPr>
          <w:rFonts w:asciiTheme="minorHAnsi" w:hAnsiTheme="minorHAnsi" w:cstheme="minorHAnsi"/>
          <w:color w:val="000000"/>
          <w:szCs w:val="22"/>
        </w:rPr>
        <w:t xml:space="preserve">Схема лікування ізоніазид-резистентного туберкульозу: </w:t>
      </w:r>
      <w:r w:rsidRPr="006263CF">
        <w:rPr>
          <w:rFonts w:asciiTheme="minorHAnsi" w:hAnsiTheme="minorHAnsi" w:cstheme="minorHAnsi"/>
          <w:b/>
          <w:bCs/>
          <w:color w:val="000000"/>
          <w:szCs w:val="22"/>
        </w:rPr>
        <w:t xml:space="preserve">6 (H)REZ-Lfx </w:t>
      </w:r>
      <w:r w:rsidRPr="006263CF">
        <w:rPr>
          <w:rFonts w:asciiTheme="minorHAnsi" w:hAnsiTheme="minorHAnsi" w:cstheme="minorHAnsi"/>
          <w:color w:val="000000"/>
          <w:szCs w:val="22"/>
        </w:rPr>
        <w:t>(6-місячна схема лікування, що складається з рифампіцину, етамбутолу, піразинаміду, левофлоксацину. Ізоніазид можна додавати при застосуванні 4-КПФД (HREZ).</w:t>
      </w:r>
    </w:p>
    <w:p w:rsidR="005C0A87" w:rsidRPr="006263CF" w:rsidRDefault="005C0A87" w:rsidP="006263CF">
      <w:pPr>
        <w:numPr>
          <w:ilvl w:val="0"/>
          <w:numId w:val="9"/>
        </w:numPr>
        <w:tabs>
          <w:tab w:val="left" w:pos="240"/>
        </w:tabs>
        <w:ind w:left="240" w:right="5" w:hanging="240"/>
        <w:jc w:val="both"/>
        <w:rPr>
          <w:rFonts w:asciiTheme="minorHAnsi" w:eastAsia="Times New Roman" w:hAnsiTheme="minorHAnsi" w:cstheme="minorHAnsi"/>
          <w:color w:val="1F61AA"/>
          <w:szCs w:val="22"/>
        </w:rPr>
      </w:pPr>
      <w:r w:rsidRPr="006263CF">
        <w:rPr>
          <w:rFonts w:asciiTheme="minorHAnsi" w:hAnsiTheme="minorHAnsi" w:cstheme="minorHAnsi"/>
          <w:color w:val="000000"/>
          <w:szCs w:val="22"/>
        </w:rPr>
        <w:t xml:space="preserve">Короткострокова схема лікування МР/Риф-ТБ: </w:t>
      </w:r>
      <w:r w:rsidRPr="006263CF">
        <w:rPr>
          <w:rFonts w:asciiTheme="minorHAnsi" w:hAnsiTheme="minorHAnsi" w:cstheme="minorHAnsi"/>
          <w:b/>
          <w:bCs/>
          <w:color w:val="000000"/>
          <w:szCs w:val="22"/>
        </w:rPr>
        <w:t>4–6 БДК</w:t>
      </w:r>
      <w:r w:rsidRPr="006263CF">
        <w:rPr>
          <w:rFonts w:asciiTheme="minorHAnsi" w:hAnsiTheme="minorHAnsi" w:cstheme="minorHAnsi"/>
          <w:b/>
          <w:bCs/>
          <w:color w:val="000000"/>
          <w:szCs w:val="22"/>
          <w:vertAlign w:val="subscript"/>
        </w:rPr>
        <w:t>(6</w:t>
      </w:r>
      <w:r w:rsidRPr="006263CF">
        <w:rPr>
          <w:rFonts w:asciiTheme="minorHAnsi" w:hAnsiTheme="minorHAnsi" w:cstheme="minorHAnsi"/>
          <w:b/>
          <w:bCs/>
          <w:color w:val="000000"/>
          <w:szCs w:val="22"/>
        </w:rPr>
        <w:t xml:space="preserve"> </w:t>
      </w:r>
      <w:r w:rsidRPr="006263CF">
        <w:rPr>
          <w:rFonts w:asciiTheme="minorHAnsi" w:hAnsiTheme="minorHAnsi" w:cstheme="minorHAnsi"/>
          <w:b/>
          <w:bCs/>
          <w:color w:val="000000"/>
          <w:szCs w:val="22"/>
          <w:vertAlign w:val="subscript"/>
        </w:rPr>
        <w:t>місяці)</w:t>
      </w:r>
      <w:r w:rsidRPr="006263CF">
        <w:rPr>
          <w:rFonts w:asciiTheme="minorHAnsi" w:hAnsiTheme="minorHAnsi" w:cstheme="minorHAnsi"/>
          <w:b/>
          <w:bCs/>
          <w:color w:val="000000"/>
          <w:szCs w:val="22"/>
        </w:rPr>
        <w:t xml:space="preserve">-ЛФЦ/МФЦ-ЦФЦ-З-Е-Хх-Ето / 5 ЛФЦ/МФЦ-ЦФЗ-З-E </w:t>
      </w:r>
      <w:r w:rsidRPr="006263CF">
        <w:rPr>
          <w:rFonts w:asciiTheme="minorHAnsi" w:hAnsiTheme="minorHAnsi" w:cstheme="minorHAnsi"/>
          <w:color w:val="000000"/>
          <w:szCs w:val="22"/>
        </w:rPr>
        <w:t>(короткострокова пероральна бедаквіліновмісна схема лікування).</w:t>
      </w:r>
    </w:p>
    <w:p w:rsidR="005C0A87" w:rsidRPr="006263CF" w:rsidRDefault="005C0A87" w:rsidP="006263CF">
      <w:pPr>
        <w:numPr>
          <w:ilvl w:val="0"/>
          <w:numId w:val="9"/>
        </w:numPr>
        <w:tabs>
          <w:tab w:val="left" w:pos="240"/>
        </w:tabs>
        <w:ind w:left="240" w:right="10" w:hanging="240"/>
        <w:jc w:val="both"/>
        <w:rPr>
          <w:rFonts w:asciiTheme="minorHAnsi" w:eastAsia="Times New Roman" w:hAnsiTheme="minorHAnsi" w:cstheme="minorHAnsi"/>
          <w:color w:val="1F61AA"/>
          <w:szCs w:val="22"/>
        </w:rPr>
      </w:pPr>
      <w:r w:rsidRPr="006263CF">
        <w:rPr>
          <w:rFonts w:asciiTheme="minorHAnsi" w:hAnsiTheme="minorHAnsi" w:cstheme="minorHAnsi"/>
          <w:color w:val="000000"/>
          <w:szCs w:val="22"/>
        </w:rPr>
        <w:t xml:space="preserve">Короткострокова схема лікування МР/Риф-ТБ із стійкістю до квінолону: </w:t>
      </w:r>
      <w:r w:rsidRPr="006263CF">
        <w:rPr>
          <w:rFonts w:asciiTheme="minorHAnsi" w:hAnsiTheme="minorHAnsi" w:cstheme="minorHAnsi"/>
          <w:b/>
          <w:bCs/>
          <w:color w:val="000000"/>
          <w:szCs w:val="22"/>
        </w:rPr>
        <w:t xml:space="preserve">6–9 БДК-П-ЛЗД </w:t>
      </w:r>
      <w:r w:rsidRPr="006263CF">
        <w:rPr>
          <w:rFonts w:asciiTheme="minorHAnsi" w:hAnsiTheme="minorHAnsi" w:cstheme="minorHAnsi"/>
          <w:color w:val="000000"/>
          <w:szCs w:val="22"/>
        </w:rPr>
        <w:t>(6–9 місячна схема лікування, що складається з бедаквіліну, претоманіду та лінезоліду – схема БПЛ).</w:t>
      </w:r>
    </w:p>
    <w:p w:rsidR="005C0A87" w:rsidRPr="006263CF" w:rsidRDefault="005C0A87" w:rsidP="006263CF">
      <w:pPr>
        <w:numPr>
          <w:ilvl w:val="0"/>
          <w:numId w:val="9"/>
        </w:numPr>
        <w:tabs>
          <w:tab w:val="left" w:pos="240"/>
        </w:tabs>
        <w:ind w:left="240" w:right="5" w:hanging="240"/>
        <w:jc w:val="both"/>
        <w:rPr>
          <w:rFonts w:asciiTheme="minorHAnsi" w:eastAsia="Times New Roman" w:hAnsiTheme="minorHAnsi" w:cstheme="minorHAnsi"/>
          <w:color w:val="1F61AA"/>
          <w:szCs w:val="22"/>
        </w:rPr>
      </w:pPr>
      <w:r w:rsidRPr="006263CF">
        <w:rPr>
          <w:rFonts w:asciiTheme="minorHAnsi" w:hAnsiTheme="minorHAnsi" w:cstheme="minorHAnsi"/>
          <w:color w:val="000000"/>
          <w:szCs w:val="22"/>
        </w:rPr>
        <w:t xml:space="preserve">Довгострокова схема лікування МР/Риф-ТБ: </w:t>
      </w:r>
      <w:r w:rsidRPr="006263CF">
        <w:rPr>
          <w:rFonts w:asciiTheme="minorHAnsi" w:hAnsiTheme="minorHAnsi" w:cstheme="minorHAnsi"/>
          <w:b/>
          <w:bCs/>
          <w:color w:val="000000"/>
          <w:szCs w:val="22"/>
        </w:rPr>
        <w:t>18 БДК</w:t>
      </w:r>
      <w:r w:rsidRPr="006263CF">
        <w:rPr>
          <w:rFonts w:asciiTheme="minorHAnsi" w:hAnsiTheme="minorHAnsi" w:cstheme="minorHAnsi"/>
          <w:b/>
          <w:bCs/>
          <w:color w:val="000000"/>
          <w:szCs w:val="22"/>
          <w:vertAlign w:val="subscript"/>
        </w:rPr>
        <w:t>(6</w:t>
      </w:r>
      <w:r w:rsidRPr="006263CF">
        <w:rPr>
          <w:rFonts w:asciiTheme="minorHAnsi" w:hAnsiTheme="minorHAnsi" w:cstheme="minorHAnsi"/>
          <w:b/>
          <w:bCs/>
          <w:color w:val="000000"/>
          <w:szCs w:val="22"/>
        </w:rPr>
        <w:t xml:space="preserve"> </w:t>
      </w:r>
      <w:r w:rsidRPr="006263CF">
        <w:rPr>
          <w:rFonts w:asciiTheme="minorHAnsi" w:hAnsiTheme="minorHAnsi" w:cstheme="minorHAnsi"/>
          <w:b/>
          <w:bCs/>
          <w:color w:val="000000"/>
          <w:szCs w:val="22"/>
          <w:vertAlign w:val="subscript"/>
        </w:rPr>
        <w:t>місяців)</w:t>
      </w:r>
      <w:r w:rsidRPr="006263CF">
        <w:rPr>
          <w:rFonts w:asciiTheme="minorHAnsi" w:hAnsiTheme="minorHAnsi" w:cstheme="minorHAnsi"/>
          <w:b/>
          <w:bCs/>
          <w:color w:val="000000"/>
          <w:szCs w:val="22"/>
        </w:rPr>
        <w:t xml:space="preserve">-ЛФЦ/МФЦ-ЛЗД-ЦФЗ </w:t>
      </w:r>
      <w:r w:rsidRPr="006263CF">
        <w:rPr>
          <w:rFonts w:asciiTheme="minorHAnsi" w:hAnsiTheme="minorHAnsi" w:cstheme="minorHAnsi"/>
          <w:color w:val="000000"/>
          <w:szCs w:val="22"/>
        </w:rPr>
        <w:t>(18-місячна схема лікування, що складається з бедаквіліну протягом перших 6 місяців та левофлоксацину або моксифлоксацину, лінезоліду, клофазиміну протягом 18 місяців).</w:t>
      </w:r>
    </w:p>
    <w:p w:rsidR="005C0A87" w:rsidRPr="006263CF" w:rsidRDefault="005C0A87" w:rsidP="006263CF">
      <w:pPr>
        <w:spacing w:before="144"/>
        <w:ind w:right="5"/>
        <w:jc w:val="both"/>
        <w:rPr>
          <w:rFonts w:asciiTheme="minorHAnsi" w:hAnsiTheme="minorHAnsi" w:cstheme="minorHAnsi"/>
          <w:sz w:val="18"/>
        </w:rPr>
      </w:pPr>
      <w:r w:rsidRPr="006263CF">
        <w:rPr>
          <w:rFonts w:asciiTheme="minorHAnsi" w:hAnsiTheme="minorHAnsi" w:cstheme="minorHAnsi"/>
          <w:color w:val="000000"/>
          <w:szCs w:val="22"/>
        </w:rPr>
        <w:t>Ізоніазид є одним із найважливіших компонентів схеми лікування туберкульозу 1-го ряду. Пацієнти із Нрез-ТБ, що отримують лікування 2HREZ/4HR</w:t>
      </w:r>
      <w:r w:rsidRPr="006263CF">
        <w:rPr>
          <w:rFonts w:asciiTheme="minorHAnsi" w:hAnsiTheme="minorHAnsi" w:cstheme="minorHAnsi"/>
          <w:color w:val="000000"/>
          <w:szCs w:val="22"/>
          <w:vertAlign w:val="superscript"/>
        </w:rPr>
        <w:t>4</w:t>
      </w:r>
      <w:r w:rsidRPr="006263CF">
        <w:rPr>
          <w:rFonts w:asciiTheme="minorHAnsi" w:hAnsiTheme="minorHAnsi" w:cstheme="minorHAnsi"/>
          <w:color w:val="000000"/>
          <w:szCs w:val="22"/>
        </w:rPr>
        <w:t xml:space="preserve"> знаходяться у значно вищому ризику отримати неефективне лікування, рецидив або набути додаткову стійкість, ніж пацієнти з лікарсько-чутливим туберкульозом. Набуття MР-TБ є серйозним наслідком неналежного лікування Hрез-TБ, враховуючи, що хвороба потребує набагато тривалішого лікування більшою кількістю препаратів 2-го ряду. </w:t>
      </w:r>
      <w:r w:rsidRPr="006263CF">
        <w:rPr>
          <w:rFonts w:asciiTheme="minorHAnsi" w:hAnsiTheme="minorHAnsi" w:cstheme="minorHAnsi"/>
          <w:b/>
          <w:bCs/>
          <w:color w:val="000000"/>
          <w:szCs w:val="22"/>
        </w:rPr>
        <w:t>6-місячна схема лікування із застосуванням рифампіцину, етамбутолу, піразинаміду та левофлоксацину 6(H)REZ-Lfx є рекомендованим варіантом лікування пацієнтів із підтвердженим Нрез-ТБ та чутливим до рифампіцину туберкульозом</w:t>
      </w:r>
      <w:r w:rsidRPr="006263CF">
        <w:rPr>
          <w:rFonts w:asciiTheme="minorHAnsi" w:hAnsiTheme="minorHAnsi" w:cstheme="minorHAnsi"/>
          <w:color w:val="000000"/>
          <w:szCs w:val="22"/>
        </w:rPr>
        <w:t>. Схема лікування 6(H)REZ призначається пацієнтам із Нрез-ТБ, у яких чутливість до рифампіцину невідома та яким не можна призначати левофлоксацин, або хворим на Нрез-ТБ із стійкістю до фторхінолону, непереносимістю левофлоксацину або іншими протипоказаннями.</w:t>
      </w:r>
    </w:p>
    <w:p w:rsidR="005C0A87" w:rsidRPr="006263CF" w:rsidRDefault="005C0A87" w:rsidP="006263CF">
      <w:pPr>
        <w:spacing w:before="144"/>
        <w:ind w:right="5"/>
        <w:jc w:val="both"/>
        <w:rPr>
          <w:rFonts w:asciiTheme="minorHAnsi" w:hAnsiTheme="minorHAnsi" w:cstheme="minorHAnsi"/>
          <w:sz w:val="18"/>
        </w:rPr>
      </w:pPr>
      <w:r w:rsidRPr="006263CF">
        <w:rPr>
          <w:rFonts w:asciiTheme="minorHAnsi" w:hAnsiTheme="minorHAnsi" w:cstheme="minorHAnsi"/>
          <w:color w:val="000000"/>
          <w:szCs w:val="22"/>
        </w:rPr>
        <w:t xml:space="preserve">Для пацієнтів із МР/Риф-ТБ без попередньої експозиції лікарських препаратів 2-го ряду більше 1 місяця, у яких відсутня стійкість до фторхінолонів та екстенсивний туберкульоз або гострий позалегеневий туберкульоз, найкращим варіантом лікування є </w:t>
      </w:r>
      <w:r w:rsidRPr="006263CF">
        <w:rPr>
          <w:rFonts w:asciiTheme="minorHAnsi" w:hAnsiTheme="minorHAnsi" w:cstheme="minorHAnsi"/>
          <w:b/>
          <w:bCs/>
          <w:color w:val="000000"/>
          <w:szCs w:val="22"/>
        </w:rPr>
        <w:t>короткострокова пероральна бедаквіліновмісна</w:t>
      </w:r>
    </w:p>
    <w:p w:rsidR="000344A4" w:rsidRDefault="000344A4" w:rsidP="000344A4">
      <w:pPr>
        <w:spacing w:before="960"/>
        <w:rPr>
          <w:rFonts w:asciiTheme="minorHAnsi" w:hAnsiTheme="minorHAnsi" w:cstheme="minorHAnsi"/>
          <w:color w:val="000000"/>
          <w:sz w:val="14"/>
          <w:szCs w:val="16"/>
          <w:vertAlign w:val="superscript"/>
        </w:rPr>
      </w:pPr>
      <w:r>
        <w:rPr>
          <w:rFonts w:asciiTheme="minorHAnsi" w:hAnsiTheme="minorHAnsi" w:cstheme="minorHAnsi"/>
          <w:color w:val="000000"/>
          <w:sz w:val="14"/>
          <w:szCs w:val="16"/>
          <w:u w:val="single"/>
          <w:vertAlign w:val="superscript"/>
        </w:rPr>
        <w:tab/>
      </w:r>
      <w:r>
        <w:rPr>
          <w:rFonts w:asciiTheme="minorHAnsi" w:hAnsiTheme="minorHAnsi" w:cstheme="minorHAnsi"/>
          <w:color w:val="000000"/>
          <w:sz w:val="14"/>
          <w:szCs w:val="16"/>
          <w:u w:val="single"/>
          <w:vertAlign w:val="superscript"/>
        </w:rPr>
        <w:tab/>
      </w:r>
      <w:r>
        <w:rPr>
          <w:rFonts w:asciiTheme="minorHAnsi" w:hAnsiTheme="minorHAnsi" w:cstheme="minorHAnsi"/>
          <w:color w:val="000000"/>
          <w:sz w:val="14"/>
          <w:szCs w:val="16"/>
          <w:u w:val="single"/>
          <w:vertAlign w:val="superscript"/>
        </w:rPr>
        <w:tab/>
      </w:r>
    </w:p>
    <w:p w:rsidR="005C0A87" w:rsidRPr="006263CF" w:rsidRDefault="005C0A87" w:rsidP="000344A4">
      <w:pPr>
        <w:tabs>
          <w:tab w:val="left" w:pos="142"/>
        </w:tabs>
        <w:rPr>
          <w:rFonts w:asciiTheme="minorHAnsi" w:hAnsiTheme="minorHAnsi" w:cstheme="minorHAnsi"/>
          <w:sz w:val="18"/>
        </w:rPr>
      </w:pPr>
      <w:r w:rsidRPr="006263CF">
        <w:rPr>
          <w:rFonts w:asciiTheme="minorHAnsi" w:hAnsiTheme="minorHAnsi" w:cstheme="minorHAnsi"/>
          <w:color w:val="000000"/>
          <w:sz w:val="14"/>
          <w:szCs w:val="16"/>
          <w:vertAlign w:val="superscript"/>
        </w:rPr>
        <w:t>4</w:t>
      </w:r>
      <w:r w:rsidRPr="006263CF">
        <w:rPr>
          <w:rFonts w:asciiTheme="minorHAnsi" w:hAnsiTheme="minorHAnsi" w:cstheme="minorHAnsi"/>
          <w:color w:val="000000"/>
          <w:sz w:val="14"/>
          <w:szCs w:val="16"/>
        </w:rPr>
        <w:t xml:space="preserve"> </w:t>
      </w:r>
      <w:r w:rsidR="005144DA" w:rsidRPr="006263CF">
        <w:rPr>
          <w:rFonts w:asciiTheme="minorHAnsi" w:hAnsiTheme="minorHAnsi" w:cstheme="minorHAnsi"/>
          <w:color w:val="000000"/>
          <w:sz w:val="14"/>
          <w:szCs w:val="16"/>
        </w:rPr>
        <w:tab/>
      </w:r>
      <w:r w:rsidRPr="006263CF">
        <w:rPr>
          <w:rFonts w:asciiTheme="minorHAnsi" w:hAnsiTheme="minorHAnsi" w:cstheme="minorHAnsi"/>
          <w:color w:val="000000"/>
          <w:sz w:val="14"/>
          <w:szCs w:val="16"/>
        </w:rPr>
        <w:t>2HREZ/4HR – ізоніазид, рифампіцин, етамбутол та піразинамід щодня протягом 2 місяців, а потім чотири місяці ізоніазиду та рифампіцину.</w:t>
      </w:r>
    </w:p>
    <w:p w:rsidR="005C0A87" w:rsidRPr="006263CF" w:rsidRDefault="005C0A87" w:rsidP="006263CF">
      <w:pPr>
        <w:spacing w:before="898"/>
        <w:rPr>
          <w:rFonts w:asciiTheme="minorHAnsi" w:hAnsiTheme="minorHAnsi" w:cstheme="minorHAnsi"/>
          <w:sz w:val="18"/>
        </w:rPr>
        <w:sectPr w:rsidR="005C0A87" w:rsidRPr="006263CF" w:rsidSect="005144DA">
          <w:pgSz w:w="11904" w:h="16838"/>
          <w:pgMar w:top="1291" w:right="1411" w:bottom="0" w:left="1416" w:header="708" w:footer="708" w:gutter="0"/>
          <w:cols w:space="60"/>
          <w:noEndnote/>
        </w:sectPr>
      </w:pPr>
    </w:p>
    <w:p w:rsidR="005C0A87" w:rsidRPr="006263CF" w:rsidRDefault="005C0A87" w:rsidP="006263CF">
      <w:pPr>
        <w:jc w:val="both"/>
        <w:rPr>
          <w:rFonts w:asciiTheme="minorHAnsi" w:hAnsiTheme="minorHAnsi" w:cstheme="minorHAnsi"/>
          <w:sz w:val="18"/>
        </w:rPr>
      </w:pPr>
      <w:r w:rsidRPr="006263CF">
        <w:rPr>
          <w:rFonts w:asciiTheme="minorHAnsi" w:hAnsiTheme="minorHAnsi" w:cstheme="minorHAnsi"/>
          <w:b/>
          <w:bCs/>
          <w:color w:val="000000"/>
          <w:szCs w:val="22"/>
        </w:rPr>
        <w:lastRenderedPageBreak/>
        <w:t xml:space="preserve">схема лікування </w:t>
      </w:r>
      <w:r w:rsidRPr="006263CF">
        <w:rPr>
          <w:rFonts w:asciiTheme="minorHAnsi" w:hAnsiTheme="minorHAnsi" w:cstheme="minorHAnsi"/>
          <w:color w:val="000000"/>
          <w:szCs w:val="22"/>
        </w:rPr>
        <w:t>(</w:t>
      </w:r>
      <w:r w:rsidRPr="006263CF">
        <w:rPr>
          <w:rFonts w:asciiTheme="minorHAnsi" w:hAnsiTheme="minorHAnsi" w:cstheme="minorHAnsi"/>
          <w:b/>
          <w:bCs/>
          <w:color w:val="000000"/>
          <w:szCs w:val="22"/>
        </w:rPr>
        <w:t>4–6 БДК</w:t>
      </w:r>
      <w:r w:rsidRPr="006263CF">
        <w:rPr>
          <w:rFonts w:asciiTheme="minorHAnsi" w:hAnsiTheme="minorHAnsi" w:cstheme="minorHAnsi"/>
          <w:b/>
          <w:bCs/>
          <w:color w:val="000000"/>
          <w:szCs w:val="22"/>
          <w:vertAlign w:val="subscript"/>
        </w:rPr>
        <w:t>(6</w:t>
      </w:r>
      <w:r w:rsidRPr="006263CF">
        <w:rPr>
          <w:rFonts w:asciiTheme="minorHAnsi" w:hAnsiTheme="minorHAnsi" w:cstheme="minorHAnsi"/>
          <w:b/>
          <w:bCs/>
          <w:color w:val="000000"/>
          <w:szCs w:val="22"/>
        </w:rPr>
        <w:t xml:space="preserve"> </w:t>
      </w:r>
      <w:r w:rsidRPr="006263CF">
        <w:rPr>
          <w:rFonts w:asciiTheme="minorHAnsi" w:hAnsiTheme="minorHAnsi" w:cstheme="minorHAnsi"/>
          <w:b/>
          <w:bCs/>
          <w:color w:val="000000"/>
          <w:szCs w:val="22"/>
          <w:vertAlign w:val="subscript"/>
        </w:rPr>
        <w:t>місяців)</w:t>
      </w:r>
      <w:r w:rsidRPr="006263CF">
        <w:rPr>
          <w:rFonts w:asciiTheme="minorHAnsi" w:hAnsiTheme="minorHAnsi" w:cstheme="minorHAnsi"/>
          <w:b/>
          <w:bCs/>
          <w:color w:val="000000"/>
          <w:szCs w:val="22"/>
        </w:rPr>
        <w:t>-ЛФЦ/МФЦ-ЦФЦ-З-E-Хх-Ето / 5 ЛФЦ/МФЦ-ЦФЦ-З-E</w:t>
      </w:r>
      <w:r w:rsidRPr="006263CF">
        <w:rPr>
          <w:rFonts w:asciiTheme="minorHAnsi" w:hAnsiTheme="minorHAnsi" w:cstheme="minorHAnsi"/>
          <w:color w:val="000000"/>
          <w:szCs w:val="22"/>
          <w:vertAlign w:val="superscript"/>
        </w:rPr>
        <w:t>5</w:t>
      </w:r>
      <w:r w:rsidRPr="006263CF">
        <w:rPr>
          <w:rFonts w:asciiTheme="minorHAnsi" w:hAnsiTheme="minorHAnsi" w:cstheme="minorHAnsi"/>
          <w:color w:val="000000"/>
          <w:szCs w:val="22"/>
        </w:rPr>
        <w:t xml:space="preserve">). В умовах з високою ймовірністю стійкості до інших лікарських препаратів у схемі лікування (або у пацієнтів із підтвердженою стійкістю до інших лікарських препаратів) можуть здійснюватися подальші модифікації короткострокової пероральної бедаквіліновмісної схеми з використанням пріоритетного групування протитуберкульозних препаратів 2-го ряду під час оперативних досліджень. Ефективність, безпека та переносимість таких модифікацій для схем лікування, що не перевищують 12 місяців, невідомі, а тому їх слід оцінювати в умовах оперативного дослідження </w:t>
      </w:r>
      <w:r w:rsidRPr="006263CF">
        <w:rPr>
          <w:rFonts w:asciiTheme="minorHAnsi" w:hAnsiTheme="minorHAnsi" w:cstheme="minorHAnsi"/>
          <w:i/>
          <w:iCs/>
          <w:color w:val="000000"/>
          <w:szCs w:val="22"/>
        </w:rPr>
        <w:t>(1)</w:t>
      </w:r>
      <w:r w:rsidRPr="006263CF">
        <w:rPr>
          <w:rFonts w:asciiTheme="minorHAnsi" w:hAnsiTheme="minorHAnsi" w:cstheme="minorHAnsi"/>
          <w:color w:val="000000"/>
          <w:szCs w:val="22"/>
        </w:rPr>
        <w:t>. Існують ситуації, коли для таких пацієнтів надається перевага довгостроковими схемами лікування.</w:t>
      </w:r>
    </w:p>
    <w:p w:rsidR="005C0A87" w:rsidRPr="006263CF" w:rsidRDefault="005C0A87" w:rsidP="006263CF">
      <w:pPr>
        <w:spacing w:before="144"/>
        <w:ind w:right="5"/>
        <w:jc w:val="both"/>
        <w:rPr>
          <w:rFonts w:asciiTheme="minorHAnsi" w:hAnsiTheme="minorHAnsi" w:cstheme="minorHAnsi"/>
          <w:sz w:val="18"/>
        </w:rPr>
      </w:pPr>
      <w:r w:rsidRPr="006263CF">
        <w:rPr>
          <w:rFonts w:asciiTheme="minorHAnsi" w:hAnsiTheme="minorHAnsi" w:cstheme="minorHAnsi"/>
          <w:color w:val="000000"/>
          <w:szCs w:val="22"/>
        </w:rPr>
        <w:t xml:space="preserve">Хворі на МР/Риф-ТБ із прогресуючим туберкульозом, важкими формами позалегеневого туберкульозу, додатковою стійкістю до фторхінолонів або експозицією до лікування лікарськими препаратами 2-го ряду більше 1 місяця отримають користь від </w:t>
      </w:r>
      <w:r w:rsidRPr="006263CF">
        <w:rPr>
          <w:rFonts w:asciiTheme="minorHAnsi" w:hAnsiTheme="minorHAnsi" w:cstheme="minorHAnsi"/>
          <w:b/>
          <w:bCs/>
          <w:color w:val="000000"/>
          <w:szCs w:val="22"/>
        </w:rPr>
        <w:t xml:space="preserve">індивідуалізованої довгострокової схеми, </w:t>
      </w:r>
      <w:r w:rsidRPr="006263CF">
        <w:rPr>
          <w:rFonts w:asciiTheme="minorHAnsi" w:hAnsiTheme="minorHAnsi" w:cstheme="minorHAnsi"/>
          <w:color w:val="000000"/>
          <w:szCs w:val="22"/>
        </w:rPr>
        <w:t>розробленої із використанням пріоритетного групування ЛЗ ВООЗ, рекомендованих у консолідованих настановах ВООЗ (</w:t>
      </w:r>
      <w:r w:rsidRPr="006263CF">
        <w:rPr>
          <w:rFonts w:asciiTheme="minorHAnsi" w:hAnsiTheme="minorHAnsi" w:cstheme="minorHAnsi"/>
          <w:color w:val="1F61AA"/>
          <w:szCs w:val="22"/>
        </w:rPr>
        <w:t>Таблиця 6.1</w:t>
      </w:r>
      <w:r w:rsidRPr="006263CF">
        <w:rPr>
          <w:rFonts w:asciiTheme="minorHAnsi" w:hAnsiTheme="minorHAnsi" w:cstheme="minorHAnsi"/>
          <w:color w:val="000000"/>
          <w:szCs w:val="22"/>
        </w:rPr>
        <w:t>).</w:t>
      </w:r>
    </w:p>
    <w:p w:rsidR="005C0A87" w:rsidRPr="006263CF" w:rsidRDefault="005C0A87" w:rsidP="006263CF">
      <w:pPr>
        <w:spacing w:before="144"/>
        <w:ind w:right="5"/>
        <w:jc w:val="both"/>
        <w:rPr>
          <w:rFonts w:asciiTheme="minorHAnsi" w:hAnsiTheme="minorHAnsi" w:cstheme="minorHAnsi"/>
          <w:sz w:val="18"/>
        </w:rPr>
      </w:pPr>
      <w:r w:rsidRPr="006263CF">
        <w:rPr>
          <w:rFonts w:asciiTheme="minorHAnsi" w:hAnsiTheme="minorHAnsi" w:cstheme="minorHAnsi"/>
          <w:b/>
          <w:bCs/>
          <w:color w:val="000000"/>
          <w:szCs w:val="22"/>
        </w:rPr>
        <w:t xml:space="preserve">6 -9-місячна схема лікування, що складається з бедаквіліну, претоманіду та лінезоліду (БПЛ), </w:t>
      </w:r>
      <w:r w:rsidRPr="006263CF">
        <w:rPr>
          <w:rFonts w:asciiTheme="minorHAnsi" w:hAnsiTheme="minorHAnsi" w:cstheme="minorHAnsi"/>
          <w:color w:val="000000"/>
          <w:szCs w:val="22"/>
        </w:rPr>
        <w:t>може використовуватися в умовах операційного дослідження пацієнтів із МР/Риф-ТБ та додатковою стійкістю до фторхінолонів, що не піддавалися попередній експозиції бедаквіліном або лінезолідом (визначено як &lt; 2 тижні). Ця схема лікування не може розглядатися для програмного використання у всьому світі допоки не будуть створені додаткові докази відносно ефективності та безпечності. Однак, для окремих пацієнтів, для яких розробка ефективної схеми лікування на основі існуючих рекомендацій неможлива, схема лікування БПЛ може розглядатися, як крайній захід у програмних умовах (поза операційними дослідженнями). Таке впровадження вимагає високих стандартів контролю за відповіддю на лікування, небажаними явищами та забезпечення ефективної підтримки пацієнтів.</w:t>
      </w:r>
    </w:p>
    <w:p w:rsidR="005C0A87" w:rsidRPr="006263CF" w:rsidRDefault="005C0A87" w:rsidP="006263CF">
      <w:pPr>
        <w:spacing w:before="144"/>
        <w:ind w:right="5"/>
        <w:jc w:val="both"/>
        <w:rPr>
          <w:rFonts w:asciiTheme="minorHAnsi" w:hAnsiTheme="minorHAnsi" w:cstheme="minorHAnsi"/>
          <w:sz w:val="18"/>
        </w:rPr>
      </w:pPr>
      <w:r w:rsidRPr="006263CF">
        <w:rPr>
          <w:rFonts w:asciiTheme="minorHAnsi" w:hAnsiTheme="minorHAnsi" w:cstheme="minorHAnsi"/>
          <w:color w:val="000000"/>
          <w:szCs w:val="22"/>
        </w:rPr>
        <w:t>Рішення стосовно відповідних схем лікування слід приймати на основі ймовірної ефективності, безпечності, переваги пацієнта та клінічного судження, враховуючи при цьому результати тесту на чутливість, історію лікування пацієнта, ступінь важкості та місце захворювання.</w:t>
      </w:r>
    </w:p>
    <w:p w:rsidR="000344A4" w:rsidRDefault="000344A4" w:rsidP="000344A4">
      <w:pPr>
        <w:spacing w:before="6720"/>
        <w:ind w:right="5"/>
        <w:jc w:val="both"/>
        <w:rPr>
          <w:rFonts w:asciiTheme="minorHAnsi" w:hAnsiTheme="minorHAnsi" w:cstheme="minorHAnsi"/>
          <w:color w:val="000000"/>
          <w:sz w:val="14"/>
          <w:szCs w:val="16"/>
          <w:vertAlign w:val="superscript"/>
        </w:rPr>
      </w:pPr>
      <w:r>
        <w:rPr>
          <w:rFonts w:asciiTheme="minorHAnsi" w:hAnsiTheme="minorHAnsi" w:cstheme="minorHAnsi"/>
          <w:color w:val="000000"/>
          <w:sz w:val="14"/>
          <w:szCs w:val="16"/>
          <w:u w:val="single"/>
          <w:vertAlign w:val="superscript"/>
        </w:rPr>
        <w:tab/>
      </w:r>
      <w:r>
        <w:rPr>
          <w:rFonts w:asciiTheme="minorHAnsi" w:hAnsiTheme="minorHAnsi" w:cstheme="minorHAnsi"/>
          <w:color w:val="000000"/>
          <w:sz w:val="14"/>
          <w:szCs w:val="16"/>
          <w:u w:val="single"/>
          <w:vertAlign w:val="superscript"/>
        </w:rPr>
        <w:tab/>
      </w:r>
      <w:r>
        <w:rPr>
          <w:rFonts w:asciiTheme="minorHAnsi" w:hAnsiTheme="minorHAnsi" w:cstheme="minorHAnsi"/>
          <w:color w:val="000000"/>
          <w:sz w:val="14"/>
          <w:szCs w:val="16"/>
          <w:u w:val="single"/>
          <w:vertAlign w:val="superscript"/>
        </w:rPr>
        <w:tab/>
      </w:r>
    </w:p>
    <w:p w:rsidR="005C0A87" w:rsidRPr="006263CF" w:rsidRDefault="005C0A87" w:rsidP="000344A4">
      <w:pPr>
        <w:ind w:left="221" w:right="5" w:hanging="221"/>
        <w:jc w:val="both"/>
        <w:rPr>
          <w:rFonts w:asciiTheme="minorHAnsi" w:hAnsiTheme="minorHAnsi" w:cstheme="minorHAnsi"/>
          <w:sz w:val="18"/>
        </w:rPr>
      </w:pPr>
      <w:r w:rsidRPr="006263CF">
        <w:rPr>
          <w:rFonts w:asciiTheme="minorHAnsi" w:hAnsiTheme="minorHAnsi" w:cstheme="minorHAnsi"/>
          <w:color w:val="000000"/>
          <w:sz w:val="14"/>
          <w:szCs w:val="16"/>
          <w:vertAlign w:val="superscript"/>
        </w:rPr>
        <w:t>5</w:t>
      </w:r>
      <w:r w:rsidRPr="006263CF">
        <w:rPr>
          <w:rFonts w:asciiTheme="minorHAnsi" w:hAnsiTheme="minorHAnsi" w:cstheme="minorHAnsi"/>
          <w:color w:val="000000"/>
          <w:sz w:val="14"/>
          <w:szCs w:val="16"/>
        </w:rPr>
        <w:t xml:space="preserve"> </w:t>
      </w:r>
      <w:r w:rsidR="005144DA" w:rsidRPr="006263CF">
        <w:rPr>
          <w:rFonts w:asciiTheme="minorHAnsi" w:hAnsiTheme="minorHAnsi" w:cstheme="minorHAnsi"/>
          <w:color w:val="000000"/>
          <w:sz w:val="14"/>
          <w:szCs w:val="16"/>
        </w:rPr>
        <w:tab/>
      </w:r>
      <w:r w:rsidRPr="006263CF">
        <w:rPr>
          <w:rFonts w:asciiTheme="minorHAnsi" w:hAnsiTheme="minorHAnsi" w:cstheme="minorHAnsi"/>
          <w:color w:val="000000"/>
          <w:sz w:val="14"/>
          <w:szCs w:val="16"/>
        </w:rPr>
        <w:t>Бедаквілін застосовується протягом 6 місяців. Левофлоксацин/моксифлоксацин, етіонамід, етамбутол, ізоніазид (висока доза), піразинамід та клофазимін застосовуються протягом 4 місяців (із можливістю продовження до 6 місяців, якщо у пацієнта залишається позитивний мазок мокротиння по завершенню 4 місяців), за якими 5 місяців лікування левофлоксацином/моксифлоксацином, клофазиміном, етамбутолом та піразинамідом.</w:t>
      </w:r>
    </w:p>
    <w:p w:rsidR="005C0A87" w:rsidRPr="006263CF" w:rsidRDefault="005C0A87" w:rsidP="006263CF">
      <w:pPr>
        <w:spacing w:before="6917"/>
        <w:ind w:left="221" w:right="5" w:hanging="221"/>
        <w:jc w:val="both"/>
        <w:rPr>
          <w:rFonts w:asciiTheme="minorHAnsi" w:hAnsiTheme="minorHAnsi" w:cstheme="minorHAnsi"/>
          <w:sz w:val="18"/>
        </w:rPr>
        <w:sectPr w:rsidR="005C0A87" w:rsidRPr="006263CF">
          <w:pgSz w:w="11904" w:h="16838"/>
          <w:pgMar w:top="1344" w:right="1411" w:bottom="1354" w:left="1416" w:header="708" w:footer="708" w:gutter="0"/>
          <w:cols w:space="60"/>
          <w:noEndnote/>
        </w:sectPr>
      </w:pPr>
    </w:p>
    <w:p w:rsidR="005C0A87" w:rsidRPr="006263CF" w:rsidRDefault="00C73DE6" w:rsidP="000C4F1C">
      <w:pPr>
        <w:rPr>
          <w:rFonts w:asciiTheme="minorHAnsi" w:hAnsiTheme="minorHAnsi" w:cstheme="minorHAnsi"/>
          <w:b/>
          <w:sz w:val="18"/>
        </w:rPr>
      </w:pPr>
      <w:bookmarkStart w:id="8" w:name="bookmark7"/>
      <w:r>
        <w:rPr>
          <w:rFonts w:asciiTheme="minorHAnsi" w:hAnsiTheme="minorHAnsi" w:cstheme="minorHAnsi"/>
          <w:noProof/>
          <w:color w:val="1F61AA"/>
          <w:sz w:val="56"/>
          <w:szCs w:val="64"/>
        </w:rPr>
        <w:lastRenderedPageBreak/>
        <w:drawing>
          <wp:anchor distT="0" distB="0" distL="6400800" distR="6400800" simplePos="0" relativeHeight="251692032" behindDoc="1" locked="0" layoutInCell="0" allowOverlap="1" wp14:anchorId="3BAF2135" wp14:editId="4899BA15">
            <wp:simplePos x="0" y="0"/>
            <wp:positionH relativeFrom="margin">
              <wp:posOffset>-1181735</wp:posOffset>
            </wp:positionH>
            <wp:positionV relativeFrom="paragraph">
              <wp:posOffset>-1386899</wp:posOffset>
            </wp:positionV>
            <wp:extent cx="8042910" cy="1629410"/>
            <wp:effectExtent l="0" t="0" r="0" b="8890"/>
            <wp:wrapNone/>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42910" cy="162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5C0A87" w:rsidRPr="006263CF">
        <w:rPr>
          <w:rFonts w:asciiTheme="minorHAnsi" w:hAnsiTheme="minorHAnsi" w:cstheme="minorHAnsi"/>
          <w:b/>
          <w:color w:val="1F61AA"/>
          <w:sz w:val="56"/>
          <w:szCs w:val="64"/>
        </w:rPr>
        <w:t>4</w:t>
      </w:r>
      <w:bookmarkEnd w:id="8"/>
      <w:r w:rsidR="005C0A87" w:rsidRPr="006263CF">
        <w:rPr>
          <w:rFonts w:asciiTheme="minorHAnsi" w:hAnsiTheme="minorHAnsi" w:cstheme="minorHAnsi"/>
          <w:b/>
          <w:color w:val="1F61AA"/>
          <w:sz w:val="56"/>
          <w:szCs w:val="64"/>
        </w:rPr>
        <w:t>. Схема лікування чутливого до рифампіцину та стійкого до ізоніазиду ТБ</w:t>
      </w:r>
    </w:p>
    <w:p w:rsidR="005C0A87" w:rsidRPr="006263CF" w:rsidRDefault="005C0A87" w:rsidP="006263CF">
      <w:pPr>
        <w:spacing w:before="667"/>
        <w:ind w:right="10"/>
        <w:jc w:val="both"/>
        <w:rPr>
          <w:rFonts w:asciiTheme="minorHAnsi" w:hAnsiTheme="minorHAnsi" w:cstheme="minorHAnsi"/>
          <w:sz w:val="18"/>
        </w:rPr>
      </w:pPr>
      <w:r w:rsidRPr="006263CF">
        <w:rPr>
          <w:rFonts w:asciiTheme="minorHAnsi" w:hAnsiTheme="minorHAnsi" w:cstheme="minorHAnsi"/>
          <w:color w:val="000000"/>
          <w:szCs w:val="22"/>
        </w:rPr>
        <w:t xml:space="preserve">ВООЗ випустила свої перші доказові настанови щодо лікування Нрез-ТБ із використанням підходу GRADE у 2018 році </w:t>
      </w:r>
      <w:r w:rsidRPr="006263CF">
        <w:rPr>
          <w:rFonts w:asciiTheme="minorHAnsi" w:hAnsiTheme="minorHAnsi" w:cstheme="minorHAnsi"/>
          <w:i/>
          <w:iCs/>
          <w:color w:val="000000"/>
          <w:szCs w:val="22"/>
        </w:rPr>
        <w:t>(1)</w:t>
      </w:r>
      <w:r w:rsidRPr="006263CF">
        <w:rPr>
          <w:rFonts w:asciiTheme="minorHAnsi" w:hAnsiTheme="minorHAnsi" w:cstheme="minorHAnsi"/>
          <w:color w:val="000000"/>
          <w:szCs w:val="22"/>
        </w:rPr>
        <w:t>. Настанови ґрунтуються на наступних двох рекомендаціях:</w:t>
      </w:r>
    </w:p>
    <w:p w:rsidR="005C0A87" w:rsidRPr="006263CF" w:rsidRDefault="005C0A87" w:rsidP="006263CF">
      <w:pPr>
        <w:spacing w:before="144"/>
        <w:ind w:left="221" w:right="230"/>
        <w:jc w:val="both"/>
        <w:rPr>
          <w:rFonts w:asciiTheme="minorHAnsi" w:hAnsiTheme="minorHAnsi" w:cstheme="minorHAnsi"/>
          <w:sz w:val="18"/>
        </w:rPr>
      </w:pPr>
      <w:r w:rsidRPr="006263CF">
        <w:rPr>
          <w:rFonts w:asciiTheme="minorHAnsi" w:hAnsiTheme="minorHAnsi" w:cstheme="minorHAnsi"/>
          <w:b/>
          <w:bCs/>
          <w:color w:val="000000"/>
          <w:szCs w:val="22"/>
        </w:rPr>
        <w:t>Рекомендація 1.1 У пацієнтів із підтвердженим чутливим до рифампіцину, резистентним до ізоніазиду туберкульозом, лікування рифампіцином, етамбутолом, піразинамідом та левофлоксацином рекомендується тривалістю протягом 6 місяців.</w:t>
      </w:r>
    </w:p>
    <w:p w:rsidR="005C0A87" w:rsidRPr="006263CF" w:rsidRDefault="005C0A87" w:rsidP="006263CF">
      <w:pPr>
        <w:ind w:left="221"/>
        <w:rPr>
          <w:rFonts w:asciiTheme="minorHAnsi" w:hAnsiTheme="minorHAnsi" w:cstheme="minorHAnsi"/>
          <w:sz w:val="18"/>
        </w:rPr>
      </w:pPr>
      <w:r w:rsidRPr="006263CF">
        <w:rPr>
          <w:rFonts w:asciiTheme="minorHAnsi" w:hAnsiTheme="minorHAnsi" w:cstheme="minorHAnsi"/>
          <w:i/>
          <w:iCs/>
          <w:color w:val="000000"/>
          <w:szCs w:val="22"/>
        </w:rPr>
        <w:t>(Умовна рекомендація, дуже низька визначеність в оцінках ефекту)</w:t>
      </w:r>
    </w:p>
    <w:p w:rsidR="005C0A87" w:rsidRPr="006263CF" w:rsidRDefault="005C0A87" w:rsidP="006263CF">
      <w:pPr>
        <w:spacing w:before="144"/>
        <w:ind w:left="221" w:right="230"/>
        <w:jc w:val="both"/>
        <w:rPr>
          <w:rFonts w:asciiTheme="minorHAnsi" w:hAnsiTheme="minorHAnsi" w:cstheme="minorHAnsi"/>
          <w:sz w:val="18"/>
        </w:rPr>
      </w:pPr>
      <w:r w:rsidRPr="006263CF">
        <w:rPr>
          <w:rFonts w:asciiTheme="minorHAnsi" w:hAnsiTheme="minorHAnsi" w:cstheme="minorHAnsi"/>
          <w:b/>
          <w:bCs/>
          <w:color w:val="000000"/>
          <w:szCs w:val="22"/>
        </w:rPr>
        <w:t>Рекомендація 1.2 Пацієнтам із підтвердженим чутливим до рифампіцину, резистентним до ізоніазиду туберкульозом, не рекомендується додавати до схеми лікування стрептоміцин або інші ін’єкційні засоби.</w:t>
      </w:r>
    </w:p>
    <w:p w:rsidR="005C0A87" w:rsidRPr="006263CF" w:rsidRDefault="005C0A87" w:rsidP="006263CF">
      <w:pPr>
        <w:ind w:left="221"/>
        <w:rPr>
          <w:rFonts w:asciiTheme="minorHAnsi" w:hAnsiTheme="minorHAnsi" w:cstheme="minorHAnsi"/>
          <w:sz w:val="18"/>
        </w:rPr>
      </w:pPr>
      <w:r w:rsidRPr="006263CF">
        <w:rPr>
          <w:rFonts w:asciiTheme="minorHAnsi" w:hAnsiTheme="minorHAnsi" w:cstheme="minorHAnsi"/>
          <w:i/>
          <w:iCs/>
          <w:color w:val="000000"/>
          <w:szCs w:val="22"/>
        </w:rPr>
        <w:t>(Умовна рекомендація, дуже низька визначеність в оцінках ефекту)</w:t>
      </w:r>
    </w:p>
    <w:p w:rsidR="005C0A87" w:rsidRPr="006263CF" w:rsidRDefault="005C0A87" w:rsidP="006263CF">
      <w:pPr>
        <w:spacing w:before="24"/>
        <w:ind w:right="883"/>
        <w:rPr>
          <w:rFonts w:asciiTheme="minorHAnsi" w:hAnsiTheme="minorHAnsi" w:cstheme="minorHAnsi"/>
          <w:sz w:val="18"/>
        </w:rPr>
      </w:pPr>
      <w:r w:rsidRPr="006263CF">
        <w:rPr>
          <w:rFonts w:asciiTheme="minorHAnsi" w:hAnsiTheme="minorHAnsi" w:cstheme="minorHAnsi"/>
          <w:color w:val="000000"/>
          <w:szCs w:val="22"/>
        </w:rPr>
        <w:t xml:space="preserve">Винесені рекомендації носять умовний характер </w:t>
      </w:r>
      <w:r w:rsidRPr="006263CF">
        <w:rPr>
          <w:rFonts w:asciiTheme="minorHAnsi" w:hAnsiTheme="minorHAnsi" w:cstheme="minorHAnsi"/>
          <w:i/>
          <w:iCs/>
          <w:color w:val="000000"/>
          <w:szCs w:val="22"/>
        </w:rPr>
        <w:t xml:space="preserve">(4) </w:t>
      </w:r>
      <w:r w:rsidRPr="006263CF">
        <w:rPr>
          <w:rFonts w:asciiTheme="minorHAnsi" w:hAnsiTheme="minorHAnsi" w:cstheme="minorHAnsi"/>
          <w:color w:val="000000"/>
          <w:szCs w:val="22"/>
        </w:rPr>
        <w:t>та характеризуються дуже низьким ступенем достовірності доказів. Базову схему лікування можна резюмувати як таку:</w:t>
      </w:r>
    </w:p>
    <w:p w:rsidR="005C0A87" w:rsidRPr="006263CF" w:rsidRDefault="007E6088" w:rsidP="006263CF">
      <w:pPr>
        <w:spacing w:before="38"/>
        <w:ind w:left="226"/>
        <w:rPr>
          <w:rFonts w:asciiTheme="minorHAnsi" w:hAnsiTheme="minorHAnsi" w:cstheme="minorHAnsi"/>
          <w:sz w:val="18"/>
        </w:rPr>
      </w:pPr>
      <w:r w:rsidRPr="006263CF">
        <w:rPr>
          <w:rFonts w:asciiTheme="minorHAnsi" w:hAnsiTheme="minorHAnsi" w:cstheme="minorHAnsi"/>
          <w:noProof/>
          <w:sz w:val="18"/>
        </w:rPr>
        <mc:AlternateContent>
          <mc:Choice Requires="wps">
            <w:drawing>
              <wp:anchor distT="0" distB="0" distL="114300" distR="114300" simplePos="0" relativeHeight="251662336" behindDoc="0" locked="0" layoutInCell="1" allowOverlap="1" wp14:anchorId="624423EA" wp14:editId="6B22AB96">
                <wp:simplePos x="0" y="0"/>
                <wp:positionH relativeFrom="page">
                  <wp:posOffset>2857500</wp:posOffset>
                </wp:positionH>
                <wp:positionV relativeFrom="page">
                  <wp:posOffset>5229657</wp:posOffset>
                </wp:positionV>
                <wp:extent cx="1803400" cy="246185"/>
                <wp:effectExtent l="0" t="0" r="6350" b="1905"/>
                <wp:wrapNone/>
                <wp:docPr id="18" name="Поле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0" cy="246185"/>
                        </a:xfrm>
                        <a:prstGeom prst="rect">
                          <a:avLst/>
                        </a:prstGeom>
                        <a:solidFill>
                          <a:srgbClr val="D7DBEE"/>
                        </a:solidFill>
                        <a:ln w="6350">
                          <a:noFill/>
                        </a:ln>
                        <a:effectLst/>
                      </wps:spPr>
                      <wps:txbx>
                        <w:txbxContent>
                          <w:p w:rsidR="00395867" w:rsidRPr="006263CF" w:rsidRDefault="00395867" w:rsidP="000344A4">
                            <w:pPr>
                              <w:spacing w:before="120"/>
                              <w:jc w:val="center"/>
                              <w:rPr>
                                <w:rFonts w:asciiTheme="minorHAnsi" w:hAnsiTheme="minorHAnsi" w:cstheme="minorHAnsi"/>
                                <w:sz w:val="12"/>
                              </w:rPr>
                            </w:pPr>
                            <w:r w:rsidRPr="006263CF">
                              <w:rPr>
                                <w:rFonts w:asciiTheme="minorHAnsi" w:hAnsiTheme="minorHAnsi" w:cstheme="minorHAnsi"/>
                                <w:b/>
                                <w:bCs/>
                                <w:color w:val="000000"/>
                                <w:sz w:val="16"/>
                                <w:szCs w:val="22"/>
                              </w:rPr>
                              <w:t>Схема лікування Нрез-ТБ: 6(H)REZ-Lfx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423EA" id="_x0000_s1027" type="#_x0000_t202" style="position:absolute;left:0;text-align:left;margin-left:225pt;margin-top:411.8pt;width:142pt;height:19.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" fillcolor="#d7dbee" stroked="f" strokeweight=".5pt">
                <v:textbox inset="0,0,0,0">
                  <w:txbxContent>
                    <w:p w:rsidR="00395867" w:rsidRPr="006263CF" w:rsidRDefault="00395867" w:rsidP="000344A4">
                      <w:pPr>
                        <w:spacing w:before="120"/>
                        <w:jc w:val="center"/>
                        <w:rPr>
                          <w:rFonts w:asciiTheme="minorHAnsi" w:hAnsiTheme="minorHAnsi" w:cstheme="minorHAnsi"/>
                          <w:sz w:val="12"/>
                        </w:rPr>
                      </w:pPr>
                      <w:r w:rsidRPr="006263CF">
                        <w:rPr>
                          <w:rFonts w:asciiTheme="minorHAnsi" w:hAnsiTheme="minorHAnsi" w:cstheme="minorHAnsi"/>
                          <w:b/>
                          <w:bCs/>
                          <w:color w:val="000000"/>
                          <w:sz w:val="16"/>
                          <w:szCs w:val="22"/>
                        </w:rPr>
                        <w:t>Схема лікування Нрез-ТБ: 6(H)REZ-Lfx</w:t>
                      </w:r>
                    </w:p>
                  </w:txbxContent>
                </v:textbox>
                <w10:wrap anchorx="page" anchory="page"/>
              </v:shape>
            </w:pict>
          </mc:Fallback>
        </mc:AlternateContent>
      </w:r>
      <w:r w:rsidRPr="006263CF">
        <w:rPr>
          <w:rFonts w:asciiTheme="minorHAnsi" w:hAnsiTheme="minorHAnsi" w:cstheme="minorHAnsi"/>
          <w:noProof/>
          <w:sz w:val="18"/>
        </w:rPr>
        <w:drawing>
          <wp:inline distT="0" distB="0" distL="0" distR="0" wp14:anchorId="2C1D82B1" wp14:editId="032B9B0B">
            <wp:extent cx="5535295" cy="487680"/>
            <wp:effectExtent l="0" t="0" r="825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35295" cy="487680"/>
                    </a:xfrm>
                    <a:prstGeom prst="rect">
                      <a:avLst/>
                    </a:prstGeom>
                    <a:noFill/>
                    <a:ln>
                      <a:noFill/>
                    </a:ln>
                  </pic:spPr>
                </pic:pic>
              </a:graphicData>
            </a:graphic>
          </wp:inline>
        </w:drawing>
      </w:r>
    </w:p>
    <w:p w:rsidR="005C0A87" w:rsidRPr="006263CF" w:rsidRDefault="005C0A87" w:rsidP="006263CF">
      <w:pPr>
        <w:jc w:val="both"/>
        <w:rPr>
          <w:rFonts w:asciiTheme="minorHAnsi" w:hAnsiTheme="minorHAnsi" w:cstheme="minorHAnsi"/>
          <w:sz w:val="18"/>
        </w:rPr>
      </w:pPr>
      <w:r w:rsidRPr="006263CF">
        <w:rPr>
          <w:rFonts w:asciiTheme="minorHAnsi" w:hAnsiTheme="minorHAnsi" w:cstheme="minorHAnsi"/>
          <w:color w:val="000000"/>
          <w:szCs w:val="22"/>
        </w:rPr>
        <w:t>Усі лікарські препарати, зазначені у цій схемі лікування, приймаються щодня протягом 6 місяців. При застосуванні комбінованих препаратів із фіксованим дозуванням (КПФД) ізоніазид входить до складу, але не є обов'язковим для цієї схеми лікування. Якщо застосування левофлоксацину неможливе через наявність стійкості до фторхінолону, непереносимості або інших протипоказань до застосування фторхінолону, то можуть призначати схему 6(H)REZ – щодня протягом 6 місяців.</w:t>
      </w:r>
    </w:p>
    <w:p w:rsidR="005C0A87" w:rsidRPr="006263CF" w:rsidRDefault="005C0A87" w:rsidP="006263CF">
      <w:pPr>
        <w:spacing w:before="278"/>
        <w:rPr>
          <w:rFonts w:asciiTheme="minorHAnsi" w:hAnsiTheme="minorHAnsi" w:cstheme="minorHAnsi"/>
          <w:sz w:val="18"/>
        </w:rPr>
      </w:pPr>
      <w:r w:rsidRPr="006263CF">
        <w:rPr>
          <w:rFonts w:asciiTheme="minorHAnsi" w:hAnsiTheme="minorHAnsi" w:cstheme="minorHAnsi"/>
          <w:b/>
          <w:bCs/>
          <w:color w:val="1F61AA"/>
          <w:sz w:val="36"/>
          <w:szCs w:val="38"/>
        </w:rPr>
        <w:t>4.1 Придатність</w:t>
      </w:r>
    </w:p>
    <w:p w:rsidR="005C0A87" w:rsidRPr="006263CF" w:rsidRDefault="005C0A87" w:rsidP="006263CF">
      <w:pPr>
        <w:spacing w:before="106"/>
        <w:jc w:val="both"/>
        <w:rPr>
          <w:rFonts w:asciiTheme="minorHAnsi" w:hAnsiTheme="minorHAnsi" w:cstheme="minorHAnsi"/>
          <w:sz w:val="18"/>
        </w:rPr>
      </w:pPr>
      <w:r w:rsidRPr="006263CF">
        <w:rPr>
          <w:rFonts w:asciiTheme="minorHAnsi" w:hAnsiTheme="minorHAnsi" w:cstheme="minorHAnsi"/>
          <w:color w:val="000000"/>
          <w:szCs w:val="22"/>
        </w:rPr>
        <w:t>Застосування схеми лікування Hрез-TБ рекомендується після підтвердження стійкості до ізоніазидів та виключення стійкості до рифампіцину. Слід виключити стійкість до рифампіцину за допомогою швидких молекулярних тестів (наприклад, Xpert MTB/RIF) перед використанням левофлоксацину; це робиться для того, щоб уникнути ненавмисного лікування MР/Риф-TБ при невідповідній схемі лікування. В ідеалі також необхідно провести ТМЧ до фторхінолонів та піразинаміду.</w:t>
      </w:r>
    </w:p>
    <w:p w:rsidR="005C0A87" w:rsidRPr="006263CF" w:rsidRDefault="005C0A87" w:rsidP="006263CF">
      <w:pPr>
        <w:spacing w:before="149"/>
        <w:jc w:val="both"/>
        <w:rPr>
          <w:rFonts w:asciiTheme="minorHAnsi" w:hAnsiTheme="minorHAnsi" w:cstheme="minorHAnsi"/>
          <w:sz w:val="18"/>
        </w:rPr>
      </w:pPr>
      <w:r w:rsidRPr="006263CF">
        <w:rPr>
          <w:rFonts w:asciiTheme="minorHAnsi" w:hAnsiTheme="minorHAnsi" w:cstheme="minorHAnsi"/>
          <w:color w:val="000000"/>
          <w:szCs w:val="22"/>
        </w:rPr>
        <w:t>Не рекомендується призначати схему лікування Нрез -ТБ, якщо не підтверджена стійкість або її висока ймовірність до ізоніазиду (наприклад, хворий, у якого підтверджений туберкульоз, який тісно контактує із особою з документально підтвердженим випадком Нрез-ТБ). Так можна запобігти непотрібному використанню левофлоксацину та пролонгованій експозиції піразинамідом у хворих на туберкульоз, яких можна вилікувані за допомогою схем 2HREZ/4HR. Після того, як схему лікування Нрез-ТБ розпочато, якщо результати початкового ТМЧ демонструють чутливість до ізоніазиду, схему можна модифікувати таким чином, щоб пацієнт ефективно пройшов курс лікування туберкульозу препаратами 1-го ряду.</w:t>
      </w:r>
    </w:p>
    <w:p w:rsidR="005C0A87" w:rsidRPr="006263CF" w:rsidRDefault="005C0A87" w:rsidP="006263CF">
      <w:pPr>
        <w:spacing w:before="144"/>
        <w:jc w:val="both"/>
        <w:rPr>
          <w:rFonts w:asciiTheme="minorHAnsi" w:hAnsiTheme="minorHAnsi" w:cstheme="minorHAnsi"/>
          <w:sz w:val="18"/>
        </w:rPr>
      </w:pPr>
      <w:r w:rsidRPr="006263CF">
        <w:rPr>
          <w:rFonts w:asciiTheme="minorHAnsi" w:hAnsiTheme="minorHAnsi" w:cstheme="minorHAnsi"/>
          <w:color w:val="000000"/>
          <w:szCs w:val="22"/>
        </w:rPr>
        <w:t>Рекомендації стосуються як дорослих, так і дітей, включаючи людей, що живуть із ВІЛ (ЛЖВ). Таким чином, тестування на ВІЛ та лікування ЛЖВ антиретровірусною терапією має важливе значення, а метою</w:t>
      </w:r>
    </w:p>
    <w:p w:rsidR="005C0A87" w:rsidRPr="006263CF" w:rsidRDefault="005C0A87" w:rsidP="006263CF">
      <w:pPr>
        <w:spacing w:before="144"/>
        <w:jc w:val="both"/>
        <w:rPr>
          <w:rFonts w:asciiTheme="minorHAnsi" w:hAnsiTheme="minorHAnsi" w:cstheme="minorHAnsi"/>
          <w:sz w:val="18"/>
        </w:rPr>
        <w:sectPr w:rsidR="005C0A87" w:rsidRPr="006263CF">
          <w:footerReference w:type="default" r:id="rId24"/>
          <w:pgSz w:w="11904" w:h="16838"/>
          <w:pgMar w:top="2112" w:right="1416" w:bottom="1435" w:left="1416" w:header="708" w:footer="708" w:gutter="0"/>
          <w:cols w:space="60"/>
          <w:noEndnote/>
        </w:sectPr>
      </w:pPr>
    </w:p>
    <w:p w:rsidR="005C0A87" w:rsidRPr="006263CF" w:rsidRDefault="005C0A87" w:rsidP="006263CF">
      <w:pPr>
        <w:jc w:val="both"/>
        <w:rPr>
          <w:rFonts w:asciiTheme="minorHAnsi" w:hAnsiTheme="minorHAnsi" w:cstheme="minorHAnsi"/>
          <w:sz w:val="18"/>
        </w:rPr>
      </w:pPr>
      <w:bookmarkStart w:id="9" w:name="bookmark8"/>
      <w:r w:rsidRPr="006263CF">
        <w:rPr>
          <w:rFonts w:asciiTheme="minorHAnsi" w:hAnsiTheme="minorHAnsi" w:cstheme="minorHAnsi"/>
          <w:color w:val="000000"/>
          <w:szCs w:val="22"/>
        </w:rPr>
        <w:lastRenderedPageBreak/>
        <w:t>є</w:t>
      </w:r>
      <w:bookmarkEnd w:id="9"/>
      <w:r w:rsidRPr="006263CF">
        <w:rPr>
          <w:rFonts w:asciiTheme="minorHAnsi" w:hAnsiTheme="minorHAnsi" w:cstheme="minorHAnsi"/>
          <w:color w:val="000000"/>
          <w:szCs w:val="22"/>
        </w:rPr>
        <w:t>початок АРТ протягом 8 тижнів від початку лікування туберкульозу (незалежно від кількості CD4), або протягом перших 2 тижнів у пацієнтів із глибокою імуносупресією (наприклад, кількість CD4 &lt;50 клітин/мм</w:t>
      </w:r>
      <w:r w:rsidRPr="006263CF">
        <w:rPr>
          <w:rFonts w:asciiTheme="minorHAnsi" w:hAnsiTheme="minorHAnsi" w:cstheme="minorHAnsi"/>
          <w:color w:val="000000"/>
          <w:szCs w:val="22"/>
          <w:vertAlign w:val="superscript"/>
        </w:rPr>
        <w:t>3</w:t>
      </w:r>
      <w:r w:rsidRPr="006263CF">
        <w:rPr>
          <w:rFonts w:asciiTheme="minorHAnsi" w:hAnsiTheme="minorHAnsi" w:cstheme="minorHAnsi"/>
          <w:color w:val="000000"/>
          <w:szCs w:val="22"/>
        </w:rPr>
        <w:t xml:space="preserve">) </w:t>
      </w:r>
      <w:r w:rsidRPr="006263CF">
        <w:rPr>
          <w:rFonts w:asciiTheme="minorHAnsi" w:hAnsiTheme="minorHAnsi" w:cstheme="minorHAnsi"/>
          <w:i/>
          <w:iCs/>
          <w:color w:val="000000"/>
          <w:szCs w:val="22"/>
        </w:rPr>
        <w:t>(20)</w:t>
      </w:r>
      <w:r w:rsidRPr="006263CF">
        <w:rPr>
          <w:rFonts w:asciiTheme="minorHAnsi" w:hAnsiTheme="minorHAnsi" w:cstheme="minorHAnsi"/>
          <w:color w:val="000000"/>
          <w:szCs w:val="22"/>
        </w:rPr>
        <w:t>. Схема лікування, імовірно, буде ефективною для пацієнтів із позалегеневим Нрез-ТБ, проте рекомендується проконсультуватися із відповідними фахівцями.</w:t>
      </w:r>
    </w:p>
    <w:p w:rsidR="005C0A87" w:rsidRPr="006263CF" w:rsidRDefault="005C0A87" w:rsidP="006263CF">
      <w:pPr>
        <w:spacing w:before="144"/>
        <w:rPr>
          <w:rFonts w:asciiTheme="minorHAnsi" w:hAnsiTheme="minorHAnsi" w:cstheme="minorHAnsi"/>
          <w:sz w:val="18"/>
        </w:rPr>
      </w:pPr>
      <w:r w:rsidRPr="006263CF">
        <w:rPr>
          <w:rFonts w:asciiTheme="minorHAnsi" w:hAnsiTheme="minorHAnsi" w:cstheme="minorHAnsi"/>
          <w:color w:val="000000"/>
          <w:szCs w:val="22"/>
        </w:rPr>
        <w:t>Передбачається, що лікування Нрез-ТБ розпочинається тоді, коли виникає будь-яка з наступних обставин:</w:t>
      </w:r>
    </w:p>
    <w:p w:rsidR="005C0A87" w:rsidRPr="006263CF" w:rsidRDefault="005C0A87" w:rsidP="006263CF">
      <w:pPr>
        <w:numPr>
          <w:ilvl w:val="0"/>
          <w:numId w:val="9"/>
        </w:numPr>
        <w:tabs>
          <w:tab w:val="left" w:pos="240"/>
        </w:tabs>
        <w:spacing w:before="149"/>
        <w:ind w:left="240" w:hanging="240"/>
        <w:jc w:val="both"/>
        <w:rPr>
          <w:rFonts w:asciiTheme="minorHAnsi" w:eastAsia="Times New Roman" w:hAnsiTheme="minorHAnsi" w:cstheme="minorHAnsi"/>
          <w:color w:val="1F61AA"/>
          <w:szCs w:val="22"/>
        </w:rPr>
      </w:pPr>
      <w:r w:rsidRPr="006263CF">
        <w:rPr>
          <w:rFonts w:asciiTheme="minorHAnsi" w:hAnsiTheme="minorHAnsi" w:cstheme="minorHAnsi"/>
          <w:color w:val="000000"/>
          <w:szCs w:val="22"/>
        </w:rPr>
        <w:t>При підтвердженні Нрез-ТБ та виключені стійкості до рифампіцину перед початком лікування туберкульозу – у таких випадках схема 6(H)REZ-Lfx призначається негайно. При впевненому припущенні діагнозу (наприклад, тісні контакти підтвердженого джерела Нрез-ТБ), але все ще не отриманих результатах TМЧ, дозволяється розпочати схему лікування. Якщо результати ТМЧ, отримані на початку лікування, в кінцевому підсумку показують сприйнятливість до ізоніазиду, то лікування левофлоксацином припиняється, і пацієнт продовжує лікування для того, щоб завершити схему лікування 2HREZ / 4HR; або</w:t>
      </w:r>
    </w:p>
    <w:p w:rsidR="005C0A87" w:rsidRPr="006263CF" w:rsidRDefault="005C0A87" w:rsidP="006263CF">
      <w:pPr>
        <w:numPr>
          <w:ilvl w:val="0"/>
          <w:numId w:val="9"/>
        </w:numPr>
        <w:tabs>
          <w:tab w:val="left" w:pos="240"/>
        </w:tabs>
        <w:ind w:left="240" w:hanging="240"/>
        <w:jc w:val="both"/>
        <w:rPr>
          <w:rFonts w:asciiTheme="minorHAnsi" w:eastAsia="Times New Roman" w:hAnsiTheme="minorHAnsi" w:cstheme="minorHAnsi"/>
          <w:color w:val="1F61AA"/>
          <w:szCs w:val="22"/>
        </w:rPr>
      </w:pPr>
      <w:r w:rsidRPr="006263CF">
        <w:rPr>
          <w:rFonts w:asciiTheme="minorHAnsi" w:hAnsiTheme="minorHAnsi" w:cstheme="minorHAnsi"/>
          <w:color w:val="000000"/>
          <w:szCs w:val="22"/>
        </w:rPr>
        <w:t xml:space="preserve">Hрез-TБ виявляється після початку лікування схемою 2HREZ/4HR (сюди належать пацієнти, у яких була не діагностована стійкість до ізоніазиду на початку лікування, або які розвинули стійкість до ізоніазиду під час лікування препаратами 1-го ряду) - у таких випадках необхідно проводити (або повторювати) швидкі молекулярні тести на стійкість до рифампіцину. Після виключення стійкості до рифампіцину проводиться повний 6-місячний курс за схемою (H)REZ-Lfx. Тривалість лікування обумовлена​ необхідністю призначати левофлоксацин протягом 6 місяців, що, як правило, означає, що супутні лікарські препарати 1-го ряду приймаються довше. Звіт про стійкість під час лікування ставить перед лікарем виклик, оскільки результати можуть більше не відображати медикаментозну чутливість до лікарських засобів наявної бактеріальної популяції, враховуючи, що неадекватна схема лікування (часом функціональна монотерапія) може сприяти набуттю додаткової стійкості через певний проміжок часу. Неочікуване виявлення стійкості до одного препарату має спонукати лікаря до повторного проведення ТМЧ для інших препаратів у схемі. Приклад у </w:t>
      </w:r>
      <w:r w:rsidRPr="006263CF">
        <w:rPr>
          <w:rFonts w:asciiTheme="minorHAnsi" w:hAnsiTheme="minorHAnsi" w:cstheme="minorHAnsi"/>
          <w:color w:val="1F61AA"/>
          <w:szCs w:val="22"/>
        </w:rPr>
        <w:t xml:space="preserve">Вкладці 4.1 </w:t>
      </w:r>
      <w:r w:rsidRPr="006263CF">
        <w:rPr>
          <w:rFonts w:asciiTheme="minorHAnsi" w:hAnsiTheme="minorHAnsi" w:cstheme="minorHAnsi"/>
          <w:color w:val="000000"/>
          <w:szCs w:val="22"/>
        </w:rPr>
        <w:t>ілюструє типову ситуацію, яка може виникнути.</w:t>
      </w:r>
    </w:p>
    <w:p w:rsidR="005C0A87" w:rsidRPr="006263CF" w:rsidRDefault="005C0A87" w:rsidP="006263CF">
      <w:pPr>
        <w:spacing w:before="278"/>
        <w:rPr>
          <w:rFonts w:asciiTheme="minorHAnsi" w:hAnsiTheme="minorHAnsi" w:cstheme="minorHAnsi"/>
          <w:sz w:val="18"/>
        </w:rPr>
      </w:pPr>
      <w:r w:rsidRPr="006263CF">
        <w:rPr>
          <w:rFonts w:asciiTheme="minorHAnsi" w:hAnsiTheme="minorHAnsi" w:cstheme="minorHAnsi"/>
          <w:b/>
          <w:bCs/>
          <w:color w:val="1F61AA"/>
          <w:sz w:val="36"/>
          <w:szCs w:val="38"/>
        </w:rPr>
        <w:t>4.2 Склад та тривалість схеми лікування</w:t>
      </w:r>
    </w:p>
    <w:p w:rsidR="005C0A87" w:rsidRPr="006263CF" w:rsidRDefault="005C0A87" w:rsidP="006263CF">
      <w:pPr>
        <w:spacing w:before="110"/>
        <w:jc w:val="both"/>
        <w:rPr>
          <w:rFonts w:asciiTheme="minorHAnsi" w:hAnsiTheme="minorHAnsi" w:cstheme="minorHAnsi"/>
          <w:sz w:val="18"/>
        </w:rPr>
      </w:pPr>
      <w:r w:rsidRPr="006263CF">
        <w:rPr>
          <w:rFonts w:asciiTheme="minorHAnsi" w:hAnsiTheme="minorHAnsi" w:cstheme="minorHAnsi"/>
          <w:color w:val="000000"/>
          <w:szCs w:val="22"/>
        </w:rPr>
        <w:t xml:space="preserve">Тривалість лікування Hрез-TБ визначається необхідністю проходження 6-місячної фторхінолоновмісної схеми лікування. Це означає, що при встановленні діагнозу «Нрез-ТБ» </w:t>
      </w:r>
      <w:r w:rsidRPr="006263CF">
        <w:rPr>
          <w:rFonts w:asciiTheme="minorHAnsi" w:hAnsiTheme="minorHAnsi" w:cstheme="minorHAnsi"/>
          <w:i/>
          <w:iCs/>
          <w:color w:val="000000"/>
          <w:szCs w:val="22"/>
        </w:rPr>
        <w:t xml:space="preserve">після </w:t>
      </w:r>
      <w:r w:rsidRPr="006263CF">
        <w:rPr>
          <w:rFonts w:asciiTheme="minorHAnsi" w:hAnsiTheme="minorHAnsi" w:cstheme="minorHAnsi"/>
          <w:color w:val="000000"/>
          <w:szCs w:val="22"/>
        </w:rPr>
        <w:t>початку схеми лікування препаратами 1-го ряду, супутні лікарські препарати (HREZ) врешті решт призначатимуться впродовж більше 6 місяців.</w:t>
      </w:r>
    </w:p>
    <w:p w:rsidR="005C0A87" w:rsidRPr="006263CF" w:rsidRDefault="005C0A87" w:rsidP="006263CF">
      <w:pPr>
        <w:spacing w:before="149"/>
        <w:jc w:val="both"/>
        <w:rPr>
          <w:rFonts w:asciiTheme="minorHAnsi" w:hAnsiTheme="minorHAnsi" w:cstheme="minorHAnsi"/>
          <w:sz w:val="18"/>
        </w:rPr>
      </w:pPr>
      <w:r w:rsidRPr="006263CF">
        <w:rPr>
          <w:rFonts w:asciiTheme="minorHAnsi" w:hAnsiTheme="minorHAnsi" w:cstheme="minorHAnsi"/>
          <w:color w:val="000000"/>
          <w:szCs w:val="22"/>
        </w:rPr>
        <w:t>У пацієнтів із кавернозним туберкульозом легень та позитивними мазками культури та мокротиння, пролонгацію схеми (H)REZ-Lfx після 6 місяців лікування можна розглядати у кожному конкретному випадку. Пролонгація лікування збільшує ризик токсичності, особливо від піразинаміду та етамбутолу, які зазвичай призначаються лише протягом 2 місяців у схемі лікування туберкульозу 1-го ряду. Докази, переглянуті настановою ВООЗ щодо Нрез-ТБ, виключали рекомендацію щодо обмеження тривалості прийому піразинаміду менше, ніж 4 місяці при отриманні фторхінолону.</w:t>
      </w:r>
    </w:p>
    <w:p w:rsidR="005C0A87" w:rsidRPr="006263CF" w:rsidRDefault="005C0A87" w:rsidP="006263CF">
      <w:pPr>
        <w:spacing w:before="144"/>
        <w:jc w:val="both"/>
        <w:rPr>
          <w:rFonts w:asciiTheme="minorHAnsi" w:hAnsiTheme="minorHAnsi" w:cstheme="minorHAnsi"/>
          <w:sz w:val="18"/>
        </w:rPr>
      </w:pPr>
      <w:r w:rsidRPr="006263CF">
        <w:rPr>
          <w:rFonts w:asciiTheme="minorHAnsi" w:hAnsiTheme="minorHAnsi" w:cstheme="minorHAnsi"/>
          <w:color w:val="000000"/>
          <w:szCs w:val="22"/>
        </w:rPr>
        <w:t xml:space="preserve">Левофлоксацин є кращим фторхінолоном для схем лікування Hрез-TБ із двох причин. По-перше, вплив моксифлоксацину помітно зменшується при його комбінації із рифампіцином </w:t>
      </w:r>
      <w:r w:rsidRPr="006263CF">
        <w:rPr>
          <w:rFonts w:asciiTheme="minorHAnsi" w:hAnsiTheme="minorHAnsi" w:cstheme="minorHAnsi"/>
          <w:i/>
          <w:iCs/>
          <w:color w:val="000000"/>
          <w:szCs w:val="22"/>
        </w:rPr>
        <w:t>(21)</w:t>
      </w:r>
      <w:r w:rsidRPr="006263CF">
        <w:rPr>
          <w:rFonts w:asciiTheme="minorHAnsi" w:hAnsiTheme="minorHAnsi" w:cstheme="minorHAnsi"/>
          <w:color w:val="000000"/>
          <w:szCs w:val="22"/>
        </w:rPr>
        <w:t>. У випадку із левофлоксацином такого ефекту зафіксовано не було, можливо, тому, що така взаємодія привернула менше уваги для її дослідження. По-друге, схоже, що левофлоксацин викликає меншу пролонгацію QT інтервалу, ніж моксифлоксацин.</w:t>
      </w:r>
    </w:p>
    <w:p w:rsidR="005C0A87" w:rsidRPr="006263CF" w:rsidRDefault="005C0A87" w:rsidP="006263CF">
      <w:pPr>
        <w:spacing w:before="144"/>
        <w:jc w:val="both"/>
        <w:rPr>
          <w:rFonts w:asciiTheme="minorHAnsi" w:hAnsiTheme="minorHAnsi" w:cstheme="minorHAnsi"/>
          <w:sz w:val="18"/>
        </w:rPr>
      </w:pPr>
      <w:r w:rsidRPr="006263CF">
        <w:rPr>
          <w:rFonts w:asciiTheme="minorHAnsi" w:hAnsiTheme="minorHAnsi" w:cstheme="minorHAnsi"/>
          <w:color w:val="000000"/>
          <w:szCs w:val="22"/>
        </w:rPr>
        <w:t>Левофлоксацин включають до схем лікування Нрез-ТБ, за винятком наступних випадків: коли стійкість до рифампіцину неможливо перевірити, коли наявна зареєстрована стійкість або відома непереносимість фторхінолонів, а також за наявності в анамнезі пацієнта пролонгації QT інтервалу та вагітності. У разі неможливості використання фторхінолону, пацієнта із Hрез-TБ все ще можна лікувати схемою 6(H)REZ; стрептоміцин у таких випадках не потрібен.</w:t>
      </w:r>
    </w:p>
    <w:p w:rsidR="005C0A87" w:rsidRPr="006263CF" w:rsidRDefault="005C0A87" w:rsidP="006263CF">
      <w:pPr>
        <w:spacing w:before="144"/>
        <w:jc w:val="both"/>
        <w:rPr>
          <w:rFonts w:asciiTheme="minorHAnsi" w:hAnsiTheme="minorHAnsi" w:cstheme="minorHAnsi"/>
          <w:sz w:val="18"/>
        </w:rPr>
      </w:pPr>
      <w:r w:rsidRPr="006263CF">
        <w:rPr>
          <w:rFonts w:asciiTheme="minorHAnsi" w:hAnsiTheme="minorHAnsi" w:cstheme="minorHAnsi"/>
          <w:color w:val="000000"/>
          <w:szCs w:val="22"/>
        </w:rPr>
        <w:t xml:space="preserve">Для зручності пацієнта та простоти застосування комбіновані препарати з фіксованим дозуванням (КПФД) зі схеми HREZ можуть використовуватися для лікування Hрез-TБ (оскільки наразі немає доступних КПФД у схемі REZ). Дозування інших препаратів 1-го ряду у схемі лікування Hрез-TБ таке ж, як і у стандартизованій схемі 2HREZ/4HR 1-го ряду. Не було доведено, що включення ізоніазиду у схему лікування не приносить істотної користі чи шкоди пацієнтам, проте ізоніазид може послабити гепатотоксичність піразинаміду </w:t>
      </w:r>
      <w:r w:rsidRPr="006263CF">
        <w:rPr>
          <w:rFonts w:asciiTheme="minorHAnsi" w:hAnsiTheme="minorHAnsi" w:cstheme="minorHAnsi"/>
          <w:i/>
          <w:iCs/>
          <w:color w:val="000000"/>
          <w:szCs w:val="22"/>
        </w:rPr>
        <w:t>(22, 23)</w:t>
      </w:r>
      <w:r w:rsidRPr="006263CF">
        <w:rPr>
          <w:rFonts w:asciiTheme="minorHAnsi" w:hAnsiTheme="minorHAnsi" w:cstheme="minorHAnsi"/>
          <w:color w:val="000000"/>
          <w:szCs w:val="22"/>
        </w:rPr>
        <w:t>. Ізоніазид у високій дозі</w:t>
      </w:r>
    </w:p>
    <w:p w:rsidR="005C0A87" w:rsidRPr="006263CF" w:rsidRDefault="005C0A87" w:rsidP="006263CF">
      <w:pPr>
        <w:spacing w:before="144"/>
        <w:jc w:val="both"/>
        <w:rPr>
          <w:rFonts w:asciiTheme="minorHAnsi" w:hAnsiTheme="minorHAnsi" w:cstheme="minorHAnsi"/>
          <w:sz w:val="18"/>
        </w:rPr>
        <w:sectPr w:rsidR="005C0A87" w:rsidRPr="006263CF">
          <w:pgSz w:w="11904" w:h="16838"/>
          <w:pgMar w:top="1349" w:right="1416" w:bottom="1310" w:left="1416"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9384"/>
      </w:tblGrid>
      <w:tr w:rsidR="005C0A87" w:rsidRPr="006263CF">
        <w:trPr>
          <w:trHeight w:hRule="exact" w:val="1234"/>
        </w:trPr>
        <w:tc>
          <w:tcPr>
            <w:tcW w:w="9384" w:type="dxa"/>
            <w:tcBorders>
              <w:top w:val="nil"/>
              <w:left w:val="nil"/>
              <w:bottom w:val="nil"/>
              <w:right w:val="nil"/>
            </w:tcBorders>
            <w:shd w:val="clear" w:color="auto" w:fill="FFFFFF"/>
          </w:tcPr>
          <w:p w:rsidR="005C0A87" w:rsidRPr="006263CF" w:rsidRDefault="005C0A87" w:rsidP="000C4F1C">
            <w:pPr>
              <w:ind w:right="110"/>
              <w:jc w:val="both"/>
              <w:rPr>
                <w:rFonts w:asciiTheme="minorHAnsi" w:hAnsiTheme="minorHAnsi" w:cstheme="minorHAnsi"/>
                <w:sz w:val="18"/>
              </w:rPr>
            </w:pPr>
            <w:bookmarkStart w:id="10" w:name="bookmark9"/>
            <w:r w:rsidRPr="006263CF">
              <w:rPr>
                <w:rFonts w:asciiTheme="minorHAnsi" w:hAnsiTheme="minorHAnsi" w:cstheme="minorHAnsi"/>
                <w:color w:val="000000"/>
                <w:szCs w:val="22"/>
              </w:rPr>
              <w:lastRenderedPageBreak/>
              <w:t>(</w:t>
            </w:r>
            <w:bookmarkEnd w:id="10"/>
            <w:r w:rsidRPr="006263CF">
              <w:rPr>
                <w:rFonts w:asciiTheme="minorHAnsi" w:hAnsiTheme="minorHAnsi" w:cstheme="minorHAnsi"/>
                <w:color w:val="000000"/>
                <w:szCs w:val="22"/>
              </w:rPr>
              <w:t xml:space="preserve">10-15 мг/кг на добу) все ще може виявляти ефективність при застосуванні у комбінованих схемах лікування за наявності ізольованих мутацій </w:t>
            </w:r>
            <w:r w:rsidRPr="006263CF">
              <w:rPr>
                <w:rFonts w:asciiTheme="minorHAnsi" w:hAnsiTheme="minorHAnsi" w:cstheme="minorHAnsi"/>
                <w:i/>
                <w:iCs/>
                <w:color w:val="000000"/>
                <w:szCs w:val="22"/>
              </w:rPr>
              <w:t>inh</w:t>
            </w:r>
            <w:r w:rsidRPr="006263CF">
              <w:rPr>
                <w:rFonts w:asciiTheme="minorHAnsi" w:hAnsiTheme="minorHAnsi" w:cstheme="minorHAnsi"/>
                <w:color w:val="000000"/>
                <w:szCs w:val="22"/>
              </w:rPr>
              <w:t xml:space="preserve">A, пов’язаних із мінімальною інгібуючою концентрацією (MIК), навіть у «швидких ацетиляторах» (тобто в тих, хто швидко метаболізує ізоніазид) </w:t>
            </w:r>
            <w:r w:rsidRPr="006263CF">
              <w:rPr>
                <w:rFonts w:asciiTheme="minorHAnsi" w:hAnsiTheme="minorHAnsi" w:cstheme="minorHAnsi"/>
                <w:i/>
                <w:iCs/>
                <w:color w:val="000000"/>
                <w:szCs w:val="22"/>
              </w:rPr>
              <w:t>(24)</w:t>
            </w:r>
            <w:r w:rsidRPr="006263CF">
              <w:rPr>
                <w:rFonts w:asciiTheme="minorHAnsi" w:hAnsiTheme="minorHAnsi" w:cstheme="minorHAnsi"/>
                <w:color w:val="000000"/>
                <w:szCs w:val="22"/>
              </w:rPr>
              <w:t xml:space="preserve">. За наявності мутацій таких, як </w:t>
            </w:r>
            <w:r w:rsidRPr="006263CF">
              <w:rPr>
                <w:rFonts w:asciiTheme="minorHAnsi" w:hAnsiTheme="minorHAnsi" w:cstheme="minorHAnsi"/>
                <w:i/>
                <w:iCs/>
                <w:color w:val="000000"/>
                <w:szCs w:val="22"/>
              </w:rPr>
              <w:t>inh</w:t>
            </w:r>
            <w:r w:rsidRPr="006263CF">
              <w:rPr>
                <w:rFonts w:asciiTheme="minorHAnsi" w:hAnsiTheme="minorHAnsi" w:cstheme="minorHAnsi"/>
                <w:color w:val="000000"/>
                <w:szCs w:val="22"/>
              </w:rPr>
              <w:t xml:space="preserve">A та </w:t>
            </w:r>
            <w:r w:rsidRPr="006263CF">
              <w:rPr>
                <w:rFonts w:asciiTheme="minorHAnsi" w:hAnsiTheme="minorHAnsi" w:cstheme="minorHAnsi"/>
                <w:i/>
                <w:iCs/>
                <w:color w:val="000000"/>
                <w:szCs w:val="22"/>
              </w:rPr>
              <w:t>kat</w:t>
            </w:r>
            <w:r w:rsidRPr="006263CF">
              <w:rPr>
                <w:rFonts w:asciiTheme="minorHAnsi" w:hAnsiTheme="minorHAnsi" w:cstheme="minorHAnsi"/>
                <w:color w:val="000000"/>
                <w:szCs w:val="22"/>
              </w:rPr>
              <w:t>G, додавання ізоніазиду (навіть у високій дозі) навряд чи підвищить ефективність схеми лікування.</w:t>
            </w:r>
          </w:p>
        </w:tc>
      </w:tr>
      <w:tr w:rsidR="005C0A87" w:rsidRPr="006263CF">
        <w:trPr>
          <w:trHeight w:hRule="exact" w:val="7454"/>
        </w:trPr>
        <w:tc>
          <w:tcPr>
            <w:tcW w:w="9384" w:type="dxa"/>
            <w:tcBorders>
              <w:top w:val="nil"/>
              <w:left w:val="nil"/>
              <w:bottom w:val="nil"/>
              <w:right w:val="nil"/>
            </w:tcBorders>
            <w:shd w:val="clear" w:color="auto" w:fill="FFFFFF"/>
          </w:tcPr>
          <w:p w:rsidR="005C0A87" w:rsidRPr="006263CF" w:rsidRDefault="007E6088" w:rsidP="006263CF">
            <w:pPr>
              <w:rPr>
                <w:rFonts w:asciiTheme="minorHAnsi" w:hAnsiTheme="minorHAnsi" w:cstheme="minorHAnsi"/>
                <w:sz w:val="18"/>
              </w:rPr>
            </w:pPr>
            <w:r w:rsidRPr="006263CF">
              <w:rPr>
                <w:rFonts w:asciiTheme="minorHAnsi" w:hAnsiTheme="minorHAnsi" w:cstheme="minorHAnsi"/>
                <w:noProof/>
                <w:sz w:val="18"/>
              </w:rPr>
              <mc:AlternateContent>
                <mc:Choice Requires="wps">
                  <w:drawing>
                    <wp:anchor distT="0" distB="0" distL="114300" distR="114300" simplePos="0" relativeHeight="251666432" behindDoc="0" locked="0" layoutInCell="1" allowOverlap="1" wp14:anchorId="3AE7A733" wp14:editId="64061DD4">
                      <wp:simplePos x="0" y="0"/>
                      <wp:positionH relativeFrom="page">
                        <wp:posOffset>159385</wp:posOffset>
                      </wp:positionH>
                      <wp:positionV relativeFrom="page">
                        <wp:posOffset>262890</wp:posOffset>
                      </wp:positionV>
                      <wp:extent cx="5311775" cy="426085"/>
                      <wp:effectExtent l="0" t="0" r="3175" b="0"/>
                      <wp:wrapNone/>
                      <wp:docPr id="17" name="Поле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775" cy="426085"/>
                              </a:xfrm>
                              <a:prstGeom prst="rect">
                                <a:avLst/>
                              </a:prstGeom>
                              <a:solidFill>
                                <a:srgbClr val="1F61AA"/>
                              </a:solidFill>
                              <a:ln>
                                <a:noFill/>
                              </a:ln>
                              <a:extLst/>
                            </wps:spPr>
                            <wps:txbx>
                              <w:txbxContent>
                                <w:p w:rsidR="00395867" w:rsidRPr="006263CF" w:rsidRDefault="00395867" w:rsidP="00445738">
                                  <w:pPr>
                                    <w:rPr>
                                      <w:rFonts w:asciiTheme="minorHAnsi" w:hAnsiTheme="minorHAnsi" w:cstheme="minorHAnsi"/>
                                      <w:sz w:val="18"/>
                                    </w:rPr>
                                  </w:pPr>
                                  <w:r w:rsidRPr="006263CF">
                                    <w:rPr>
                                      <w:rFonts w:asciiTheme="minorHAnsi" w:hAnsiTheme="minorHAnsi" w:cstheme="minorHAnsi"/>
                                      <w:b/>
                                      <w:bCs/>
                                      <w:color w:val="FFFFFF"/>
                                      <w:sz w:val="22"/>
                                      <w:szCs w:val="22"/>
                                    </w:rPr>
                                    <w:t>Вставка 4.1. Оцінка типового випадку – затримка результату ТМЧ пацієнта, що знаходиться на схемі лікування 1-го ряду</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E7A733" id="_x0000_s1028" type="#_x0000_t202" style="position:absolute;margin-left:12.55pt;margin-top:20.7pt;width:418.25pt;height:33.5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" fillcolor="#1f61aa" stroked="f">
                      <v:textbox inset="0,0,0,0">
                        <w:txbxContent>
                          <w:p w:rsidR="00395867" w:rsidRPr="006263CF" w:rsidRDefault="00395867" w:rsidP="00445738">
                            <w:pPr>
                              <w:rPr>
                                <w:rFonts w:asciiTheme="minorHAnsi" w:hAnsiTheme="minorHAnsi" w:cstheme="minorHAnsi"/>
                                <w:sz w:val="18"/>
                              </w:rPr>
                            </w:pPr>
                            <w:r w:rsidRPr="006263CF">
                              <w:rPr>
                                <w:rFonts w:asciiTheme="minorHAnsi" w:hAnsiTheme="minorHAnsi" w:cstheme="minorHAnsi"/>
                                <w:b/>
                                <w:bCs/>
                                <w:color w:val="FFFFFF"/>
                                <w:sz w:val="22"/>
                                <w:szCs w:val="22"/>
                              </w:rPr>
                              <w:t>Вставка 4.1. Оцінка типового випадку – затримка результату ТМЧ пацієнта, що знаходиться на схемі лікування 1-го ряду</w:t>
                            </w:r>
                          </w:p>
                        </w:txbxContent>
                      </v:textbox>
                      <w10:wrap anchorx="page" anchory="page"/>
                    </v:shape>
                  </w:pict>
                </mc:Fallback>
              </mc:AlternateContent>
            </w:r>
            <w:r w:rsidRPr="006263CF">
              <w:rPr>
                <w:rFonts w:asciiTheme="minorHAnsi" w:hAnsiTheme="minorHAnsi" w:cstheme="minorHAnsi"/>
                <w:noProof/>
                <w:sz w:val="18"/>
              </w:rPr>
              <mc:AlternateContent>
                <mc:Choice Requires="wps">
                  <w:drawing>
                    <wp:anchor distT="0" distB="0" distL="114300" distR="114300" simplePos="0" relativeHeight="251665408" behindDoc="0" locked="0" layoutInCell="1" allowOverlap="1" wp14:anchorId="59B337BD" wp14:editId="4B6E32D0">
                      <wp:simplePos x="0" y="0"/>
                      <wp:positionH relativeFrom="page">
                        <wp:posOffset>318135</wp:posOffset>
                      </wp:positionH>
                      <wp:positionV relativeFrom="page">
                        <wp:posOffset>847090</wp:posOffset>
                      </wp:positionV>
                      <wp:extent cx="5311775" cy="3743325"/>
                      <wp:effectExtent l="0" t="0" r="3175" b="9525"/>
                      <wp:wrapNone/>
                      <wp:docPr id="16" name="Поле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11775" cy="3743325"/>
                              </a:xfrm>
                              <a:prstGeom prst="rect">
                                <a:avLst/>
                              </a:prstGeom>
                              <a:solidFill>
                                <a:srgbClr val="D7DBEE"/>
                              </a:solidFill>
                              <a:ln w="6350">
                                <a:noFill/>
                              </a:ln>
                              <a:effectLst/>
                            </wps:spPr>
                            <wps:txbx>
                              <w:txbxContent>
                                <w:p w:rsidR="00395867" w:rsidRPr="006263CF" w:rsidRDefault="00395867" w:rsidP="00445738">
                                  <w:pPr>
                                    <w:widowControl/>
                                    <w:spacing w:after="160" w:line="221" w:lineRule="atLeast"/>
                                    <w:jc w:val="both"/>
                                    <w:rPr>
                                      <w:rFonts w:asciiTheme="minorHAnsi" w:hAnsiTheme="minorHAnsi" w:cstheme="minorHAnsi"/>
                                      <w:color w:val="000000"/>
                                      <w:szCs w:val="22"/>
                                    </w:rPr>
                                  </w:pPr>
                                  <w:r w:rsidRPr="006263CF">
                                    <w:rPr>
                                      <w:rFonts w:asciiTheme="minorHAnsi" w:hAnsiTheme="minorHAnsi" w:cstheme="minorHAnsi"/>
                                      <w:color w:val="000000"/>
                                      <w:szCs w:val="22"/>
                                    </w:rPr>
                                    <w:t xml:space="preserve">Перед початком лікування схемою 2HREZ/4HR, пацієнт із чутливим до рифампіцину ТБ, підтвердженим за допомогою тесту Xpert MTB/RIF, надіслав зразок мокротиння в регіональну лабораторію для проведення ТМЧ фенотиповим методом. Через три місяці результати повернулися до лікаря, на них спостерігалася чутливість до етамбутолу і піразинаміду, але також стійкість до ізоніазиду. Тим часом пацієнт мав прихильність до своєї схеми лікування, набирав вагу і не виявляв жодних симптомів протягом 2 місяців. </w:t>
                                  </w:r>
                                </w:p>
                                <w:p w:rsidR="00395867" w:rsidRPr="006263CF" w:rsidRDefault="00395867" w:rsidP="00445738">
                                  <w:pPr>
                                    <w:widowControl/>
                                    <w:spacing w:after="160" w:line="221" w:lineRule="atLeast"/>
                                    <w:jc w:val="both"/>
                                    <w:rPr>
                                      <w:rFonts w:asciiTheme="minorHAnsi" w:hAnsiTheme="minorHAnsi" w:cstheme="minorHAnsi"/>
                                      <w:color w:val="000000"/>
                                      <w:szCs w:val="22"/>
                                    </w:rPr>
                                  </w:pPr>
                                  <w:r w:rsidRPr="006263CF">
                                    <w:rPr>
                                      <w:rFonts w:asciiTheme="minorHAnsi" w:hAnsiTheme="minorHAnsi" w:cstheme="minorHAnsi"/>
                                      <w:color w:val="000000"/>
                                      <w:szCs w:val="22"/>
                                    </w:rPr>
                                    <w:t xml:space="preserve">Про що слід подумати лікареві та яких вжити заходів? </w:t>
                                  </w:r>
                                </w:p>
                                <w:p w:rsidR="00395867" w:rsidRPr="006263CF" w:rsidRDefault="00395867" w:rsidP="00445738">
                                  <w:pPr>
                                    <w:widowControl/>
                                    <w:numPr>
                                      <w:ilvl w:val="0"/>
                                      <w:numId w:val="24"/>
                                    </w:numPr>
                                    <w:spacing w:after="61"/>
                                    <w:rPr>
                                      <w:rFonts w:asciiTheme="minorHAnsi" w:hAnsiTheme="minorHAnsi" w:cstheme="minorHAnsi"/>
                                      <w:color w:val="000000"/>
                                      <w:szCs w:val="22"/>
                                    </w:rPr>
                                  </w:pPr>
                                  <w:r w:rsidRPr="006263CF">
                                    <w:rPr>
                                      <w:rFonts w:asciiTheme="minorHAnsi" w:hAnsiTheme="minorHAnsi" w:cstheme="minorHAnsi"/>
                                      <w:color w:val="000000"/>
                                      <w:szCs w:val="22"/>
                                    </w:rPr>
                                    <w:t xml:space="preserve">З огляду на те, що результати ТМЧ були отримані З місяці тому, первісна картина стійкості може більше не вказувати на поточну ситуацію, оскільки бактерії, ймовірно, набули додаткової стійкості. </w:t>
                                  </w:r>
                                </w:p>
                                <w:p w:rsidR="00395867" w:rsidRPr="006263CF" w:rsidRDefault="00395867" w:rsidP="00445738">
                                  <w:pPr>
                                    <w:widowControl/>
                                    <w:numPr>
                                      <w:ilvl w:val="0"/>
                                      <w:numId w:val="24"/>
                                    </w:numPr>
                                    <w:spacing w:after="61"/>
                                    <w:rPr>
                                      <w:rFonts w:asciiTheme="minorHAnsi" w:hAnsiTheme="minorHAnsi" w:cstheme="minorHAnsi"/>
                                      <w:color w:val="000000"/>
                                      <w:szCs w:val="22"/>
                                    </w:rPr>
                                  </w:pPr>
                                  <w:r w:rsidRPr="006263CF">
                                    <w:rPr>
                                      <w:rFonts w:asciiTheme="minorHAnsi" w:hAnsiTheme="minorHAnsi" w:cstheme="minorHAnsi"/>
                                      <w:color w:val="000000"/>
                                      <w:szCs w:val="22"/>
                                    </w:rPr>
                                    <w:t xml:space="preserve">З початку третього місяця пацієнт повинен був перебувати у фазі продовження прийому ізоніазиду та рифампіцину (які зазвичай представлені у вигляді КПФД); однак насправді пацієнт знаходиться на монотерапії рифампіцином. Могла розвинутися стійкість до рифампіцину, а тому таку можливість потрібно перевірити, навіть якщо клінічний прогрес свідчить про те, що схема працює. Необхідно провести повторний тест Xpert MTB/RIF. </w:t>
                                  </w:r>
                                </w:p>
                                <w:p w:rsidR="00395867" w:rsidRPr="006263CF" w:rsidRDefault="00395867" w:rsidP="00445738">
                                  <w:pPr>
                                    <w:widowControl/>
                                    <w:numPr>
                                      <w:ilvl w:val="1"/>
                                      <w:numId w:val="26"/>
                                    </w:numPr>
                                    <w:spacing w:after="61"/>
                                    <w:ind w:left="1276"/>
                                    <w:rPr>
                                      <w:rFonts w:asciiTheme="minorHAnsi" w:hAnsiTheme="minorHAnsi" w:cstheme="minorHAnsi"/>
                                      <w:color w:val="000000"/>
                                      <w:szCs w:val="22"/>
                                    </w:rPr>
                                  </w:pPr>
                                  <w:r>
                                    <w:rPr>
                                      <w:rFonts w:asciiTheme="minorHAnsi" w:hAnsiTheme="minorHAnsi" w:cstheme="minorHAnsi"/>
                                      <w:color w:val="000000"/>
                                      <w:szCs w:val="22"/>
                                    </w:rPr>
                                    <w:t>При виявленні</w:t>
                                  </w:r>
                                  <w:r w:rsidRPr="006263CF">
                                    <w:rPr>
                                      <w:rFonts w:asciiTheme="minorHAnsi" w:hAnsiTheme="minorHAnsi" w:cstheme="minorHAnsi"/>
                                      <w:color w:val="000000"/>
                                      <w:szCs w:val="22"/>
                                    </w:rPr>
                                    <w:t xml:space="preserve"> стійкості до рифампіцину, пацієнту слід розпочати лікування МР-ТБ (детально описано в розділах 5–7). </w:t>
                                  </w:r>
                                </w:p>
                                <w:p w:rsidR="00395867" w:rsidRPr="006263CF" w:rsidRDefault="00395867" w:rsidP="00445738">
                                  <w:pPr>
                                    <w:widowControl/>
                                    <w:numPr>
                                      <w:ilvl w:val="0"/>
                                      <w:numId w:val="26"/>
                                    </w:numPr>
                                    <w:ind w:left="1276"/>
                                    <w:rPr>
                                      <w:rFonts w:asciiTheme="minorHAnsi" w:hAnsiTheme="minorHAnsi" w:cstheme="minorHAnsi"/>
                                      <w:color w:val="000000"/>
                                      <w:szCs w:val="22"/>
                                    </w:rPr>
                                  </w:pPr>
                                  <w:r w:rsidRPr="006263CF">
                                    <w:rPr>
                                      <w:rFonts w:asciiTheme="minorHAnsi" w:hAnsiTheme="minorHAnsi" w:cstheme="minorHAnsi"/>
                                      <w:color w:val="000000"/>
                                      <w:szCs w:val="22"/>
                                    </w:rPr>
                                    <w:t xml:space="preserve">Якщо стійкість до рифампіцину не виявлена, пацієнта необхідно перевести на лікування схемою (H) REZ-Lfx на 6 місяців. В ідеалі, необхідно провести ТМЧ до хінолонів.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337BD" id="_x0000_s1029" type="#_x0000_t202" style="position:absolute;margin-left:25.05pt;margin-top:66.7pt;width:418.25pt;height:294.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" fillcolor="#d7dbee" stroked="f" strokeweight=".5pt">
                      <v:textbox inset="0,0,0,0">
                        <w:txbxContent>
                          <w:p w:rsidR="00395867" w:rsidRPr="006263CF" w:rsidRDefault="00395867" w:rsidP="00445738">
                            <w:pPr>
                              <w:widowControl/>
                              <w:spacing w:after="160" w:line="221" w:lineRule="atLeast"/>
                              <w:jc w:val="both"/>
                              <w:rPr>
                                <w:rFonts w:asciiTheme="minorHAnsi" w:hAnsiTheme="minorHAnsi" w:cstheme="minorHAnsi"/>
                                <w:color w:val="000000"/>
                                <w:szCs w:val="22"/>
                              </w:rPr>
                            </w:pPr>
                            <w:r w:rsidRPr="006263CF">
                              <w:rPr>
                                <w:rFonts w:asciiTheme="minorHAnsi" w:hAnsiTheme="minorHAnsi" w:cstheme="minorHAnsi"/>
                                <w:color w:val="000000"/>
                                <w:szCs w:val="22"/>
                              </w:rPr>
                              <w:t xml:space="preserve">Перед початком лікування схемою 2HREZ/4HR, пацієнт із чутливим до рифампіцину ТБ, підтвердженим за допомогою тесту Xpert MTB/RIF, надіслав зразок мокротиння в регіональну лабораторію для проведення ТМЧ фенотиповим методом. Через три місяці результати повернулися до лікаря, на них спостерігалася чутливість до етамбутолу і піразинаміду, але також стійкість до ізоніазиду. Тим часом пацієнт мав прихильність до своєї схеми лікування, набирав вагу і не виявляв жодних симптомів протягом 2 місяців. </w:t>
                            </w:r>
                          </w:p>
                          <w:p w:rsidR="00395867" w:rsidRPr="006263CF" w:rsidRDefault="00395867" w:rsidP="00445738">
                            <w:pPr>
                              <w:widowControl/>
                              <w:spacing w:after="160" w:line="221" w:lineRule="atLeast"/>
                              <w:jc w:val="both"/>
                              <w:rPr>
                                <w:rFonts w:asciiTheme="minorHAnsi" w:hAnsiTheme="minorHAnsi" w:cstheme="minorHAnsi"/>
                                <w:color w:val="000000"/>
                                <w:szCs w:val="22"/>
                              </w:rPr>
                            </w:pPr>
                            <w:r w:rsidRPr="006263CF">
                              <w:rPr>
                                <w:rFonts w:asciiTheme="minorHAnsi" w:hAnsiTheme="minorHAnsi" w:cstheme="minorHAnsi"/>
                                <w:color w:val="000000"/>
                                <w:szCs w:val="22"/>
                              </w:rPr>
                              <w:t xml:space="preserve">Про що слід подумати лікареві та яких вжити заходів? </w:t>
                            </w:r>
                          </w:p>
                          <w:p w:rsidR="00395867" w:rsidRPr="006263CF" w:rsidRDefault="00395867" w:rsidP="00445738">
                            <w:pPr>
                              <w:widowControl/>
                              <w:numPr>
                                <w:ilvl w:val="0"/>
                                <w:numId w:val="24"/>
                              </w:numPr>
                              <w:spacing w:after="61"/>
                              <w:rPr>
                                <w:rFonts w:asciiTheme="minorHAnsi" w:hAnsiTheme="minorHAnsi" w:cstheme="minorHAnsi"/>
                                <w:color w:val="000000"/>
                                <w:szCs w:val="22"/>
                              </w:rPr>
                            </w:pPr>
                            <w:r w:rsidRPr="006263CF">
                              <w:rPr>
                                <w:rFonts w:asciiTheme="minorHAnsi" w:hAnsiTheme="minorHAnsi" w:cstheme="minorHAnsi"/>
                                <w:color w:val="000000"/>
                                <w:szCs w:val="22"/>
                              </w:rPr>
                              <w:t xml:space="preserve">З огляду на те, що результати ТМЧ були отримані З місяці тому, первісна картина стійкості може більше не вказувати на поточну ситуацію, оскільки бактерії, ймовірно, набули додаткової стійкості. </w:t>
                            </w:r>
                          </w:p>
                          <w:p w:rsidR="00395867" w:rsidRPr="006263CF" w:rsidRDefault="00395867" w:rsidP="00445738">
                            <w:pPr>
                              <w:widowControl/>
                              <w:numPr>
                                <w:ilvl w:val="0"/>
                                <w:numId w:val="24"/>
                              </w:numPr>
                              <w:spacing w:after="61"/>
                              <w:rPr>
                                <w:rFonts w:asciiTheme="minorHAnsi" w:hAnsiTheme="minorHAnsi" w:cstheme="minorHAnsi"/>
                                <w:color w:val="000000"/>
                                <w:szCs w:val="22"/>
                              </w:rPr>
                            </w:pPr>
                            <w:r w:rsidRPr="006263CF">
                              <w:rPr>
                                <w:rFonts w:asciiTheme="minorHAnsi" w:hAnsiTheme="minorHAnsi" w:cstheme="minorHAnsi"/>
                                <w:color w:val="000000"/>
                                <w:szCs w:val="22"/>
                              </w:rPr>
                              <w:t xml:space="preserve">З початку третього місяця пацієнт повинен був перебувати у фазі продовження прийому ізоніазиду та рифампіцину (які зазвичай представлені у вигляді КПФД); однак насправді пацієнт знаходиться на монотерапії рифампіцином. Могла розвинутися стійкість до рифампіцину, а тому таку можливість потрібно перевірити, навіть якщо клінічний прогрес свідчить про те, що схема працює. Необхідно провести повторний тест Xpert MTB/RIF. </w:t>
                            </w:r>
                          </w:p>
                          <w:p w:rsidR="00395867" w:rsidRPr="006263CF" w:rsidRDefault="00395867" w:rsidP="00445738">
                            <w:pPr>
                              <w:widowControl/>
                              <w:numPr>
                                <w:ilvl w:val="1"/>
                                <w:numId w:val="26"/>
                              </w:numPr>
                              <w:spacing w:after="61"/>
                              <w:ind w:left="1276"/>
                              <w:rPr>
                                <w:rFonts w:asciiTheme="minorHAnsi" w:hAnsiTheme="minorHAnsi" w:cstheme="minorHAnsi"/>
                                <w:color w:val="000000"/>
                                <w:szCs w:val="22"/>
                              </w:rPr>
                            </w:pPr>
                            <w:r>
                              <w:rPr>
                                <w:rFonts w:asciiTheme="minorHAnsi" w:hAnsiTheme="minorHAnsi" w:cstheme="minorHAnsi"/>
                                <w:color w:val="000000"/>
                                <w:szCs w:val="22"/>
                              </w:rPr>
                              <w:t>При виявленні</w:t>
                            </w:r>
                            <w:r w:rsidRPr="006263CF">
                              <w:rPr>
                                <w:rFonts w:asciiTheme="minorHAnsi" w:hAnsiTheme="minorHAnsi" w:cstheme="minorHAnsi"/>
                                <w:color w:val="000000"/>
                                <w:szCs w:val="22"/>
                              </w:rPr>
                              <w:t xml:space="preserve"> стійкості до рифампіцину, пацієнту слід розпочати лікування МР-ТБ (детально описано в розділах 5–7). </w:t>
                            </w:r>
                          </w:p>
                          <w:p w:rsidR="00395867" w:rsidRPr="006263CF" w:rsidRDefault="00395867" w:rsidP="00445738">
                            <w:pPr>
                              <w:widowControl/>
                              <w:numPr>
                                <w:ilvl w:val="0"/>
                                <w:numId w:val="26"/>
                              </w:numPr>
                              <w:ind w:left="1276"/>
                              <w:rPr>
                                <w:rFonts w:asciiTheme="minorHAnsi" w:hAnsiTheme="minorHAnsi" w:cstheme="minorHAnsi"/>
                                <w:color w:val="000000"/>
                                <w:szCs w:val="22"/>
                              </w:rPr>
                            </w:pPr>
                            <w:r w:rsidRPr="006263CF">
                              <w:rPr>
                                <w:rFonts w:asciiTheme="minorHAnsi" w:hAnsiTheme="minorHAnsi" w:cstheme="minorHAnsi"/>
                                <w:color w:val="000000"/>
                                <w:szCs w:val="22"/>
                              </w:rPr>
                              <w:t xml:space="preserve">Якщо стійкість до рифампіцину не виявлена, пацієнта необхідно перевести на лікування схемою (H) REZ-Lfx на 6 місяців. В ідеалі, необхідно провести ТМЧ до хінолонів. </w:t>
                            </w:r>
                          </w:p>
                        </w:txbxContent>
                      </v:textbox>
                      <w10:wrap anchorx="page" anchory="page"/>
                    </v:shape>
                  </w:pict>
                </mc:Fallback>
              </mc:AlternateContent>
            </w:r>
            <w:r w:rsidRPr="006263CF">
              <w:rPr>
                <w:rFonts w:asciiTheme="minorHAnsi" w:hAnsiTheme="minorHAnsi" w:cstheme="minorHAnsi"/>
                <w:noProof/>
                <w:sz w:val="18"/>
              </w:rPr>
              <w:drawing>
                <wp:inline distT="0" distB="0" distL="0" distR="0" wp14:anchorId="5DA037A4" wp14:editId="668385DD">
                  <wp:extent cx="5962015" cy="473075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62015" cy="4730750"/>
                          </a:xfrm>
                          <a:prstGeom prst="rect">
                            <a:avLst/>
                          </a:prstGeom>
                          <a:noFill/>
                          <a:ln>
                            <a:noFill/>
                          </a:ln>
                        </pic:spPr>
                      </pic:pic>
                    </a:graphicData>
                  </a:graphic>
                </wp:inline>
              </w:drawing>
            </w:r>
          </w:p>
        </w:tc>
      </w:tr>
    </w:tbl>
    <w:p w:rsidR="005C0A87" w:rsidRPr="006263CF" w:rsidRDefault="005C0A87" w:rsidP="006263CF">
      <w:pPr>
        <w:spacing w:before="269"/>
        <w:ind w:left="86" w:right="226"/>
        <w:jc w:val="both"/>
        <w:rPr>
          <w:rFonts w:asciiTheme="minorHAnsi" w:hAnsiTheme="minorHAnsi" w:cstheme="minorHAnsi"/>
          <w:sz w:val="18"/>
        </w:rPr>
      </w:pPr>
      <w:r w:rsidRPr="006263CF">
        <w:rPr>
          <w:rFonts w:asciiTheme="minorHAnsi" w:hAnsiTheme="minorHAnsi" w:cstheme="minorHAnsi"/>
          <w:color w:val="000000"/>
          <w:szCs w:val="22"/>
        </w:rPr>
        <w:t>Пацієнти із Нрез-ТБ можуть мати схильність до підвищеного ризику набуття додаткової стійкості та МР-ТБ, що може проявлятися в ході того ж процесу лікування або подальшим виникненням рецидиву. Вплив додаткової стійкості до етамбутолу та піразинаміду на лікування Hрез-TБ залишається незрозумілим.</w:t>
      </w:r>
    </w:p>
    <w:p w:rsidR="005C0A87" w:rsidRPr="006263CF" w:rsidRDefault="005C0A87" w:rsidP="006263CF">
      <w:pPr>
        <w:spacing w:before="278"/>
        <w:ind w:left="86"/>
        <w:rPr>
          <w:rFonts w:asciiTheme="minorHAnsi" w:hAnsiTheme="minorHAnsi" w:cstheme="minorHAnsi"/>
          <w:sz w:val="18"/>
        </w:rPr>
      </w:pPr>
      <w:r w:rsidRPr="006263CF">
        <w:rPr>
          <w:rFonts w:asciiTheme="minorHAnsi" w:hAnsiTheme="minorHAnsi" w:cstheme="minorHAnsi"/>
          <w:b/>
          <w:bCs/>
          <w:color w:val="1F61AA"/>
          <w:sz w:val="36"/>
          <w:szCs w:val="38"/>
        </w:rPr>
        <w:t>4.3 Розгляд впровадження схеми лікування</w:t>
      </w:r>
    </w:p>
    <w:p w:rsidR="005C0A87" w:rsidRPr="006263CF" w:rsidRDefault="005C0A87" w:rsidP="006263CF">
      <w:pPr>
        <w:spacing w:before="110"/>
        <w:ind w:left="86" w:right="226"/>
        <w:jc w:val="both"/>
        <w:rPr>
          <w:rFonts w:asciiTheme="minorHAnsi" w:hAnsiTheme="minorHAnsi" w:cstheme="minorHAnsi"/>
          <w:sz w:val="18"/>
        </w:rPr>
      </w:pPr>
      <w:r w:rsidRPr="006263CF">
        <w:rPr>
          <w:rFonts w:asciiTheme="minorHAnsi" w:hAnsiTheme="minorHAnsi" w:cstheme="minorHAnsi"/>
          <w:color w:val="000000"/>
          <w:szCs w:val="22"/>
        </w:rPr>
        <w:t xml:space="preserve">Схеми, рекомендовані для лікування Hрез-TБ, не мають інтенсивної фази та фази продовження, що спрощує надання та моніторинг лікування. Лікування проводиться щодня, слід уникати періодичного лікування. Для забезпечення сприятливих результатів лікування слід розглянути відповідні заходи для підтримки прихильності до лікування, такі як терапія під прямим контролем, соціальна підтримка та використання цифрових технологій. </w:t>
      </w:r>
      <w:r w:rsidRPr="006263CF">
        <w:rPr>
          <w:rFonts w:asciiTheme="minorHAnsi" w:hAnsiTheme="minorHAnsi" w:cstheme="minorHAnsi"/>
          <w:i/>
          <w:iCs/>
          <w:color w:val="000000"/>
          <w:szCs w:val="22"/>
        </w:rPr>
        <w:t>(2)</w:t>
      </w:r>
      <w:r w:rsidRPr="006263CF">
        <w:rPr>
          <w:rFonts w:asciiTheme="minorHAnsi" w:hAnsiTheme="minorHAnsi" w:cstheme="minorHAnsi"/>
          <w:color w:val="000000"/>
          <w:szCs w:val="22"/>
        </w:rPr>
        <w:t>.</w:t>
      </w:r>
    </w:p>
    <w:p w:rsidR="005C0A87" w:rsidRPr="006263CF" w:rsidRDefault="005C0A87" w:rsidP="006263CF">
      <w:pPr>
        <w:spacing w:before="144"/>
        <w:ind w:left="86" w:right="226"/>
        <w:jc w:val="both"/>
        <w:rPr>
          <w:rFonts w:asciiTheme="minorHAnsi" w:hAnsiTheme="minorHAnsi" w:cstheme="minorHAnsi"/>
          <w:sz w:val="18"/>
        </w:rPr>
      </w:pPr>
      <w:r w:rsidRPr="006263CF">
        <w:rPr>
          <w:rFonts w:asciiTheme="minorHAnsi" w:hAnsiTheme="minorHAnsi" w:cstheme="minorHAnsi"/>
          <w:color w:val="000000"/>
          <w:szCs w:val="22"/>
        </w:rPr>
        <w:t xml:space="preserve">Вартість лікарських препаратів при компонуванні повної схеми 6(H)REZ із левофлоксацином вища, ніж вартість схеми 2HREZ/4HR, що використовується для пацієнтів з лікарсько-чутливим туберкульозом </w:t>
      </w:r>
      <w:r w:rsidRPr="006263CF">
        <w:rPr>
          <w:rFonts w:asciiTheme="minorHAnsi" w:hAnsiTheme="minorHAnsi" w:cstheme="minorHAnsi"/>
          <w:i/>
          <w:iCs/>
          <w:color w:val="000000"/>
          <w:szCs w:val="22"/>
        </w:rPr>
        <w:t>(25)</w:t>
      </w:r>
      <w:r w:rsidRPr="006263CF">
        <w:rPr>
          <w:rFonts w:asciiTheme="minorHAnsi" w:hAnsiTheme="minorHAnsi" w:cstheme="minorHAnsi"/>
          <w:color w:val="000000"/>
          <w:szCs w:val="22"/>
        </w:rPr>
        <w:t>. Тим не менш, схема 6(H)REZ – це доступна та можлива інтервенція навіть для пацієнтів із низьким рівнем доходів. Застосування КПФД спрощує лікування та знижує витрати, а застосування диспегованих лікарських форм HRZ, етамбутолу та левофлоксацину є бажаним лікуванням для дітей. Як і у випадку з лікуванням інших форм туберкульозу, витрати, пов'язані з належним наданням допомоги (наприклад, ТМЧ, підтримка прихильності та клінічний моніторинг), значно перевищують витрати на лікарські препарати.</w:t>
      </w:r>
    </w:p>
    <w:p w:rsidR="005C0A87" w:rsidRPr="006263CF" w:rsidRDefault="005C0A87" w:rsidP="006263CF">
      <w:pPr>
        <w:spacing w:before="144"/>
        <w:ind w:left="86" w:right="226"/>
        <w:jc w:val="both"/>
        <w:rPr>
          <w:rFonts w:asciiTheme="minorHAnsi" w:hAnsiTheme="minorHAnsi" w:cstheme="minorHAnsi"/>
          <w:sz w:val="18"/>
        </w:rPr>
        <w:sectPr w:rsidR="005C0A87" w:rsidRPr="006263CF" w:rsidSect="000C4F1C">
          <w:pgSz w:w="11904" w:h="16838"/>
          <w:pgMar w:top="1291" w:right="1190" w:bottom="851" w:left="1330" w:header="708" w:footer="708" w:gutter="0"/>
          <w:cols w:space="60"/>
          <w:noEndnote/>
        </w:sectPr>
      </w:pPr>
    </w:p>
    <w:p w:rsidR="005C0A87" w:rsidRPr="006263CF" w:rsidRDefault="005C0A87" w:rsidP="006263CF">
      <w:pPr>
        <w:jc w:val="both"/>
        <w:rPr>
          <w:rFonts w:asciiTheme="minorHAnsi" w:hAnsiTheme="minorHAnsi" w:cstheme="minorHAnsi"/>
          <w:sz w:val="18"/>
        </w:rPr>
      </w:pPr>
      <w:bookmarkStart w:id="11" w:name="bookmark10"/>
      <w:r w:rsidRPr="006263CF">
        <w:rPr>
          <w:rFonts w:asciiTheme="minorHAnsi" w:hAnsiTheme="minorHAnsi" w:cstheme="minorHAnsi"/>
          <w:color w:val="000000"/>
          <w:szCs w:val="22"/>
        </w:rPr>
        <w:lastRenderedPageBreak/>
        <w:t>Наразі</w:t>
      </w:r>
      <w:bookmarkEnd w:id="11"/>
      <w:r w:rsidRPr="006263CF">
        <w:rPr>
          <w:rFonts w:asciiTheme="minorHAnsi" w:hAnsiTheme="minorHAnsi" w:cstheme="minorHAnsi"/>
          <w:color w:val="000000"/>
          <w:szCs w:val="22"/>
        </w:rPr>
        <w:t>не затверджено жодної діагностичної платформи для виявлення Hрез-TБ, яка б відповідала швидкості та зручності тесту Xpert MTB/RIF для виявлення стійкості до рифампіцину, хоча новий картридж Xpert, який може виявити стійкість ізоніазиду, знаходиться на стадії розробки. LPA 1-го ряду може виявити стійкість до ізоніазиду; для цього потрібна інфраструктура, яка, як правило, доступна в провінційній або центральній установі. Звичайний час обробки зразка за допомогою LPA становить приблизно 2–3 дні залежно від серії. ТМЧ на основі рідкої культури (або ПІРМ) також здатний виявити Hрез-TБ на рівні референтної лабораторії, але це означає обов'язкову затримку при обробці щонайменше на 10 днів. Тестування на твердих носіях також може бути розглянуте як варіант, але для отримання результатів потрібно декілька місяців, а отже, цей підхід має обмежене використання для базового тестування та моніторингу відповіді на лікування.</w:t>
      </w:r>
    </w:p>
    <w:p w:rsidR="005C0A87" w:rsidRPr="006263CF" w:rsidRDefault="005C0A87" w:rsidP="000C4F1C">
      <w:pPr>
        <w:spacing w:before="40"/>
        <w:jc w:val="both"/>
        <w:rPr>
          <w:rFonts w:asciiTheme="minorHAnsi" w:hAnsiTheme="minorHAnsi" w:cstheme="minorHAnsi"/>
          <w:sz w:val="18"/>
        </w:rPr>
      </w:pPr>
      <w:r w:rsidRPr="006263CF">
        <w:rPr>
          <w:rFonts w:asciiTheme="minorHAnsi" w:hAnsiTheme="minorHAnsi" w:cstheme="minorHAnsi"/>
          <w:color w:val="000000"/>
          <w:szCs w:val="22"/>
        </w:rPr>
        <w:t>Поточні епідеміологічні дані свідчать про те, що понад три чверті глобального тягаря Hрез-TБ припадає на раніше неліковані ("нові") випадки туберкульозу. Попереднє лікування туберкульозу, таким чином, не є запевняючим показником ризику розвитку Hрез-TБ: кореляція з попереднім лікуванням туберкульозу слабша, ніж із МР-ТБ. Тому збереження ТМЧ до ізоніазиду для таких пацієнтів навряд чи призведе до виникнення багатьох випадків Hрез-TБ. Існують різні занепокоєння щодо емпіричної терапії Hрез-TБ раніше пролікованих пацієнтів з туберкульозом без попереднього проведення тесту медикаментозної чутливості. По-перше, така терапія призведе до зайвого лікування препаратами фторхінолонів та пролонгації використання піразинаміду серед багатьох пацієнтів. Серед більшості випадків повторного лікування не буде спостерігатися Hрез-TБ, а вилікувати можна буде за допомогою схеми 2HRZE/4HR. По-друге, якщо на вихідному рівні лікування не буде виключено стійкості до рифампіцину, пацієнти з МР/Риф-ТБ піддаватимуться неадекватній схемі лікування, ризикуючи набути додаткову стійкість, включно до фторхінолонів. По-третє, ця політика відверне фокус програми від тестування нових (раніше нелікованих) хворих на туберкульоз, які, як правило, несуть основний тягар Нрез-ТБ. Нарешті, такий підхід ризикує заново створити «схему повторного лікування», аналогічну ситуації, яка донедавна панувала у багатьох умовах, коли без розбору застосовували 8-місячну схему лікування «Категорія 2», що містить стрептоміцин, для всіх раніше пролікованих пацієнтів з ТБ.</w:t>
      </w:r>
    </w:p>
    <w:p w:rsidR="005C0A87" w:rsidRPr="006263CF" w:rsidRDefault="005C0A87" w:rsidP="000C4F1C">
      <w:pPr>
        <w:spacing w:before="40"/>
        <w:jc w:val="both"/>
        <w:rPr>
          <w:rFonts w:asciiTheme="minorHAnsi" w:hAnsiTheme="minorHAnsi" w:cstheme="minorHAnsi"/>
          <w:sz w:val="18"/>
        </w:rPr>
      </w:pPr>
      <w:r w:rsidRPr="006263CF">
        <w:rPr>
          <w:rFonts w:asciiTheme="minorHAnsi" w:hAnsiTheme="minorHAnsi" w:cstheme="minorHAnsi"/>
          <w:color w:val="000000"/>
          <w:szCs w:val="22"/>
        </w:rPr>
        <w:t>У ситуації належного доступу до TМЧ, логічний алгоритм діагностики запустить Xpert MTB/RIF у якості первинного тесту для всіх оцінених пацієнтів на ознаки туберкульозу. Випадки, в яких підтверджено туберкульоз та не виявлена стійкість до рифампіцину, будуть додатково перевірені за допомогою LPA. Рідка культура може замінити LPA, але додаткова затримка в отриманні результатів є недоліком процесу.</w:t>
      </w:r>
    </w:p>
    <w:p w:rsidR="005C0A87" w:rsidRPr="006263CF" w:rsidRDefault="005C0A87" w:rsidP="000C4F1C">
      <w:pPr>
        <w:spacing w:before="40"/>
        <w:rPr>
          <w:rFonts w:asciiTheme="minorHAnsi" w:hAnsiTheme="minorHAnsi" w:cstheme="minorHAnsi"/>
          <w:sz w:val="18"/>
        </w:rPr>
      </w:pPr>
      <w:r w:rsidRPr="006263CF">
        <w:rPr>
          <w:rFonts w:asciiTheme="minorHAnsi" w:hAnsiTheme="minorHAnsi" w:cstheme="minorHAnsi"/>
          <w:b/>
          <w:bCs/>
          <w:color w:val="1F61AA"/>
          <w:sz w:val="36"/>
          <w:szCs w:val="38"/>
        </w:rPr>
        <w:t>4.4 Моніторинг лікування</w:t>
      </w:r>
    </w:p>
    <w:p w:rsidR="005C0A87" w:rsidRPr="006263CF" w:rsidRDefault="005C0A87" w:rsidP="000C4F1C">
      <w:pPr>
        <w:spacing w:before="40"/>
        <w:jc w:val="both"/>
        <w:rPr>
          <w:rFonts w:asciiTheme="minorHAnsi" w:hAnsiTheme="minorHAnsi" w:cstheme="minorHAnsi"/>
          <w:sz w:val="18"/>
        </w:rPr>
      </w:pPr>
      <w:r w:rsidRPr="006263CF">
        <w:rPr>
          <w:rFonts w:asciiTheme="minorHAnsi" w:hAnsiTheme="minorHAnsi" w:cstheme="minorHAnsi"/>
          <w:color w:val="000000"/>
          <w:szCs w:val="22"/>
        </w:rPr>
        <w:t>Клінічний моніторинг пацієнтів, які перебувають на лікуванні Hрез-TБ, відповідає аналогічним принципам, що застосовуються при інших схемах лікування протитуберкульозної терапії 1-го ряду (</w:t>
      </w:r>
      <w:r w:rsidRPr="006263CF">
        <w:rPr>
          <w:rFonts w:asciiTheme="minorHAnsi" w:hAnsiTheme="minorHAnsi" w:cstheme="minorHAnsi"/>
          <w:color w:val="1F61AA"/>
          <w:szCs w:val="22"/>
        </w:rPr>
        <w:t xml:space="preserve">Розділи 5.4 </w:t>
      </w:r>
      <w:r w:rsidRPr="006263CF">
        <w:rPr>
          <w:rFonts w:asciiTheme="minorHAnsi" w:hAnsiTheme="minorHAnsi" w:cstheme="minorHAnsi"/>
          <w:color w:val="000000"/>
          <w:szCs w:val="22"/>
        </w:rPr>
        <w:t xml:space="preserve">та </w:t>
      </w:r>
      <w:r w:rsidRPr="006263CF">
        <w:rPr>
          <w:rFonts w:asciiTheme="minorHAnsi" w:hAnsiTheme="minorHAnsi" w:cstheme="minorHAnsi"/>
          <w:color w:val="1F61AA"/>
          <w:szCs w:val="22"/>
        </w:rPr>
        <w:t>6.8</w:t>
      </w:r>
      <w:r w:rsidRPr="006263CF">
        <w:rPr>
          <w:rFonts w:asciiTheme="minorHAnsi" w:hAnsiTheme="minorHAnsi" w:cstheme="minorHAnsi"/>
          <w:color w:val="000000"/>
          <w:szCs w:val="22"/>
        </w:rPr>
        <w:t>). Бактеріологічний моніторинг мокротиння, як правило, відбувається за тим же графіком, що і лікарсько-чутливий туберкульоз, за допомогою прямої мікроскопії на 2, 5 та 6 місяцях. Однак, бажано провести мікроскопію культури разом із мікроскопією мазка (або принаймні на останньому місяці лікування) для перевірки наявності будь-якої стійкості, особливо до рифампіцину. Відсутність відповіді на лікування слід дослідити за допомогою ТМЧ.</w:t>
      </w:r>
    </w:p>
    <w:p w:rsidR="005C0A87" w:rsidRPr="006263CF" w:rsidRDefault="005C0A87" w:rsidP="000C4F1C">
      <w:pPr>
        <w:spacing w:before="40"/>
        <w:jc w:val="both"/>
        <w:rPr>
          <w:rFonts w:asciiTheme="minorHAnsi" w:hAnsiTheme="minorHAnsi" w:cstheme="minorHAnsi"/>
          <w:sz w:val="18"/>
        </w:rPr>
      </w:pPr>
      <w:r w:rsidRPr="006263CF">
        <w:rPr>
          <w:rFonts w:asciiTheme="minorHAnsi" w:hAnsiTheme="minorHAnsi" w:cstheme="minorHAnsi"/>
          <w:color w:val="000000"/>
          <w:szCs w:val="22"/>
        </w:rPr>
        <w:t xml:space="preserve">Функціональні проби печінки та нирок, а також інші аналізи крові можуть знадобитися на основі клінічних проявів захворювання та використовуваних лікарських препаратів. Процедура електрокардіографії (ЕКГ) для пацієнтів на схемі 6(H)REZ-Lfx зазвичай не потрібна, якщо немає інших ризиків для пролонгації QT інтервалу. Протитуберкульозні препарати 1-го ряду можуть викликати небажані явища, які в основному проявляються у легкій, несерйозній та самообмежувальній формах, або легко керовані за допомогою основних заходів. Лікарі, що лікують туберкульоз, швидше за все, знайомі із застосуванням цих лікарських препаратів, ніж із левофлоксацином, який має досить хороший профіль безпеки як для дорослих, так і для дітей, коли застосовується у дозі, рекомендованій у </w:t>
      </w:r>
      <w:r w:rsidRPr="006263CF">
        <w:rPr>
          <w:rFonts w:asciiTheme="minorHAnsi" w:hAnsiTheme="minorHAnsi" w:cstheme="minorHAnsi"/>
          <w:color w:val="1F61AA"/>
          <w:szCs w:val="22"/>
        </w:rPr>
        <w:t>додатку I</w:t>
      </w:r>
      <w:r w:rsidRPr="006263CF">
        <w:rPr>
          <w:rFonts w:asciiTheme="minorHAnsi" w:hAnsiTheme="minorHAnsi" w:cstheme="minorHAnsi"/>
          <w:color w:val="000000"/>
          <w:szCs w:val="22"/>
        </w:rPr>
        <w:t xml:space="preserve">, навіть при прийомі протягом 6 місяців (як у схемах лікування MР-ТБ – див. </w:t>
      </w:r>
      <w:r w:rsidRPr="006263CF">
        <w:rPr>
          <w:rFonts w:asciiTheme="minorHAnsi" w:hAnsiTheme="minorHAnsi" w:cstheme="minorHAnsi"/>
          <w:color w:val="1F61AA"/>
          <w:szCs w:val="22"/>
        </w:rPr>
        <w:t xml:space="preserve">розділ 6.2 </w:t>
      </w:r>
      <w:r w:rsidRPr="006263CF">
        <w:rPr>
          <w:rFonts w:asciiTheme="minorHAnsi" w:hAnsiTheme="minorHAnsi" w:cstheme="minorHAnsi"/>
          <w:color w:val="000000"/>
          <w:szCs w:val="22"/>
        </w:rPr>
        <w:t xml:space="preserve">та </w:t>
      </w:r>
      <w:r w:rsidRPr="006263CF">
        <w:rPr>
          <w:rFonts w:asciiTheme="minorHAnsi" w:hAnsiTheme="minorHAnsi" w:cstheme="minorHAnsi"/>
          <w:color w:val="1F61AA"/>
          <w:szCs w:val="22"/>
        </w:rPr>
        <w:t>таблицю 6.4</w:t>
      </w:r>
      <w:r w:rsidRPr="006263CF">
        <w:rPr>
          <w:rFonts w:asciiTheme="minorHAnsi" w:hAnsiTheme="minorHAnsi" w:cstheme="minorHAnsi"/>
          <w:color w:val="000000"/>
          <w:szCs w:val="22"/>
        </w:rPr>
        <w:t xml:space="preserve">). Під час консультації з фахівцем рекомендується провести регулювання дози, якщо кліренс креатиніну становить нижче 50 мл/хв </w:t>
      </w:r>
      <w:r w:rsidRPr="006263CF">
        <w:rPr>
          <w:rFonts w:asciiTheme="minorHAnsi" w:hAnsiTheme="minorHAnsi" w:cstheme="minorHAnsi"/>
          <w:i/>
          <w:iCs/>
          <w:color w:val="000000"/>
          <w:szCs w:val="22"/>
        </w:rPr>
        <w:t>(5)</w:t>
      </w:r>
      <w:r w:rsidRPr="006263CF">
        <w:rPr>
          <w:rFonts w:asciiTheme="minorHAnsi" w:hAnsiTheme="minorHAnsi" w:cstheme="minorHAnsi"/>
          <w:color w:val="000000"/>
          <w:szCs w:val="22"/>
        </w:rPr>
        <w:t>. Про небажані явища, що спричинені лікарськими засобами, слід повідомляти у систему спонтанних повідомлень фармакологічного нагляду, що вимагається національними нормами, як і для інших негативних наслідків прийому лікарських засобів. Для пацієнтів на схемах лікування Нрез-ТБ, aDSM є необов'язковою.</w:t>
      </w:r>
    </w:p>
    <w:p w:rsidR="005C0A87" w:rsidRPr="006263CF" w:rsidRDefault="005C0A87" w:rsidP="000C4F1C">
      <w:pPr>
        <w:spacing w:before="40"/>
        <w:jc w:val="both"/>
        <w:rPr>
          <w:rFonts w:asciiTheme="minorHAnsi" w:hAnsiTheme="minorHAnsi" w:cstheme="minorHAnsi"/>
          <w:sz w:val="18"/>
        </w:rPr>
      </w:pPr>
      <w:r w:rsidRPr="006263CF">
        <w:rPr>
          <w:rFonts w:asciiTheme="minorHAnsi" w:hAnsiTheme="minorHAnsi" w:cstheme="minorHAnsi"/>
          <w:color w:val="000000"/>
          <w:szCs w:val="22"/>
        </w:rPr>
        <w:t xml:space="preserve">Як і у всіх інших випадках захворювань на туберкульоз, що підлягають реєстрації, хворих на Нрез-ТБ слід реєструвати в реєстрі пацієнтів із ТБ, незалежно від того, чи розпочато лікування, чи вводиться схема лікування за допомогою протитуберкульозних препаратів другого ряду </w:t>
      </w:r>
      <w:r w:rsidRPr="006263CF">
        <w:rPr>
          <w:rFonts w:asciiTheme="minorHAnsi" w:hAnsiTheme="minorHAnsi" w:cstheme="minorHAnsi"/>
          <w:i/>
          <w:iCs/>
          <w:color w:val="000000"/>
          <w:szCs w:val="22"/>
        </w:rPr>
        <w:t>(26)</w:t>
      </w:r>
      <w:r w:rsidRPr="006263CF">
        <w:rPr>
          <w:rFonts w:asciiTheme="minorHAnsi" w:hAnsiTheme="minorHAnsi" w:cstheme="minorHAnsi"/>
          <w:color w:val="000000"/>
          <w:szCs w:val="22"/>
        </w:rPr>
        <w:t>. Випадок може зберігатися у реєстрі пацієнтів із ТБ для моніторингу відповіді на лікування та проміжних або кінцевих результатів. Випадки без Нрез-ТБ можна перелічити разом з</w:t>
      </w:r>
    </w:p>
    <w:p w:rsidR="005C0A87" w:rsidRPr="006263CF" w:rsidRDefault="005C0A87" w:rsidP="006263CF">
      <w:pPr>
        <w:spacing w:before="144"/>
        <w:jc w:val="both"/>
        <w:rPr>
          <w:rFonts w:asciiTheme="minorHAnsi" w:hAnsiTheme="minorHAnsi" w:cstheme="minorHAnsi"/>
          <w:sz w:val="18"/>
        </w:rPr>
        <w:sectPr w:rsidR="005C0A87" w:rsidRPr="006263CF" w:rsidSect="000C4F1C">
          <w:pgSz w:w="11904" w:h="16838"/>
          <w:pgMar w:top="1349" w:right="1416" w:bottom="38" w:left="1416" w:header="708" w:footer="708" w:gutter="0"/>
          <w:cols w:space="60"/>
          <w:noEndnote/>
        </w:sectPr>
      </w:pPr>
    </w:p>
    <w:p w:rsidR="005C0A87" w:rsidRPr="006263CF" w:rsidRDefault="005C0A87" w:rsidP="006263CF">
      <w:pPr>
        <w:jc w:val="both"/>
        <w:rPr>
          <w:rFonts w:asciiTheme="minorHAnsi" w:hAnsiTheme="minorHAnsi" w:cstheme="minorHAnsi"/>
          <w:sz w:val="18"/>
        </w:rPr>
      </w:pPr>
      <w:r w:rsidRPr="006263CF">
        <w:rPr>
          <w:rFonts w:asciiTheme="minorHAnsi" w:hAnsiTheme="minorHAnsi" w:cstheme="minorHAnsi"/>
          <w:color w:val="000000"/>
          <w:szCs w:val="22"/>
        </w:rPr>
        <w:lastRenderedPageBreak/>
        <w:t xml:space="preserve">основними випадками лікарсько-чутливого туберкульозу для цілей звітування про результати лікування. Випадки Нрез-ТБ, в яких пацієнти отримують фторхінолони або інші препарати другого ряду на додаток до схеми 6(H)REZ, також можна реєструвати у реєстрі пацієнтів із ТБ другого ряду, якщо програма хоче здійснювати моніторинг кількості пацієнтів, які лікуються на схемах, що містять лікарські препарати другого ряду </w:t>
      </w:r>
      <w:r w:rsidRPr="006263CF">
        <w:rPr>
          <w:rFonts w:asciiTheme="minorHAnsi" w:hAnsiTheme="minorHAnsi" w:cstheme="minorHAnsi"/>
          <w:i/>
          <w:iCs/>
          <w:color w:val="000000"/>
          <w:szCs w:val="22"/>
        </w:rPr>
        <w:t>(5)</w:t>
      </w:r>
      <w:r w:rsidRPr="006263CF">
        <w:rPr>
          <w:rFonts w:asciiTheme="minorHAnsi" w:hAnsiTheme="minorHAnsi" w:cstheme="minorHAnsi"/>
          <w:color w:val="000000"/>
          <w:szCs w:val="22"/>
        </w:rPr>
        <w:t>. Якщо реєстрацію завершено, важливо, щоб випадки без Риф-TБ не були перелічені разом із когортою MР/Риф-TБ для моніторингу результатів лікування.</w:t>
      </w:r>
    </w:p>
    <w:p w:rsidR="005C0A87" w:rsidRPr="006263CF" w:rsidRDefault="005C0A87" w:rsidP="006263CF">
      <w:pPr>
        <w:spacing w:before="144"/>
        <w:jc w:val="both"/>
        <w:rPr>
          <w:rFonts w:asciiTheme="minorHAnsi" w:hAnsiTheme="minorHAnsi" w:cstheme="minorHAnsi"/>
          <w:sz w:val="18"/>
        </w:rPr>
      </w:pPr>
      <w:r w:rsidRPr="006263CF">
        <w:rPr>
          <w:rFonts w:asciiTheme="minorHAnsi" w:hAnsiTheme="minorHAnsi" w:cstheme="minorHAnsi"/>
          <w:color w:val="000000"/>
          <w:szCs w:val="22"/>
        </w:rPr>
        <w:t xml:space="preserve">Буде корисно відслідковувати зусилля щодо покращення охоплення тестами, виявлення, реєстрації та результатів лікування Нрез-ТБ окремо від інших випадків ТБ або MР/Риф-TБ. Для цього можуть бути адаптовані показники для MР/Риф-TБ; визначення результатів такі ж, як і для не-MР/Риф-TБ </w:t>
      </w:r>
      <w:r w:rsidRPr="006263CF">
        <w:rPr>
          <w:rFonts w:asciiTheme="minorHAnsi" w:hAnsiTheme="minorHAnsi" w:cstheme="minorHAnsi"/>
          <w:i/>
          <w:iCs/>
          <w:color w:val="000000"/>
          <w:szCs w:val="22"/>
        </w:rPr>
        <w:t>(26)</w:t>
      </w:r>
      <w:r w:rsidRPr="006263CF">
        <w:rPr>
          <w:rFonts w:asciiTheme="minorHAnsi" w:hAnsiTheme="minorHAnsi" w:cstheme="minorHAnsi"/>
          <w:color w:val="000000"/>
          <w:szCs w:val="22"/>
        </w:rPr>
        <w:t>. Звітність може бути приведена у відповідність з тією ж частотою, яка рекомендована для стандартного моніторингу інших когорт ТБ.</w:t>
      </w:r>
    </w:p>
    <w:p w:rsidR="005C0A87" w:rsidRPr="006263CF" w:rsidRDefault="005C0A87" w:rsidP="006263CF">
      <w:pPr>
        <w:spacing w:before="149"/>
        <w:jc w:val="both"/>
        <w:rPr>
          <w:rFonts w:asciiTheme="minorHAnsi" w:hAnsiTheme="minorHAnsi" w:cstheme="minorHAnsi"/>
          <w:sz w:val="18"/>
        </w:rPr>
      </w:pPr>
      <w:r w:rsidRPr="006263CF">
        <w:rPr>
          <w:rFonts w:asciiTheme="minorHAnsi" w:hAnsiTheme="minorHAnsi" w:cstheme="minorHAnsi"/>
          <w:color w:val="000000"/>
          <w:szCs w:val="22"/>
        </w:rPr>
        <w:t xml:space="preserve">Зведення даних про пацієнтів із різними формами стійкості в одну когорту може утруднити зіставлення показників ефективності між центрами та визначення тенденцій у часі, враховуючи, що ці пацієнти можуть піддаватися різним ризикам неефективного лікування. Разом із тим, лікування хворих на туберкульоз, в яких не має стійкості до рифампіцину у схемах, обговорених у цьому розділі, повинно призвести до успішного результату у більшості пацієнтів, а досягнення максимальної ймовірності успіху має бути кінцевою метою протитуберкульозних програм. Використання електронних баз даних на основі конкретних випадків полегшує групування пацієнтів за допомогою порівнянних моделей стійкості або епізодів лікування для проведення більш поглиблених аналізів, дозволяючи вносити коригування щонайменше для деяких ко-варіантів. Програмам рекомендується використовувати належну практику при зборі цих даних та брати участь у спільних ініціативах щодо обміну індивідуальними даними про пацієнтів для проведення спільних оглядів глобальних даних про пацієнтів </w:t>
      </w:r>
      <w:r w:rsidRPr="006263CF">
        <w:rPr>
          <w:rFonts w:asciiTheme="minorHAnsi" w:hAnsiTheme="minorHAnsi" w:cstheme="minorHAnsi"/>
          <w:i/>
          <w:iCs/>
          <w:color w:val="000000"/>
          <w:szCs w:val="22"/>
        </w:rPr>
        <w:t>(28–30)</w:t>
      </w:r>
      <w:r w:rsidRPr="006263CF">
        <w:rPr>
          <w:rFonts w:asciiTheme="minorHAnsi" w:hAnsiTheme="minorHAnsi" w:cstheme="minorHAnsi"/>
          <w:color w:val="000000"/>
          <w:szCs w:val="22"/>
        </w:rPr>
        <w:t>. Такі дані можуть бути корисними для подальшої політики щодо оптимізації схем лікування лікарсько-стійкого туберкульозу.</w:t>
      </w:r>
    </w:p>
    <w:p w:rsidR="005C0A87" w:rsidRPr="006263CF" w:rsidRDefault="005C0A87" w:rsidP="006263CF">
      <w:pPr>
        <w:spacing w:before="149"/>
        <w:jc w:val="both"/>
        <w:rPr>
          <w:rFonts w:asciiTheme="minorHAnsi" w:hAnsiTheme="minorHAnsi" w:cstheme="minorHAnsi"/>
          <w:sz w:val="18"/>
        </w:rPr>
        <w:sectPr w:rsidR="005C0A87" w:rsidRPr="006263CF" w:rsidSect="000C4F1C">
          <w:pgSz w:w="11904" w:h="16838"/>
          <w:pgMar w:top="1349" w:right="1416" w:bottom="6379" w:left="1416" w:header="708" w:footer="708" w:gutter="0"/>
          <w:cols w:space="60"/>
          <w:noEndnote/>
        </w:sectPr>
      </w:pPr>
    </w:p>
    <w:p w:rsidR="005C0A87" w:rsidRPr="000C4F1C" w:rsidRDefault="00C73DE6" w:rsidP="006263CF">
      <w:pPr>
        <w:rPr>
          <w:rFonts w:asciiTheme="minorHAnsi" w:hAnsiTheme="minorHAnsi" w:cstheme="minorHAnsi"/>
          <w:b/>
          <w:sz w:val="18"/>
        </w:rPr>
      </w:pPr>
      <w:bookmarkStart w:id="12" w:name="bookmark11"/>
      <w:r>
        <w:rPr>
          <w:rFonts w:asciiTheme="minorHAnsi" w:hAnsiTheme="minorHAnsi" w:cstheme="minorHAnsi"/>
          <w:b/>
          <w:noProof/>
          <w:color w:val="1F61AA"/>
          <w:sz w:val="56"/>
          <w:szCs w:val="64"/>
        </w:rPr>
        <w:lastRenderedPageBreak/>
        <w:drawing>
          <wp:anchor distT="0" distB="0" distL="6400800" distR="6400800" simplePos="0" relativeHeight="251694080" behindDoc="1" locked="0" layoutInCell="0" allowOverlap="1" wp14:anchorId="7F37DA29" wp14:editId="1CB95527">
            <wp:simplePos x="0" y="0"/>
            <wp:positionH relativeFrom="margin">
              <wp:posOffset>-978535</wp:posOffset>
            </wp:positionH>
            <wp:positionV relativeFrom="paragraph">
              <wp:posOffset>-1384300</wp:posOffset>
            </wp:positionV>
            <wp:extent cx="7729220" cy="1708785"/>
            <wp:effectExtent l="0" t="0" r="5080" b="5715"/>
            <wp:wrapNone/>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29220" cy="1708785"/>
                    </a:xfrm>
                    <a:prstGeom prst="rect">
                      <a:avLst/>
                    </a:prstGeom>
                    <a:noFill/>
                    <a:ln>
                      <a:noFill/>
                    </a:ln>
                  </pic:spPr>
                </pic:pic>
              </a:graphicData>
            </a:graphic>
            <wp14:sizeRelH relativeFrom="page">
              <wp14:pctWidth>0</wp14:pctWidth>
            </wp14:sizeRelH>
            <wp14:sizeRelV relativeFrom="page">
              <wp14:pctHeight>0</wp14:pctHeight>
            </wp14:sizeRelV>
          </wp:anchor>
        </w:drawing>
      </w:r>
      <w:r w:rsidR="005C0A87" w:rsidRPr="000C4F1C">
        <w:rPr>
          <w:rFonts w:asciiTheme="minorHAnsi" w:hAnsiTheme="minorHAnsi" w:cstheme="minorHAnsi"/>
          <w:b/>
          <w:color w:val="1F61AA"/>
          <w:sz w:val="56"/>
          <w:szCs w:val="64"/>
        </w:rPr>
        <w:t>5</w:t>
      </w:r>
      <w:bookmarkEnd w:id="12"/>
      <w:r w:rsidR="005C0A87" w:rsidRPr="000C4F1C">
        <w:rPr>
          <w:rFonts w:asciiTheme="minorHAnsi" w:hAnsiTheme="minorHAnsi" w:cstheme="minorHAnsi"/>
          <w:b/>
          <w:color w:val="1F61AA"/>
          <w:sz w:val="56"/>
          <w:szCs w:val="64"/>
        </w:rPr>
        <w:t>. Короткострокова пероральна бедаквіліновмісна схема лікування МР/Риф-ТБ</w:t>
      </w:r>
    </w:p>
    <w:p w:rsidR="005C0A87" w:rsidRPr="006263CF" w:rsidRDefault="005C0A87" w:rsidP="006263CF">
      <w:pPr>
        <w:spacing w:before="667"/>
        <w:jc w:val="both"/>
        <w:rPr>
          <w:rFonts w:asciiTheme="minorHAnsi" w:hAnsiTheme="minorHAnsi" w:cstheme="minorHAnsi"/>
          <w:sz w:val="18"/>
        </w:rPr>
      </w:pPr>
      <w:r w:rsidRPr="006263CF">
        <w:rPr>
          <w:rFonts w:asciiTheme="minorHAnsi" w:hAnsiTheme="minorHAnsi" w:cstheme="minorHAnsi"/>
          <w:color w:val="000000"/>
          <w:szCs w:val="22"/>
        </w:rPr>
        <w:t>У цьому розділі йдеться про короткострокову пероральну бедаквіліновмісну схему лікування МР/Риф-ТБ, яка триває 9–12 місяців, та в якій використовуються пероральні препарати. Рекомендація в оновлених настановах зазначає:</w:t>
      </w:r>
    </w:p>
    <w:p w:rsidR="005C0A87" w:rsidRPr="006263CF" w:rsidRDefault="005C0A87" w:rsidP="006263CF">
      <w:pPr>
        <w:spacing w:before="144"/>
        <w:ind w:left="221" w:right="230"/>
        <w:jc w:val="both"/>
        <w:rPr>
          <w:rFonts w:asciiTheme="minorHAnsi" w:hAnsiTheme="minorHAnsi" w:cstheme="minorHAnsi"/>
          <w:sz w:val="18"/>
        </w:rPr>
      </w:pPr>
      <w:r w:rsidRPr="006263CF">
        <w:rPr>
          <w:rFonts w:asciiTheme="minorHAnsi" w:hAnsiTheme="minorHAnsi" w:cstheme="minorHAnsi"/>
          <w:b/>
          <w:bCs/>
          <w:color w:val="000000"/>
          <w:szCs w:val="22"/>
        </w:rPr>
        <w:t>Рекомендація 2.1 Короткострокова пероральна бедаквіліновмісна схема лікування МР/Риф-ТБ тривалістю 9–12 місяців рекомендується підходящим пацієнтам, у яких підтверджено МР/Риф-ТБ, які не піддавалися лікуванню протитуберкульозними препаратами 2-го ряду, використовуваними у цій схемі лікування більше 1 місяця та в кого була виключена стійкість до фторхінолонів.</w:t>
      </w:r>
    </w:p>
    <w:p w:rsidR="005C0A87" w:rsidRPr="006263CF" w:rsidRDefault="005C0A87" w:rsidP="006263CF">
      <w:pPr>
        <w:ind w:left="221"/>
        <w:rPr>
          <w:rFonts w:asciiTheme="minorHAnsi" w:hAnsiTheme="minorHAnsi" w:cstheme="minorHAnsi"/>
          <w:sz w:val="18"/>
        </w:rPr>
      </w:pPr>
      <w:r w:rsidRPr="006263CF">
        <w:rPr>
          <w:rFonts w:asciiTheme="minorHAnsi" w:hAnsiTheme="minorHAnsi" w:cstheme="minorHAnsi"/>
          <w:i/>
          <w:iCs/>
          <w:color w:val="000000"/>
          <w:szCs w:val="22"/>
        </w:rPr>
        <w:t>(Умовна рекомендація, дуже низька якість доказових даних) (1)</w:t>
      </w:r>
    </w:p>
    <w:p w:rsidR="005C0A87" w:rsidRPr="006263CF" w:rsidRDefault="005C0A87" w:rsidP="006263CF">
      <w:pPr>
        <w:spacing w:before="149"/>
        <w:jc w:val="both"/>
        <w:rPr>
          <w:rFonts w:asciiTheme="minorHAnsi" w:hAnsiTheme="minorHAnsi" w:cstheme="minorHAnsi"/>
          <w:sz w:val="18"/>
        </w:rPr>
      </w:pPr>
      <w:r w:rsidRPr="006263CF">
        <w:rPr>
          <w:rFonts w:asciiTheme="minorHAnsi" w:hAnsiTheme="minorHAnsi" w:cstheme="minorHAnsi"/>
          <w:color w:val="000000"/>
          <w:szCs w:val="22"/>
        </w:rPr>
        <w:t xml:space="preserve">У 2019 році у зв'язку з програмними даними, отриманими у результаті впровадження в Південній Африці короткострокової пероральної бедаквіліновмісної схеми лікування, ВООЗ переглянула свої рекомендації щодо використання стандартизованих короткострокових схем лікування. Було досліджено 10 152 випадки захворювань на МР/Риф-ТБ, лікування яких розпочалося з січня по червень 2017 року, з метою оцінки ефективності короткострокової пероральної бедаквіліновмісної схеми лікування. Аналіз порівняв ефективність цієї короткострокової схеми лікування зі стандартизованою короткостроковою, що містить ін'єкційні препарати. На підставі аналізу ВООЗ підтвердила свою умовну рекомендацію щодо короткострокової пероральної бедаквіліновмісної схеми лікування МР/Риф-ТБ в якості запропонованого варіанту лікування пацієнтів із МР/Риф-ТБ, які відповідають критеріям придатності, описаним нижче </w:t>
      </w:r>
      <w:r w:rsidRPr="006263CF">
        <w:rPr>
          <w:rFonts w:asciiTheme="minorHAnsi" w:hAnsiTheme="minorHAnsi" w:cstheme="minorHAnsi"/>
          <w:i/>
          <w:iCs/>
          <w:color w:val="000000"/>
          <w:szCs w:val="22"/>
        </w:rPr>
        <w:t>(1)</w:t>
      </w:r>
      <w:r w:rsidRPr="006263CF">
        <w:rPr>
          <w:rFonts w:asciiTheme="minorHAnsi" w:hAnsiTheme="minorHAnsi" w:cstheme="minorHAnsi"/>
          <w:color w:val="000000"/>
          <w:szCs w:val="22"/>
        </w:rPr>
        <w:t>.</w:t>
      </w:r>
    </w:p>
    <w:p w:rsidR="005C0A87" w:rsidRPr="006263CF" w:rsidRDefault="005C0A87" w:rsidP="006263CF">
      <w:pPr>
        <w:spacing w:before="144"/>
        <w:jc w:val="both"/>
        <w:rPr>
          <w:rFonts w:asciiTheme="minorHAnsi" w:hAnsiTheme="minorHAnsi" w:cstheme="minorHAnsi"/>
          <w:sz w:val="18"/>
        </w:rPr>
      </w:pPr>
      <w:r w:rsidRPr="006263CF">
        <w:rPr>
          <w:rFonts w:asciiTheme="minorHAnsi" w:hAnsiTheme="minorHAnsi" w:cstheme="minorHAnsi"/>
          <w:color w:val="000000"/>
          <w:szCs w:val="22"/>
        </w:rPr>
        <w:t>Очікується, що впровадження короткострокової пероральної бедаквіліновмісної схеми лікування МР/Риф-ТБ покращить програмне управління лікарсько-стійким компонентом ТБ у програмі по боротьбі з туберкульозом. Однак лікування все ще вимагає прийому 7-ми препаратів (деякі із них значно токсичні) протягом 12 місяців. Пацієнти потребують підтримки для подолання труднощів, пов’язаних із туберкульозом та його лікуванням, включаючи щоденну прихильність до лікування, побічні явища на лікарські засоби, непрямі витрати та стигматизацію.</w:t>
      </w:r>
    </w:p>
    <w:p w:rsidR="005C0A87" w:rsidRPr="006263CF" w:rsidRDefault="005C0A87" w:rsidP="006263CF">
      <w:pPr>
        <w:spacing w:before="283"/>
        <w:rPr>
          <w:rFonts w:asciiTheme="minorHAnsi" w:hAnsiTheme="minorHAnsi" w:cstheme="minorHAnsi"/>
          <w:sz w:val="18"/>
        </w:rPr>
      </w:pPr>
      <w:r w:rsidRPr="006263CF">
        <w:rPr>
          <w:rFonts w:asciiTheme="minorHAnsi" w:hAnsiTheme="minorHAnsi" w:cstheme="minorHAnsi"/>
          <w:b/>
          <w:bCs/>
          <w:color w:val="1F61AA"/>
          <w:sz w:val="36"/>
          <w:szCs w:val="38"/>
        </w:rPr>
        <w:t>5.1 Придатність</w:t>
      </w:r>
    </w:p>
    <w:p w:rsidR="005C0A87" w:rsidRPr="006263CF" w:rsidRDefault="005C0A87" w:rsidP="006263CF">
      <w:pPr>
        <w:spacing w:before="110"/>
        <w:jc w:val="both"/>
        <w:rPr>
          <w:rFonts w:asciiTheme="minorHAnsi" w:hAnsiTheme="minorHAnsi" w:cstheme="minorHAnsi"/>
          <w:sz w:val="18"/>
        </w:rPr>
      </w:pPr>
      <w:r w:rsidRPr="006263CF">
        <w:rPr>
          <w:rFonts w:asciiTheme="minorHAnsi" w:hAnsiTheme="minorHAnsi" w:cstheme="minorHAnsi"/>
          <w:color w:val="000000"/>
          <w:szCs w:val="22"/>
        </w:rPr>
        <w:t>Існують значні переваги як для пацієнтів, так і для систем охорони здоров’я при широкому використанні короткострокової пероральної бедаквіліновмісної схеми лікування MР-TБ. Однак, важливо підібрати правильних пацієнтів для прийому схеми лікування MР-TБ.</w:t>
      </w:r>
    </w:p>
    <w:p w:rsidR="005C0A87" w:rsidRPr="006263CF" w:rsidRDefault="005C0A87" w:rsidP="006263CF">
      <w:pPr>
        <w:spacing w:before="144"/>
        <w:jc w:val="both"/>
        <w:rPr>
          <w:rFonts w:asciiTheme="minorHAnsi" w:hAnsiTheme="minorHAnsi" w:cstheme="minorHAnsi"/>
          <w:sz w:val="18"/>
        </w:rPr>
      </w:pPr>
      <w:r w:rsidRPr="006263CF">
        <w:rPr>
          <w:rFonts w:asciiTheme="minorHAnsi" w:hAnsiTheme="minorHAnsi" w:cstheme="minorHAnsi"/>
          <w:color w:val="000000"/>
          <w:szCs w:val="22"/>
        </w:rPr>
        <w:t>Пацієнт та лікар повинні усвідомлювати, що у підходящих пацієнтів, які мали право брати участь у програмі у Південній Африці, короткострокова пероральна бедаквіліновмісна схема лікування виявила кращу ефективність, ніж раніше рекомендовані довгострокові схеми лікування MР-TБ без нових лікарських засобів та короткострокові схеми з ін'єкційними препаратами з меншою ймовірністю невдачі подальшого спостереження. Відсутні дані щодо довгострокових пероральних схем лікування, рекомендованих ВООЗ у 2018 році для аналізу та порівняння.</w:t>
      </w:r>
    </w:p>
    <w:p w:rsidR="005C0A87" w:rsidRPr="006263CF" w:rsidRDefault="005C0A87" w:rsidP="006263CF">
      <w:pPr>
        <w:spacing w:before="144"/>
        <w:ind w:right="5"/>
        <w:jc w:val="both"/>
        <w:rPr>
          <w:rFonts w:asciiTheme="minorHAnsi" w:hAnsiTheme="minorHAnsi" w:cstheme="minorHAnsi"/>
          <w:sz w:val="18"/>
        </w:rPr>
      </w:pPr>
      <w:r w:rsidRPr="006263CF">
        <w:rPr>
          <w:rFonts w:asciiTheme="minorHAnsi" w:hAnsiTheme="minorHAnsi" w:cstheme="minorHAnsi"/>
          <w:color w:val="000000"/>
          <w:szCs w:val="22"/>
        </w:rPr>
        <w:t>При вирішенні питання про те, чи можна запропонувати короткострокову пероральну бедаквіліновмісну схему лікування МР-ТБ, слід враховувати декілька критеріїв придатності. Схему можна запропонувати пацієнтам із підтвердженим</w:t>
      </w:r>
    </w:p>
    <w:p w:rsidR="005C0A87" w:rsidRPr="006263CF" w:rsidRDefault="005C0A87" w:rsidP="006263CF">
      <w:pPr>
        <w:spacing w:before="144"/>
        <w:ind w:right="5"/>
        <w:jc w:val="both"/>
        <w:rPr>
          <w:rFonts w:asciiTheme="minorHAnsi" w:hAnsiTheme="minorHAnsi" w:cstheme="minorHAnsi"/>
          <w:sz w:val="18"/>
        </w:rPr>
        <w:sectPr w:rsidR="005C0A87" w:rsidRPr="006263CF">
          <w:pgSz w:w="11904" w:h="16838"/>
          <w:pgMar w:top="2117" w:right="1416" w:bottom="1421" w:left="1416" w:header="708" w:footer="708" w:gutter="0"/>
          <w:cols w:space="60"/>
          <w:noEndnote/>
        </w:sectPr>
      </w:pPr>
    </w:p>
    <w:p w:rsidR="005C0A87" w:rsidRPr="006263CF" w:rsidRDefault="005C0A87" w:rsidP="006263CF">
      <w:pPr>
        <w:ind w:right="14"/>
        <w:jc w:val="both"/>
        <w:rPr>
          <w:rFonts w:asciiTheme="minorHAnsi" w:hAnsiTheme="minorHAnsi" w:cstheme="minorHAnsi"/>
          <w:sz w:val="18"/>
        </w:rPr>
      </w:pPr>
      <w:r w:rsidRPr="006263CF">
        <w:rPr>
          <w:rFonts w:asciiTheme="minorHAnsi" w:hAnsiTheme="minorHAnsi" w:cstheme="minorHAnsi"/>
          <w:color w:val="000000"/>
          <w:szCs w:val="22"/>
        </w:rPr>
        <w:lastRenderedPageBreak/>
        <w:t>MР/Риф-ТБ (із щонайменше підтвердженою стійкістю до рифампіцину), для яких виключена стійкість до фторхінолонів у наступних випадках:</w:t>
      </w:r>
    </w:p>
    <w:p w:rsidR="005C0A87" w:rsidRPr="006263CF" w:rsidRDefault="005C0A87" w:rsidP="006263CF">
      <w:pPr>
        <w:numPr>
          <w:ilvl w:val="0"/>
          <w:numId w:val="9"/>
        </w:numPr>
        <w:tabs>
          <w:tab w:val="left" w:pos="240"/>
        </w:tabs>
        <w:spacing w:before="144"/>
        <w:ind w:left="240" w:right="5" w:hanging="240"/>
        <w:jc w:val="both"/>
        <w:rPr>
          <w:rFonts w:asciiTheme="minorHAnsi" w:eastAsia="Times New Roman" w:hAnsiTheme="minorHAnsi" w:cstheme="minorHAnsi"/>
          <w:color w:val="1F61AA"/>
          <w:szCs w:val="22"/>
        </w:rPr>
      </w:pPr>
      <w:r w:rsidRPr="006263CF">
        <w:rPr>
          <w:rFonts w:asciiTheme="minorHAnsi" w:hAnsiTheme="minorHAnsi" w:cstheme="minorHAnsi"/>
          <w:color w:val="000000"/>
          <w:szCs w:val="22"/>
        </w:rPr>
        <w:t>відсутність стійкості або підозра на неефективність лікарського препарату у короткостроковій схемі лікування (окрім стійкості до ізоніазиду</w:t>
      </w:r>
      <w:r w:rsidRPr="006263CF">
        <w:rPr>
          <w:rFonts w:asciiTheme="minorHAnsi" w:hAnsiTheme="minorHAnsi" w:cstheme="minorHAnsi"/>
          <w:color w:val="000000"/>
          <w:szCs w:val="22"/>
          <w:vertAlign w:val="superscript"/>
        </w:rPr>
        <w:t>6</w:t>
      </w:r>
      <w:r w:rsidRPr="006263CF">
        <w:rPr>
          <w:rFonts w:asciiTheme="minorHAnsi" w:hAnsiTheme="minorHAnsi" w:cstheme="minorHAnsi"/>
          <w:color w:val="000000"/>
          <w:szCs w:val="22"/>
        </w:rPr>
        <w:t>);</w:t>
      </w:r>
    </w:p>
    <w:p w:rsidR="005C0A87" w:rsidRPr="006263CF" w:rsidRDefault="005C0A87" w:rsidP="006263CF">
      <w:pPr>
        <w:numPr>
          <w:ilvl w:val="0"/>
          <w:numId w:val="9"/>
        </w:numPr>
        <w:tabs>
          <w:tab w:val="left" w:pos="240"/>
        </w:tabs>
        <w:ind w:left="240" w:right="10" w:hanging="240"/>
        <w:jc w:val="both"/>
        <w:rPr>
          <w:rFonts w:asciiTheme="minorHAnsi" w:eastAsia="Times New Roman" w:hAnsiTheme="minorHAnsi" w:cstheme="minorHAnsi"/>
          <w:color w:val="1F61AA"/>
          <w:szCs w:val="22"/>
        </w:rPr>
      </w:pPr>
      <w:r w:rsidRPr="006263CF">
        <w:rPr>
          <w:rFonts w:asciiTheme="minorHAnsi" w:hAnsiTheme="minorHAnsi" w:cstheme="minorHAnsi"/>
          <w:color w:val="000000"/>
          <w:szCs w:val="22"/>
        </w:rPr>
        <w:t>відсутність впливу попереднього лікування лікарськими препаратами 2-го ряду в схемі більше 1 місяця (поки не підтверджена чутливість до цих лікарських препаратів);</w:t>
      </w:r>
    </w:p>
    <w:p w:rsidR="005C0A87" w:rsidRPr="006263CF" w:rsidRDefault="005C0A87" w:rsidP="006263CF">
      <w:pPr>
        <w:numPr>
          <w:ilvl w:val="0"/>
          <w:numId w:val="9"/>
        </w:numPr>
        <w:tabs>
          <w:tab w:val="left" w:pos="240"/>
        </w:tabs>
        <w:rPr>
          <w:rFonts w:asciiTheme="minorHAnsi" w:eastAsia="Times New Roman" w:hAnsiTheme="minorHAnsi" w:cstheme="minorHAnsi"/>
          <w:color w:val="1F61AA"/>
          <w:szCs w:val="22"/>
        </w:rPr>
      </w:pPr>
      <w:r w:rsidRPr="006263CF">
        <w:rPr>
          <w:rFonts w:asciiTheme="minorHAnsi" w:hAnsiTheme="minorHAnsi" w:cstheme="minorHAnsi"/>
          <w:color w:val="000000"/>
          <w:szCs w:val="22"/>
        </w:rPr>
        <w:t>відсутність прогресуючого туберкульозу та гострого позалегеневого туберкульозу;</w:t>
      </w:r>
    </w:p>
    <w:p w:rsidR="005C0A87" w:rsidRPr="006263CF" w:rsidRDefault="005C0A87" w:rsidP="006263CF">
      <w:pPr>
        <w:numPr>
          <w:ilvl w:val="0"/>
          <w:numId w:val="9"/>
        </w:numPr>
        <w:tabs>
          <w:tab w:val="left" w:pos="240"/>
        </w:tabs>
        <w:rPr>
          <w:rFonts w:asciiTheme="minorHAnsi" w:eastAsia="Times New Roman" w:hAnsiTheme="minorHAnsi" w:cstheme="minorHAnsi"/>
          <w:color w:val="1F61AA"/>
          <w:szCs w:val="22"/>
        </w:rPr>
      </w:pPr>
      <w:r w:rsidRPr="006263CF">
        <w:rPr>
          <w:rFonts w:asciiTheme="minorHAnsi" w:hAnsiTheme="minorHAnsi" w:cstheme="minorHAnsi"/>
          <w:color w:val="000000"/>
          <w:szCs w:val="22"/>
        </w:rPr>
        <w:t>відсутність вагітності;</w:t>
      </w:r>
    </w:p>
    <w:p w:rsidR="005C0A87" w:rsidRPr="006263CF" w:rsidRDefault="005C0A87" w:rsidP="006263CF">
      <w:pPr>
        <w:numPr>
          <w:ilvl w:val="0"/>
          <w:numId w:val="9"/>
        </w:numPr>
        <w:tabs>
          <w:tab w:val="left" w:pos="240"/>
        </w:tabs>
        <w:rPr>
          <w:rFonts w:asciiTheme="minorHAnsi" w:eastAsia="Times New Roman" w:hAnsiTheme="minorHAnsi" w:cstheme="minorHAnsi"/>
          <w:color w:val="1F61AA"/>
          <w:szCs w:val="22"/>
        </w:rPr>
      </w:pPr>
      <w:r w:rsidRPr="006263CF">
        <w:rPr>
          <w:rFonts w:asciiTheme="minorHAnsi" w:hAnsiTheme="minorHAnsi" w:cstheme="minorHAnsi"/>
          <w:color w:val="000000"/>
          <w:szCs w:val="22"/>
        </w:rPr>
        <w:t>діти віком від 6 років.</w:t>
      </w:r>
      <w:r w:rsidRPr="006263CF">
        <w:rPr>
          <w:rFonts w:asciiTheme="minorHAnsi" w:hAnsiTheme="minorHAnsi" w:cstheme="minorHAnsi"/>
          <w:color w:val="000000"/>
          <w:szCs w:val="22"/>
          <w:vertAlign w:val="superscript"/>
        </w:rPr>
        <w:t>7</w:t>
      </w:r>
    </w:p>
    <w:p w:rsidR="005C0A87" w:rsidRPr="006263CF" w:rsidRDefault="005C0A87" w:rsidP="006263CF">
      <w:pPr>
        <w:spacing w:before="149"/>
        <w:jc w:val="both"/>
        <w:rPr>
          <w:rFonts w:asciiTheme="minorHAnsi" w:hAnsiTheme="minorHAnsi" w:cstheme="minorHAnsi"/>
          <w:sz w:val="18"/>
        </w:rPr>
      </w:pPr>
      <w:r w:rsidRPr="006263CF">
        <w:rPr>
          <w:rFonts w:asciiTheme="minorHAnsi" w:hAnsiTheme="minorHAnsi" w:cstheme="minorHAnsi"/>
          <w:color w:val="000000"/>
          <w:szCs w:val="22"/>
        </w:rPr>
        <w:t>Рішення про те, яка схема пропонує найкращий варіант лікування для пацієнта, також може залежати від інших міркувань (наприклад, уподобань пацієнтів та лікарів).</w:t>
      </w:r>
    </w:p>
    <w:p w:rsidR="005C0A87" w:rsidRPr="006263CF" w:rsidRDefault="005C0A87" w:rsidP="006263CF">
      <w:pPr>
        <w:spacing w:before="144"/>
        <w:ind w:right="5"/>
        <w:jc w:val="both"/>
        <w:rPr>
          <w:rFonts w:asciiTheme="minorHAnsi" w:hAnsiTheme="minorHAnsi" w:cstheme="minorHAnsi"/>
          <w:sz w:val="18"/>
        </w:rPr>
      </w:pPr>
      <w:r w:rsidRPr="006263CF">
        <w:rPr>
          <w:rFonts w:asciiTheme="minorHAnsi" w:hAnsiTheme="minorHAnsi" w:cstheme="minorHAnsi"/>
          <w:color w:val="000000"/>
          <w:szCs w:val="22"/>
        </w:rPr>
        <w:t>У разі неможливості застосування короткострокової пероральної бедаквіліновмісної схеми лікування MР-TБ, необхідно виконати повторне оцінювання пацієнта для довгострокової пероральної схеми лікування MР-TБ. Медичний працівник охорони здоров'я може обрати довгострокову пероральну схему лікування, навіть для пацієнтів, які придатні для короткострокової пероральної бедаквіліновмісної схеми лікування MР-TБ. Такий вибір може бути вмотивований невизначеністю медикаментозної чутливості, тоді як стан пацієнта вимагає негайного початку лікування та не може чекати на результати ТМЧ.</w:t>
      </w:r>
    </w:p>
    <w:p w:rsidR="005C0A87" w:rsidRPr="006263CF" w:rsidRDefault="005C0A87" w:rsidP="006263CF">
      <w:pPr>
        <w:spacing w:before="144"/>
        <w:ind w:right="5"/>
        <w:jc w:val="both"/>
        <w:rPr>
          <w:rFonts w:asciiTheme="minorHAnsi" w:hAnsiTheme="minorHAnsi" w:cstheme="minorHAnsi"/>
          <w:sz w:val="18"/>
        </w:rPr>
      </w:pPr>
      <w:r w:rsidRPr="006263CF">
        <w:rPr>
          <w:rFonts w:asciiTheme="minorHAnsi" w:hAnsiTheme="minorHAnsi" w:cstheme="minorHAnsi"/>
          <w:b/>
          <w:bCs/>
          <w:i/>
          <w:iCs/>
          <w:color w:val="000000"/>
          <w:szCs w:val="22"/>
        </w:rPr>
        <w:t xml:space="preserve">Оцінка хворих із прогресуючим ТБ: </w:t>
      </w:r>
      <w:r w:rsidRPr="006263CF">
        <w:rPr>
          <w:rFonts w:asciiTheme="minorHAnsi" w:hAnsiTheme="minorHAnsi" w:cstheme="minorHAnsi"/>
          <w:color w:val="000000"/>
          <w:szCs w:val="22"/>
        </w:rPr>
        <w:t xml:space="preserve">Важливе значення має ступінь туберкульозу для визначення варіантів схем лікування на додаток до ТМЧ та інших міркувань, згаданих вище. Широко розповсюджений ТБ визначається в цьому документі, як наявний двосторонній кавернозний ТБ або велике паренхіматозне ураження на рентгенографії грудної клітини. У дітей віком до 15 років прогресуюче захворювання зазвичай визначається наявністю порожнин або двостороннього захворювання на рентгенографії органів грудної клітки. Це підкреслює важливість рентгенографії органів грудної клітки як частину діагностичного дослідження пацієнтів поряд зі звичайною взаємодією пацієнт-лікар. Гострий позалегеневий туберкульоз визначається як наявність міліарного туберкульозу або туберкульозного менінгіту. У дітей віком до 15 років позалегеневі форми захворювання, відмінні від лімфаденопатії (периферичні вузли або ізольована середостінна маса без здавлення), вважаються гострими (адаптовано з </w:t>
      </w:r>
      <w:r w:rsidRPr="006263CF">
        <w:rPr>
          <w:rFonts w:asciiTheme="minorHAnsi" w:hAnsiTheme="minorHAnsi" w:cstheme="minorHAnsi"/>
          <w:i/>
          <w:iCs/>
          <w:color w:val="000000"/>
          <w:szCs w:val="22"/>
        </w:rPr>
        <w:t>(7)</w:t>
      </w:r>
      <w:r w:rsidRPr="006263CF">
        <w:rPr>
          <w:rFonts w:asciiTheme="minorHAnsi" w:hAnsiTheme="minorHAnsi" w:cstheme="minorHAnsi"/>
          <w:color w:val="000000"/>
          <w:szCs w:val="22"/>
        </w:rPr>
        <w:t>).</w:t>
      </w:r>
    </w:p>
    <w:p w:rsidR="005C0A87" w:rsidRPr="006263CF" w:rsidRDefault="005C0A87" w:rsidP="006263CF">
      <w:pPr>
        <w:spacing w:before="139"/>
        <w:ind w:right="5"/>
        <w:jc w:val="both"/>
        <w:rPr>
          <w:rFonts w:asciiTheme="minorHAnsi" w:hAnsiTheme="minorHAnsi" w:cstheme="minorHAnsi"/>
          <w:sz w:val="18"/>
        </w:rPr>
      </w:pPr>
      <w:r w:rsidRPr="006263CF">
        <w:rPr>
          <w:rFonts w:asciiTheme="minorHAnsi" w:hAnsiTheme="minorHAnsi" w:cstheme="minorHAnsi"/>
          <w:b/>
          <w:bCs/>
          <w:i/>
          <w:iCs/>
          <w:color w:val="000000"/>
          <w:szCs w:val="22"/>
        </w:rPr>
        <w:t>Результати ТМЧ</w:t>
      </w:r>
      <w:r w:rsidRPr="006263CF">
        <w:rPr>
          <w:rFonts w:asciiTheme="minorHAnsi" w:hAnsiTheme="minorHAnsi" w:cstheme="minorHAnsi"/>
          <w:color w:val="000000"/>
          <w:szCs w:val="22"/>
        </w:rPr>
        <w:t>: Тестування на чутливість до щонайменше фторхінолонів рекомендується проводити перед початком короткострокової пероральної бедаквіліновмісної схеми лікування MР-TБ для забезпечення виключення стійкості до фторхінолонів.</w:t>
      </w:r>
    </w:p>
    <w:p w:rsidR="005C0A87" w:rsidRPr="006263CF" w:rsidRDefault="005C0A87" w:rsidP="006263CF">
      <w:pPr>
        <w:spacing w:before="144"/>
        <w:ind w:right="5"/>
        <w:jc w:val="both"/>
        <w:rPr>
          <w:rFonts w:asciiTheme="minorHAnsi" w:hAnsiTheme="minorHAnsi" w:cstheme="minorHAnsi"/>
          <w:sz w:val="18"/>
        </w:rPr>
      </w:pPr>
      <w:r w:rsidRPr="006263CF">
        <w:rPr>
          <w:rFonts w:asciiTheme="minorHAnsi" w:hAnsiTheme="minorHAnsi" w:cstheme="minorHAnsi"/>
          <w:color w:val="000000"/>
          <w:szCs w:val="22"/>
        </w:rPr>
        <w:t xml:space="preserve">Доведено, що ізоніазид є ключовим компонентом короткострокових схем лікування, незважаючи на наявність стійкості до цього лікарського засобу </w:t>
      </w:r>
      <w:r w:rsidRPr="006263CF">
        <w:rPr>
          <w:rFonts w:asciiTheme="minorHAnsi" w:hAnsiTheme="minorHAnsi" w:cstheme="minorHAnsi"/>
          <w:i/>
          <w:iCs/>
          <w:color w:val="000000"/>
          <w:szCs w:val="22"/>
        </w:rPr>
        <w:t>(33)</w:t>
      </w:r>
      <w:r w:rsidRPr="006263CF">
        <w:rPr>
          <w:rFonts w:asciiTheme="minorHAnsi" w:hAnsiTheme="minorHAnsi" w:cstheme="minorHAnsi"/>
          <w:color w:val="000000"/>
          <w:szCs w:val="22"/>
        </w:rPr>
        <w:t>. Це може відображати залишкову in vivo ефективність препарату, навіть за наявності стійкості до ізоніазиду у низькій концентрації, коли препарат застосовується у більш високій дозі та слугує частиною комбінованої терапії. LPA 1-го ряду (MTBDR</w:t>
      </w:r>
      <w:r w:rsidRPr="006263CF">
        <w:rPr>
          <w:rFonts w:asciiTheme="minorHAnsi" w:hAnsiTheme="minorHAnsi" w:cstheme="minorHAnsi"/>
          <w:i/>
          <w:iCs/>
          <w:color w:val="000000"/>
          <w:szCs w:val="22"/>
        </w:rPr>
        <w:t>plus</w:t>
      </w:r>
      <w:r w:rsidRPr="006263CF">
        <w:rPr>
          <w:rFonts w:asciiTheme="minorHAnsi" w:hAnsiTheme="minorHAnsi" w:cstheme="minorHAnsi"/>
          <w:color w:val="000000"/>
          <w:szCs w:val="22"/>
        </w:rPr>
        <w:t xml:space="preserve">) може визначати мутації у промоторних ділянках генів </w:t>
      </w:r>
      <w:r w:rsidRPr="006263CF">
        <w:rPr>
          <w:rFonts w:asciiTheme="minorHAnsi" w:hAnsiTheme="minorHAnsi" w:cstheme="minorHAnsi"/>
          <w:i/>
          <w:iCs/>
          <w:color w:val="000000"/>
          <w:szCs w:val="22"/>
        </w:rPr>
        <w:t>inh</w:t>
      </w:r>
      <w:r w:rsidRPr="006263CF">
        <w:rPr>
          <w:rFonts w:asciiTheme="minorHAnsi" w:hAnsiTheme="minorHAnsi" w:cstheme="minorHAnsi"/>
          <w:color w:val="000000"/>
          <w:szCs w:val="22"/>
        </w:rPr>
        <w:t xml:space="preserve">A або </w:t>
      </w:r>
      <w:r w:rsidRPr="006263CF">
        <w:rPr>
          <w:rFonts w:asciiTheme="minorHAnsi" w:hAnsiTheme="minorHAnsi" w:cstheme="minorHAnsi"/>
          <w:i/>
          <w:iCs/>
          <w:color w:val="000000"/>
          <w:szCs w:val="22"/>
        </w:rPr>
        <w:t>kat</w:t>
      </w:r>
      <w:r w:rsidRPr="006263CF">
        <w:rPr>
          <w:rFonts w:asciiTheme="minorHAnsi" w:hAnsiTheme="minorHAnsi" w:cstheme="minorHAnsi"/>
          <w:color w:val="000000"/>
          <w:szCs w:val="22"/>
        </w:rPr>
        <w:t xml:space="preserve">G. Обидві ці мутації сприяють стійкості до ізоніазиду з низьким рівнем стійкості за наявності мутацій гену </w:t>
      </w:r>
      <w:r w:rsidRPr="006263CF">
        <w:rPr>
          <w:rFonts w:asciiTheme="minorHAnsi" w:hAnsiTheme="minorHAnsi" w:cstheme="minorHAnsi"/>
          <w:i/>
          <w:iCs/>
          <w:color w:val="000000"/>
          <w:szCs w:val="22"/>
        </w:rPr>
        <w:t>inh</w:t>
      </w:r>
      <w:r w:rsidRPr="006263CF">
        <w:rPr>
          <w:rFonts w:asciiTheme="minorHAnsi" w:hAnsiTheme="minorHAnsi" w:cstheme="minorHAnsi"/>
          <w:color w:val="000000"/>
          <w:szCs w:val="22"/>
        </w:rPr>
        <w:t xml:space="preserve">A або стійкості високого рівня, коли наявні мутації гену </w:t>
      </w:r>
      <w:r w:rsidRPr="006263CF">
        <w:rPr>
          <w:rFonts w:asciiTheme="minorHAnsi" w:hAnsiTheme="minorHAnsi" w:cstheme="minorHAnsi"/>
          <w:i/>
          <w:iCs/>
          <w:color w:val="000000"/>
          <w:szCs w:val="22"/>
        </w:rPr>
        <w:t>kat</w:t>
      </w:r>
      <w:r w:rsidRPr="006263CF">
        <w:rPr>
          <w:rFonts w:asciiTheme="minorHAnsi" w:hAnsiTheme="minorHAnsi" w:cstheme="minorHAnsi"/>
          <w:color w:val="000000"/>
          <w:szCs w:val="22"/>
        </w:rPr>
        <w:t xml:space="preserve">G. Мутації на промоторних ділянках гену </w:t>
      </w:r>
      <w:r w:rsidRPr="006263CF">
        <w:rPr>
          <w:rFonts w:asciiTheme="minorHAnsi" w:hAnsiTheme="minorHAnsi" w:cstheme="minorHAnsi"/>
          <w:i/>
          <w:iCs/>
          <w:color w:val="000000"/>
          <w:szCs w:val="22"/>
        </w:rPr>
        <w:t>inh</w:t>
      </w:r>
      <w:r w:rsidRPr="006263CF">
        <w:rPr>
          <w:rFonts w:asciiTheme="minorHAnsi" w:hAnsiTheme="minorHAnsi" w:cstheme="minorHAnsi"/>
          <w:color w:val="000000"/>
          <w:szCs w:val="22"/>
        </w:rPr>
        <w:t xml:space="preserve">A також асоціюються зі стійкістю до етіонаміду та протіонаміду. Наявність мутацій як в промоторі (гену </w:t>
      </w:r>
      <w:r w:rsidRPr="006263CF">
        <w:rPr>
          <w:rFonts w:asciiTheme="minorHAnsi" w:hAnsiTheme="minorHAnsi" w:cstheme="minorHAnsi"/>
          <w:i/>
          <w:iCs/>
          <w:color w:val="000000"/>
          <w:szCs w:val="22"/>
        </w:rPr>
        <w:t>inh</w:t>
      </w:r>
      <w:r w:rsidRPr="006263CF">
        <w:rPr>
          <w:rFonts w:asciiTheme="minorHAnsi" w:hAnsiTheme="minorHAnsi" w:cstheme="minorHAnsi"/>
          <w:color w:val="000000"/>
          <w:szCs w:val="22"/>
        </w:rPr>
        <w:t>A, так і гену</w:t>
      </w:r>
      <w:r w:rsidRPr="006263CF">
        <w:rPr>
          <w:rFonts w:asciiTheme="minorHAnsi" w:hAnsiTheme="minorHAnsi" w:cstheme="minorHAnsi"/>
          <w:i/>
          <w:iCs/>
          <w:color w:val="000000"/>
          <w:szCs w:val="22"/>
        </w:rPr>
        <w:t>kat</w:t>
      </w:r>
      <w:r w:rsidRPr="006263CF">
        <w:rPr>
          <w:rFonts w:asciiTheme="minorHAnsi" w:hAnsiTheme="minorHAnsi" w:cstheme="minorHAnsi"/>
          <w:color w:val="000000"/>
          <w:szCs w:val="22"/>
        </w:rPr>
        <w:t>G) свідчить про те, що ізоніазид у високій дозі та тіонаміди є неефективними, і саме тому не слід застосовувати короткострокову схему лікування. За відсутності інформації про мутаційні моделі для окремого пацієнта знання про частоту одночасного виникнення обох мутацій в результаті нагляду за лікарською стійкістю у відповідних епідеміологічних умовах може також слугувати основою для прийняття рішень.</w:t>
      </w:r>
    </w:p>
    <w:p w:rsidR="005C0A87" w:rsidRPr="006263CF" w:rsidRDefault="005C0A87" w:rsidP="006263CF">
      <w:pPr>
        <w:spacing w:before="144"/>
        <w:jc w:val="both"/>
        <w:rPr>
          <w:rFonts w:asciiTheme="minorHAnsi" w:hAnsiTheme="minorHAnsi" w:cstheme="minorHAnsi"/>
          <w:sz w:val="18"/>
        </w:rPr>
      </w:pPr>
      <w:r w:rsidRPr="006263CF">
        <w:rPr>
          <w:rFonts w:asciiTheme="minorHAnsi" w:hAnsiTheme="minorHAnsi" w:cstheme="minorHAnsi"/>
          <w:color w:val="000000"/>
          <w:szCs w:val="22"/>
        </w:rPr>
        <w:t>Швидких методів для виявлення стійкості до клофазиміну та бедаквіліну не існує, однак встановлені критичні концентрації для ПІРМ, що дозволяє НПБТ здійснювати ТМЧ за фенотиповим методом. В ідеалі ТМЧ за фенотиповим методом слід проводити під час початку лікування або з першим штамом, виділеним у</w:t>
      </w:r>
    </w:p>
    <w:p w:rsidR="000344A4" w:rsidRDefault="000344A4" w:rsidP="000344A4">
      <w:pPr>
        <w:spacing w:before="250"/>
        <w:ind w:right="5"/>
        <w:jc w:val="both"/>
        <w:rPr>
          <w:rFonts w:asciiTheme="minorHAnsi" w:hAnsiTheme="minorHAnsi" w:cstheme="minorHAnsi"/>
          <w:color w:val="000000"/>
          <w:sz w:val="14"/>
          <w:szCs w:val="16"/>
          <w:vertAlign w:val="superscript"/>
        </w:rPr>
      </w:pPr>
      <w:r>
        <w:rPr>
          <w:rFonts w:asciiTheme="minorHAnsi" w:hAnsiTheme="minorHAnsi" w:cstheme="minorHAnsi"/>
          <w:color w:val="000000"/>
          <w:sz w:val="14"/>
          <w:szCs w:val="16"/>
          <w:u w:val="single"/>
          <w:vertAlign w:val="superscript"/>
        </w:rPr>
        <w:tab/>
      </w:r>
      <w:r>
        <w:rPr>
          <w:rFonts w:asciiTheme="minorHAnsi" w:hAnsiTheme="minorHAnsi" w:cstheme="minorHAnsi"/>
          <w:color w:val="000000"/>
          <w:sz w:val="14"/>
          <w:szCs w:val="16"/>
          <w:u w:val="single"/>
          <w:vertAlign w:val="superscript"/>
        </w:rPr>
        <w:tab/>
      </w:r>
      <w:r>
        <w:rPr>
          <w:rFonts w:asciiTheme="minorHAnsi" w:hAnsiTheme="minorHAnsi" w:cstheme="minorHAnsi"/>
          <w:color w:val="000000"/>
          <w:sz w:val="14"/>
          <w:szCs w:val="16"/>
          <w:u w:val="single"/>
          <w:vertAlign w:val="superscript"/>
        </w:rPr>
        <w:tab/>
      </w:r>
    </w:p>
    <w:p w:rsidR="005C0A87" w:rsidRPr="006263CF" w:rsidRDefault="005C0A87" w:rsidP="000344A4">
      <w:pPr>
        <w:tabs>
          <w:tab w:val="left" w:pos="221"/>
        </w:tabs>
        <w:ind w:left="221" w:right="5" w:hanging="221"/>
        <w:jc w:val="both"/>
        <w:rPr>
          <w:rFonts w:asciiTheme="minorHAnsi" w:hAnsiTheme="minorHAnsi" w:cstheme="minorHAnsi"/>
          <w:sz w:val="18"/>
        </w:rPr>
      </w:pPr>
      <w:r w:rsidRPr="006263CF">
        <w:rPr>
          <w:rFonts w:asciiTheme="minorHAnsi" w:hAnsiTheme="minorHAnsi" w:cstheme="minorHAnsi"/>
          <w:color w:val="000000"/>
          <w:sz w:val="14"/>
          <w:szCs w:val="16"/>
          <w:vertAlign w:val="superscript"/>
        </w:rPr>
        <w:t>6</w:t>
      </w:r>
      <w:r w:rsidRPr="006263CF">
        <w:rPr>
          <w:rFonts w:asciiTheme="minorHAnsi" w:hAnsiTheme="minorHAnsi" w:cstheme="minorHAnsi"/>
          <w:color w:val="000000"/>
          <w:sz w:val="14"/>
          <w:szCs w:val="16"/>
        </w:rPr>
        <w:tab/>
        <w:t>Визначається за допомогою ТМЧ фенотиповим методом або мутаціями або в генах inhA, або katG (не в обох). Наявність мутацій як в промоторі гену inhA, так і гену katG свідчить про те, що ізоніазид у високій дозі та тіонаміди є неефективними, і саме тому не слід застосовувати короткострокову схему лікування.</w:t>
      </w:r>
    </w:p>
    <w:p w:rsidR="005C0A87" w:rsidRPr="006263CF" w:rsidRDefault="005C0A87" w:rsidP="006263CF">
      <w:pPr>
        <w:tabs>
          <w:tab w:val="left" w:pos="221"/>
        </w:tabs>
        <w:spacing w:before="38"/>
        <w:ind w:left="221" w:right="10" w:hanging="221"/>
        <w:jc w:val="both"/>
        <w:rPr>
          <w:rFonts w:asciiTheme="minorHAnsi" w:hAnsiTheme="minorHAnsi" w:cstheme="minorHAnsi"/>
          <w:sz w:val="18"/>
        </w:rPr>
      </w:pPr>
      <w:r w:rsidRPr="006263CF">
        <w:rPr>
          <w:rFonts w:asciiTheme="minorHAnsi" w:hAnsiTheme="minorHAnsi" w:cstheme="minorHAnsi"/>
          <w:color w:val="000000"/>
          <w:sz w:val="14"/>
          <w:szCs w:val="16"/>
          <w:vertAlign w:val="superscript"/>
        </w:rPr>
        <w:t>7</w:t>
      </w:r>
      <w:r w:rsidRPr="006263CF">
        <w:rPr>
          <w:rFonts w:asciiTheme="minorHAnsi" w:hAnsiTheme="minorHAnsi" w:cstheme="minorHAnsi"/>
          <w:color w:val="000000"/>
          <w:sz w:val="14"/>
          <w:szCs w:val="16"/>
        </w:rPr>
        <w:tab/>
        <w:t xml:space="preserve">На підставі результатів RCT, проведеного виробником, американське управління з санітарного нагляду за якістю харчових продуктів і лікарських засобів продовжило дозвіл на використання бедаквіліну для дітей віком від 5 років </w:t>
      </w:r>
      <w:r w:rsidRPr="006263CF">
        <w:rPr>
          <w:rFonts w:asciiTheme="minorHAnsi" w:hAnsiTheme="minorHAnsi" w:cstheme="minorHAnsi"/>
          <w:i/>
          <w:iCs/>
          <w:color w:val="000000"/>
          <w:sz w:val="14"/>
          <w:szCs w:val="16"/>
        </w:rPr>
        <w:t xml:space="preserve">(32). </w:t>
      </w:r>
      <w:r w:rsidRPr="006263CF">
        <w:rPr>
          <w:rFonts w:asciiTheme="minorHAnsi" w:hAnsiTheme="minorHAnsi" w:cstheme="minorHAnsi"/>
          <w:color w:val="000000"/>
          <w:sz w:val="14"/>
          <w:szCs w:val="16"/>
        </w:rPr>
        <w:t>Однак ці дані ще не були оцінені ВООЗ.</w:t>
      </w:r>
    </w:p>
    <w:p w:rsidR="005C0A87" w:rsidRPr="006263CF" w:rsidRDefault="005C0A87" w:rsidP="006263CF">
      <w:pPr>
        <w:tabs>
          <w:tab w:val="left" w:pos="221"/>
        </w:tabs>
        <w:spacing w:before="38"/>
        <w:ind w:left="221" w:right="10" w:hanging="221"/>
        <w:jc w:val="both"/>
        <w:rPr>
          <w:rFonts w:asciiTheme="minorHAnsi" w:hAnsiTheme="minorHAnsi" w:cstheme="minorHAnsi"/>
          <w:sz w:val="18"/>
        </w:rPr>
        <w:sectPr w:rsidR="005C0A87" w:rsidRPr="006263CF">
          <w:footerReference w:type="default" r:id="rId26"/>
          <w:pgSz w:w="11904" w:h="16838"/>
          <w:pgMar w:top="1349" w:right="1411" w:bottom="1310" w:left="1416" w:header="708" w:footer="708" w:gutter="0"/>
          <w:cols w:space="60"/>
          <w:noEndnote/>
        </w:sectPr>
      </w:pPr>
    </w:p>
    <w:p w:rsidR="005C0A87" w:rsidRPr="006263CF" w:rsidRDefault="005C0A87" w:rsidP="006263CF">
      <w:pPr>
        <w:ind w:right="5"/>
        <w:jc w:val="both"/>
        <w:rPr>
          <w:rFonts w:asciiTheme="minorHAnsi" w:hAnsiTheme="minorHAnsi" w:cstheme="minorHAnsi"/>
          <w:sz w:val="18"/>
        </w:rPr>
      </w:pPr>
      <w:bookmarkStart w:id="13" w:name="bookmark12"/>
      <w:r w:rsidRPr="006263CF">
        <w:rPr>
          <w:rFonts w:asciiTheme="minorHAnsi" w:hAnsiTheme="minorHAnsi" w:cstheme="minorHAnsi"/>
          <w:color w:val="000000"/>
          <w:szCs w:val="22"/>
        </w:rPr>
        <w:lastRenderedPageBreak/>
        <w:t>п</w:t>
      </w:r>
      <w:bookmarkEnd w:id="13"/>
      <w:r w:rsidRPr="006263CF">
        <w:rPr>
          <w:rFonts w:asciiTheme="minorHAnsi" w:hAnsiTheme="minorHAnsi" w:cstheme="minorHAnsi"/>
          <w:color w:val="000000"/>
          <w:szCs w:val="22"/>
        </w:rPr>
        <w:t>ацієнтів під час моніторингу лікування. Якщо проведення ТМЧ все ще не можливе, програма боротьби із ТБ повинна швидко розробити можливість для проведення ТМЧ, а тому слід докласти усі зусилля для забезпечення доступу до затверджених тестів. До тих пір, поки проведення ТМЧ 2-го ряду (в тому числі для бедаквіліну, лінезоліду та клофазиміну) не стане доступним (бажано, у якості крайнього випадку та тимчасового заходу), при прийнятті рішення відносно лікування, можливо, доведеться покладатися на ймовірність ефективності лікарських препаратів, виходячи з клінічної історії пацієнта та нагляду з країни чи регіону.</w:t>
      </w:r>
    </w:p>
    <w:p w:rsidR="005C0A87" w:rsidRPr="006263CF" w:rsidRDefault="005C0A87" w:rsidP="006263CF">
      <w:pPr>
        <w:spacing w:before="144"/>
        <w:ind w:right="5"/>
        <w:jc w:val="both"/>
        <w:rPr>
          <w:rFonts w:asciiTheme="minorHAnsi" w:hAnsiTheme="minorHAnsi" w:cstheme="minorHAnsi"/>
          <w:sz w:val="18"/>
        </w:rPr>
      </w:pPr>
      <w:r w:rsidRPr="006263CF">
        <w:rPr>
          <w:rFonts w:asciiTheme="minorHAnsi" w:hAnsiTheme="minorHAnsi" w:cstheme="minorHAnsi"/>
          <w:color w:val="000000"/>
          <w:szCs w:val="22"/>
        </w:rPr>
        <w:t xml:space="preserve">Існують певні дані щодо перехресної стійкості між клофазиміном та бедаквіліном, із розвитком специфічних мутацій у Rv0678, що враховує цю перехресну стійкість; необхідні додаткові докази, щоб краще зрозуміти механізм цієї стійкості та її клінічну цінність </w:t>
      </w:r>
      <w:r w:rsidRPr="006263CF">
        <w:rPr>
          <w:rFonts w:asciiTheme="minorHAnsi" w:hAnsiTheme="minorHAnsi" w:cstheme="minorHAnsi"/>
          <w:i/>
          <w:iCs/>
          <w:color w:val="000000"/>
          <w:szCs w:val="22"/>
        </w:rPr>
        <w:t>(34)</w:t>
      </w:r>
      <w:r w:rsidRPr="006263CF">
        <w:rPr>
          <w:rFonts w:asciiTheme="minorHAnsi" w:hAnsiTheme="minorHAnsi" w:cstheme="minorHAnsi"/>
          <w:color w:val="000000"/>
          <w:szCs w:val="22"/>
        </w:rPr>
        <w:t>. З розвитком лабораторних можливостей, для того, щоб в кінцевому підсумку запропонувати тест на стійкість до лікарських препаратів, для яких наразі ці методи недостовірні, також можна розробити рекомендації щодо початкового ТМЧ.</w:t>
      </w:r>
    </w:p>
    <w:p w:rsidR="005C0A87" w:rsidRPr="006263CF" w:rsidRDefault="005C0A87" w:rsidP="006263CF">
      <w:pPr>
        <w:spacing w:before="283"/>
        <w:rPr>
          <w:rFonts w:asciiTheme="minorHAnsi" w:hAnsiTheme="minorHAnsi" w:cstheme="minorHAnsi"/>
          <w:sz w:val="18"/>
        </w:rPr>
      </w:pPr>
      <w:r w:rsidRPr="006263CF">
        <w:rPr>
          <w:rFonts w:asciiTheme="minorHAnsi" w:hAnsiTheme="minorHAnsi" w:cstheme="minorHAnsi"/>
          <w:b/>
          <w:bCs/>
          <w:color w:val="1F61AA"/>
          <w:sz w:val="36"/>
          <w:szCs w:val="38"/>
        </w:rPr>
        <w:t>5.2 Склад та тривалість схеми лікування</w:t>
      </w:r>
    </w:p>
    <w:p w:rsidR="005C0A87" w:rsidRPr="006263CF" w:rsidRDefault="005C0A87" w:rsidP="006263CF">
      <w:pPr>
        <w:spacing w:before="53"/>
        <w:ind w:right="5"/>
        <w:jc w:val="both"/>
        <w:rPr>
          <w:rFonts w:asciiTheme="minorHAnsi" w:hAnsiTheme="minorHAnsi" w:cstheme="minorHAnsi"/>
          <w:sz w:val="18"/>
        </w:rPr>
      </w:pPr>
      <w:r w:rsidRPr="006263CF">
        <w:rPr>
          <w:rFonts w:asciiTheme="minorHAnsi" w:hAnsiTheme="minorHAnsi" w:cstheme="minorHAnsi"/>
          <w:color w:val="000000"/>
          <w:szCs w:val="22"/>
        </w:rPr>
        <w:t xml:space="preserve">Короткострокова пероральна бедаквіліновмісна схема лікування МР/Риф-ТБ, рекомендована ВООЗ у 2020 році, </w:t>
      </w:r>
      <w:r w:rsidRPr="006263CF">
        <w:rPr>
          <w:rFonts w:asciiTheme="minorHAnsi" w:hAnsiTheme="minorHAnsi" w:cstheme="minorHAnsi"/>
          <w:i/>
          <w:iCs/>
          <w:color w:val="000000"/>
          <w:szCs w:val="22"/>
        </w:rPr>
        <w:t xml:space="preserve">(1) </w:t>
      </w:r>
      <w:r w:rsidRPr="006263CF">
        <w:rPr>
          <w:rFonts w:asciiTheme="minorHAnsi" w:hAnsiTheme="minorHAnsi" w:cstheme="minorHAnsi"/>
          <w:color w:val="000000"/>
          <w:szCs w:val="22"/>
        </w:rPr>
        <w:t>містить: бедаквілін, левофлоксацин/моксифлоксацин, клофазимін, етіонамід, етамбутол, ізоніазид (висока доза) та піразинамід на 4 місяці (з можливістю продовження до 6 місяців, якщо у пацієнта залишається позитивним мазок мокротиння або культури наприкінці четвертого місяця) з подальшим 5-місячним лікуванням левофлоксацином/моксифлоксацином, клофазиміном, етамбутолом та піразинамідом. Бедаквілін використовується у цій схемі протягом 6 місяців.</w:t>
      </w:r>
    </w:p>
    <w:p w:rsidR="005C0A87" w:rsidRPr="006263CF" w:rsidRDefault="005C0A87" w:rsidP="006263CF">
      <w:pPr>
        <w:spacing w:before="144"/>
        <w:ind w:right="5"/>
        <w:jc w:val="both"/>
        <w:rPr>
          <w:rFonts w:asciiTheme="minorHAnsi" w:hAnsiTheme="minorHAnsi" w:cstheme="minorHAnsi"/>
          <w:sz w:val="18"/>
        </w:rPr>
      </w:pPr>
      <w:r w:rsidRPr="006263CF">
        <w:rPr>
          <w:rFonts w:asciiTheme="minorHAnsi" w:hAnsiTheme="minorHAnsi" w:cstheme="minorHAnsi"/>
          <w:color w:val="000000"/>
          <w:szCs w:val="22"/>
        </w:rPr>
        <w:t xml:space="preserve">Запропоновані дози, викладено в </w:t>
      </w:r>
      <w:r w:rsidRPr="006263CF">
        <w:rPr>
          <w:rFonts w:asciiTheme="minorHAnsi" w:hAnsiTheme="minorHAnsi" w:cstheme="minorHAnsi"/>
          <w:color w:val="1F61AA"/>
          <w:szCs w:val="22"/>
        </w:rPr>
        <w:t>Додатку I</w:t>
      </w:r>
      <w:r w:rsidRPr="006263CF">
        <w:rPr>
          <w:rFonts w:asciiTheme="minorHAnsi" w:hAnsiTheme="minorHAnsi" w:cstheme="minorHAnsi"/>
          <w:color w:val="000000"/>
          <w:szCs w:val="22"/>
        </w:rPr>
        <w:t>. Досліджена когорта з Південної Африки в основному приймала левофлоксацин; лише невелика частина пацієнтів отримувала моксифлоксацин замість левофлоксацину, а бедаквілін приймали протягом 6 місяців. Усі лікарські препарати приймалися 1 раз на день протягом тижня, за винятком бедаквіліну, який приймали щодня протягом перших 2 тижнів, після чого 3 рази на тиждень протягом решти 22 тижнів.</w:t>
      </w:r>
    </w:p>
    <w:p w:rsidR="005C0A87" w:rsidRPr="006263CF" w:rsidRDefault="007E6088" w:rsidP="006263CF">
      <w:pPr>
        <w:spacing w:before="91"/>
        <w:rPr>
          <w:rFonts w:asciiTheme="minorHAnsi" w:hAnsiTheme="minorHAnsi" w:cstheme="minorHAnsi"/>
          <w:sz w:val="18"/>
        </w:rPr>
      </w:pPr>
      <w:r w:rsidRPr="006263CF">
        <w:rPr>
          <w:rFonts w:asciiTheme="minorHAnsi" w:hAnsiTheme="minorHAnsi" w:cstheme="minorHAnsi"/>
          <w:noProof/>
          <w:sz w:val="18"/>
        </w:rPr>
        <mc:AlternateContent>
          <mc:Choice Requires="wps">
            <w:drawing>
              <wp:anchor distT="0" distB="0" distL="114300" distR="114300" simplePos="0" relativeHeight="251668480" behindDoc="0" locked="0" layoutInCell="1" allowOverlap="1" wp14:anchorId="5EB34FB7" wp14:editId="200616EB">
                <wp:simplePos x="0" y="0"/>
                <wp:positionH relativeFrom="page">
                  <wp:posOffset>1094510</wp:posOffset>
                </wp:positionH>
                <wp:positionV relativeFrom="page">
                  <wp:posOffset>5444836</wp:posOffset>
                </wp:positionV>
                <wp:extent cx="5344680" cy="762000"/>
                <wp:effectExtent l="0" t="0" r="8890" b="0"/>
                <wp:wrapNone/>
                <wp:docPr id="15" name="Поле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4680" cy="762000"/>
                        </a:xfrm>
                        <a:prstGeom prst="rect">
                          <a:avLst/>
                        </a:prstGeom>
                        <a:solidFill>
                          <a:srgbClr val="D7DBEE"/>
                        </a:solidFill>
                        <a:ln w="6350">
                          <a:noFill/>
                        </a:ln>
                        <a:effectLst/>
                      </wps:spPr>
                      <wps:txbx>
                        <w:txbxContent>
                          <w:p w:rsidR="00395867" w:rsidRPr="000C4F1C" w:rsidRDefault="00395867" w:rsidP="000C4F1C">
                            <w:pPr>
                              <w:pStyle w:val="Pa18"/>
                              <w:spacing w:line="240" w:lineRule="auto"/>
                              <w:jc w:val="center"/>
                              <w:rPr>
                                <w:rFonts w:asciiTheme="minorHAnsi" w:hAnsiTheme="minorHAnsi" w:cstheme="minorHAnsi"/>
                                <w:color w:val="000000"/>
                                <w:sz w:val="20"/>
                                <w:szCs w:val="20"/>
                              </w:rPr>
                            </w:pPr>
                            <w:r w:rsidRPr="000C4F1C">
                              <w:rPr>
                                <w:rFonts w:asciiTheme="minorHAnsi" w:hAnsiTheme="minorHAnsi" w:cstheme="minorHAnsi"/>
                                <w:i/>
                                <w:iCs/>
                                <w:color w:val="000000"/>
                                <w:sz w:val="20"/>
                                <w:szCs w:val="20"/>
                              </w:rPr>
                              <w:t xml:space="preserve">Цю схему лікування можна резюмувати так: </w:t>
                            </w:r>
                            <w:r w:rsidRPr="000C4F1C">
                              <w:rPr>
                                <w:rFonts w:asciiTheme="minorHAnsi" w:hAnsiTheme="minorHAnsi" w:cstheme="minorHAnsi"/>
                                <w:b/>
                                <w:bCs/>
                                <w:color w:val="000000"/>
                                <w:sz w:val="20"/>
                                <w:szCs w:val="20"/>
                              </w:rPr>
                              <w:t xml:space="preserve">4–6 </w:t>
                            </w:r>
                            <w:r w:rsidRPr="000C4F1C">
                              <w:rPr>
                                <w:rFonts w:asciiTheme="minorHAnsi" w:hAnsiTheme="minorHAnsi" w:cstheme="minorHAnsi"/>
                                <w:b/>
                                <w:bCs/>
                                <w:sz w:val="20"/>
                                <w:szCs w:val="20"/>
                              </w:rPr>
                              <w:t>БДК</w:t>
                            </w:r>
                            <w:r w:rsidRPr="000C4F1C">
                              <w:rPr>
                                <w:rStyle w:val="A11"/>
                                <w:rFonts w:asciiTheme="minorHAnsi" w:hAnsiTheme="minorHAnsi" w:cstheme="minorHAnsi"/>
                                <w:bCs/>
                                <w:sz w:val="20"/>
                                <w:szCs w:val="20"/>
                              </w:rPr>
                              <w:t xml:space="preserve">(6 місяців) </w:t>
                            </w:r>
                            <w:r w:rsidRPr="000C4F1C">
                              <w:rPr>
                                <w:rFonts w:asciiTheme="minorHAnsi" w:hAnsiTheme="minorHAnsi" w:cstheme="minorHAnsi"/>
                                <w:b/>
                                <w:bCs/>
                                <w:color w:val="000000"/>
                                <w:sz w:val="20"/>
                                <w:szCs w:val="20"/>
                              </w:rPr>
                              <w:t>-ЛФЦ-ЦФЗ-З-Е-Х-Ето / 5 ЛФЦ-ЦФЗ-З-E</w:t>
                            </w:r>
                          </w:p>
                          <w:p w:rsidR="00395867" w:rsidRPr="000C4F1C" w:rsidRDefault="00395867" w:rsidP="000C4F1C">
                            <w:pPr>
                              <w:pStyle w:val="Pa18"/>
                              <w:spacing w:line="240" w:lineRule="auto"/>
                              <w:jc w:val="center"/>
                              <w:rPr>
                                <w:rFonts w:asciiTheme="minorHAnsi" w:hAnsiTheme="minorHAnsi" w:cstheme="minorHAnsi"/>
                                <w:color w:val="000000"/>
                                <w:sz w:val="20"/>
                                <w:szCs w:val="20"/>
                              </w:rPr>
                            </w:pPr>
                            <w:r w:rsidRPr="000C4F1C">
                              <w:rPr>
                                <w:rFonts w:asciiTheme="minorHAnsi" w:hAnsiTheme="minorHAnsi" w:cstheme="minorHAnsi"/>
                                <w:i/>
                                <w:iCs/>
                                <w:color w:val="000000"/>
                                <w:sz w:val="20"/>
                                <w:szCs w:val="20"/>
                              </w:rPr>
                              <w:t xml:space="preserve">Початкова фаза: </w:t>
                            </w:r>
                            <w:r w:rsidRPr="000C4F1C">
                              <w:rPr>
                                <w:rFonts w:asciiTheme="minorHAnsi" w:hAnsiTheme="minorHAnsi" w:cstheme="minorHAnsi"/>
                                <w:b/>
                                <w:bCs/>
                                <w:color w:val="000000"/>
                                <w:sz w:val="20"/>
                                <w:szCs w:val="20"/>
                              </w:rPr>
                              <w:t>4–6 БДК</w:t>
                            </w:r>
                            <w:r w:rsidRPr="000C4F1C">
                              <w:rPr>
                                <w:rStyle w:val="A11"/>
                                <w:rFonts w:asciiTheme="minorHAnsi" w:hAnsiTheme="minorHAnsi" w:cstheme="minorHAnsi"/>
                                <w:bCs/>
                                <w:sz w:val="20"/>
                                <w:szCs w:val="20"/>
                              </w:rPr>
                              <w:t>(6 місяців)</w:t>
                            </w:r>
                            <w:r w:rsidRPr="000C4F1C">
                              <w:rPr>
                                <w:rFonts w:asciiTheme="minorHAnsi" w:hAnsiTheme="minorHAnsi" w:cstheme="minorHAnsi"/>
                                <w:b/>
                                <w:bCs/>
                                <w:color w:val="000000"/>
                                <w:sz w:val="20"/>
                                <w:szCs w:val="20"/>
                              </w:rPr>
                              <w:t>-ЛФЦ-ЦФЗ-З-E-Х-</w:t>
                            </w:r>
                            <w:r w:rsidRPr="000C4F1C">
                              <w:rPr>
                                <w:rFonts w:asciiTheme="minorHAnsi" w:hAnsiTheme="minorHAnsi" w:cstheme="minorHAnsi"/>
                                <w:b/>
                                <w:bCs/>
                                <w:sz w:val="20"/>
                                <w:szCs w:val="20"/>
                              </w:rPr>
                              <w:t>Ето</w:t>
                            </w:r>
                          </w:p>
                          <w:p w:rsidR="00395867" w:rsidRPr="000C4F1C" w:rsidRDefault="00395867" w:rsidP="000C4F1C">
                            <w:pPr>
                              <w:jc w:val="center"/>
                              <w:rPr>
                                <w:rFonts w:asciiTheme="minorHAnsi" w:hAnsiTheme="minorHAnsi" w:cstheme="minorHAnsi"/>
                              </w:rPr>
                            </w:pPr>
                            <w:r w:rsidRPr="000C4F1C">
                              <w:rPr>
                                <w:rFonts w:asciiTheme="minorHAnsi" w:hAnsiTheme="minorHAnsi" w:cstheme="minorHAnsi"/>
                                <w:i/>
                                <w:iCs/>
                                <w:color w:val="000000"/>
                              </w:rPr>
                              <w:t xml:space="preserve">Фаза продовження: </w:t>
                            </w:r>
                            <w:r w:rsidRPr="000C4F1C">
                              <w:rPr>
                                <w:rFonts w:asciiTheme="minorHAnsi" w:hAnsiTheme="minorHAnsi" w:cstheme="minorHAnsi"/>
                                <w:b/>
                                <w:bCs/>
                                <w:color w:val="000000"/>
                              </w:rPr>
                              <w:t>5 ЛФЦ-ЦФЗ-З-E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34FB7" id="_x0000_s1030" type="#_x0000_t202" style="position:absolute;margin-left:86.2pt;margin-top:428.75pt;width:420.85pt;height:60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" fillcolor="#d7dbee" stroked="f" strokeweight=".5pt">
                <v:textbox inset="0,0,0,0">
                  <w:txbxContent>
                    <w:p w:rsidR="00395867" w:rsidRPr="000C4F1C" w:rsidRDefault="00395867" w:rsidP="000C4F1C">
                      <w:pPr>
                        <w:pStyle w:val="Pa18"/>
                        <w:spacing w:line="240" w:lineRule="auto"/>
                        <w:jc w:val="center"/>
                        <w:rPr>
                          <w:rFonts w:asciiTheme="minorHAnsi" w:hAnsiTheme="minorHAnsi" w:cstheme="minorHAnsi"/>
                          <w:color w:val="000000"/>
                          <w:sz w:val="20"/>
                          <w:szCs w:val="20"/>
                        </w:rPr>
                      </w:pPr>
                      <w:r w:rsidRPr="000C4F1C">
                        <w:rPr>
                          <w:rFonts w:asciiTheme="minorHAnsi" w:hAnsiTheme="minorHAnsi" w:cstheme="minorHAnsi"/>
                          <w:i/>
                          <w:iCs/>
                          <w:color w:val="000000"/>
                          <w:sz w:val="20"/>
                          <w:szCs w:val="20"/>
                        </w:rPr>
                        <w:t xml:space="preserve">Цю схему лікування можна резюмувати так: </w:t>
                      </w:r>
                      <w:r w:rsidRPr="000C4F1C">
                        <w:rPr>
                          <w:rFonts w:asciiTheme="minorHAnsi" w:hAnsiTheme="minorHAnsi" w:cstheme="minorHAnsi"/>
                          <w:b/>
                          <w:bCs/>
                          <w:color w:val="000000"/>
                          <w:sz w:val="20"/>
                          <w:szCs w:val="20"/>
                        </w:rPr>
                        <w:t xml:space="preserve">4–6 </w:t>
                      </w:r>
                      <w:r w:rsidRPr="000C4F1C">
                        <w:rPr>
                          <w:rFonts w:asciiTheme="minorHAnsi" w:hAnsiTheme="minorHAnsi" w:cstheme="minorHAnsi"/>
                          <w:b/>
                          <w:bCs/>
                          <w:sz w:val="20"/>
                          <w:szCs w:val="20"/>
                        </w:rPr>
                        <w:t>БДК</w:t>
                      </w:r>
                      <w:r w:rsidRPr="000C4F1C">
                        <w:rPr>
                          <w:rStyle w:val="A11"/>
                          <w:rFonts w:asciiTheme="minorHAnsi" w:hAnsiTheme="minorHAnsi" w:cstheme="minorHAnsi"/>
                          <w:bCs/>
                          <w:sz w:val="20"/>
                          <w:szCs w:val="20"/>
                        </w:rPr>
                        <w:t xml:space="preserve">(6 місяців) </w:t>
                      </w:r>
                      <w:r w:rsidRPr="000C4F1C">
                        <w:rPr>
                          <w:rFonts w:asciiTheme="minorHAnsi" w:hAnsiTheme="minorHAnsi" w:cstheme="minorHAnsi"/>
                          <w:b/>
                          <w:bCs/>
                          <w:color w:val="000000"/>
                          <w:sz w:val="20"/>
                          <w:szCs w:val="20"/>
                        </w:rPr>
                        <w:t>-ЛФЦ-ЦФЗ-З-Е-Х-Ето / 5 ЛФЦ-ЦФЗ-З-E</w:t>
                      </w:r>
                    </w:p>
                    <w:p w:rsidR="00395867" w:rsidRPr="000C4F1C" w:rsidRDefault="00395867" w:rsidP="000C4F1C">
                      <w:pPr>
                        <w:pStyle w:val="Pa18"/>
                        <w:spacing w:line="240" w:lineRule="auto"/>
                        <w:jc w:val="center"/>
                        <w:rPr>
                          <w:rFonts w:asciiTheme="minorHAnsi" w:hAnsiTheme="minorHAnsi" w:cstheme="minorHAnsi"/>
                          <w:color w:val="000000"/>
                          <w:sz w:val="20"/>
                          <w:szCs w:val="20"/>
                        </w:rPr>
                      </w:pPr>
                      <w:r w:rsidRPr="000C4F1C">
                        <w:rPr>
                          <w:rFonts w:asciiTheme="minorHAnsi" w:hAnsiTheme="minorHAnsi" w:cstheme="minorHAnsi"/>
                          <w:i/>
                          <w:iCs/>
                          <w:color w:val="000000"/>
                          <w:sz w:val="20"/>
                          <w:szCs w:val="20"/>
                        </w:rPr>
                        <w:t xml:space="preserve">Початкова фаза: </w:t>
                      </w:r>
                      <w:r w:rsidRPr="000C4F1C">
                        <w:rPr>
                          <w:rFonts w:asciiTheme="minorHAnsi" w:hAnsiTheme="minorHAnsi" w:cstheme="minorHAnsi"/>
                          <w:b/>
                          <w:bCs/>
                          <w:color w:val="000000"/>
                          <w:sz w:val="20"/>
                          <w:szCs w:val="20"/>
                        </w:rPr>
                        <w:t>4–6 БДК</w:t>
                      </w:r>
                      <w:r w:rsidRPr="000C4F1C">
                        <w:rPr>
                          <w:rStyle w:val="A11"/>
                          <w:rFonts w:asciiTheme="minorHAnsi" w:hAnsiTheme="minorHAnsi" w:cstheme="minorHAnsi"/>
                          <w:bCs/>
                          <w:sz w:val="20"/>
                          <w:szCs w:val="20"/>
                        </w:rPr>
                        <w:t>(6 місяців)</w:t>
                      </w:r>
                      <w:r w:rsidRPr="000C4F1C">
                        <w:rPr>
                          <w:rFonts w:asciiTheme="minorHAnsi" w:hAnsiTheme="minorHAnsi" w:cstheme="minorHAnsi"/>
                          <w:b/>
                          <w:bCs/>
                          <w:color w:val="000000"/>
                          <w:sz w:val="20"/>
                          <w:szCs w:val="20"/>
                        </w:rPr>
                        <w:t>-ЛФЦ-ЦФЗ-З-E-Х-</w:t>
                      </w:r>
                      <w:r w:rsidRPr="000C4F1C">
                        <w:rPr>
                          <w:rFonts w:asciiTheme="minorHAnsi" w:hAnsiTheme="minorHAnsi" w:cstheme="minorHAnsi"/>
                          <w:b/>
                          <w:bCs/>
                          <w:sz w:val="20"/>
                          <w:szCs w:val="20"/>
                        </w:rPr>
                        <w:t>Ето</w:t>
                      </w:r>
                    </w:p>
                    <w:p w:rsidR="00395867" w:rsidRPr="000C4F1C" w:rsidRDefault="00395867" w:rsidP="000C4F1C">
                      <w:pPr>
                        <w:jc w:val="center"/>
                        <w:rPr>
                          <w:rFonts w:asciiTheme="minorHAnsi" w:hAnsiTheme="minorHAnsi" w:cstheme="minorHAnsi"/>
                        </w:rPr>
                      </w:pPr>
                      <w:r w:rsidRPr="000C4F1C">
                        <w:rPr>
                          <w:rFonts w:asciiTheme="minorHAnsi" w:hAnsiTheme="minorHAnsi" w:cstheme="minorHAnsi"/>
                          <w:i/>
                          <w:iCs/>
                          <w:color w:val="000000"/>
                        </w:rPr>
                        <w:t xml:space="preserve">Фаза продовження: </w:t>
                      </w:r>
                      <w:r w:rsidRPr="000C4F1C">
                        <w:rPr>
                          <w:rFonts w:asciiTheme="minorHAnsi" w:hAnsiTheme="minorHAnsi" w:cstheme="minorHAnsi"/>
                          <w:b/>
                          <w:bCs/>
                          <w:color w:val="000000"/>
                        </w:rPr>
                        <w:t>5 ЛФЦ-ЦФЗ-З-E</w:t>
                      </w:r>
                    </w:p>
                  </w:txbxContent>
                </v:textbox>
                <w10:wrap anchorx="page" anchory="page"/>
              </v:shape>
            </w:pict>
          </mc:Fallback>
        </mc:AlternateContent>
      </w:r>
      <w:r w:rsidRPr="006263CF">
        <w:rPr>
          <w:rFonts w:asciiTheme="minorHAnsi" w:hAnsiTheme="minorHAnsi" w:cstheme="minorHAnsi"/>
          <w:noProof/>
          <w:sz w:val="18"/>
        </w:rPr>
        <w:drawing>
          <wp:inline distT="0" distB="0" distL="0" distR="0" wp14:anchorId="24A9FD61" wp14:editId="286A3B12">
            <wp:extent cx="5803265" cy="1012190"/>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03265" cy="1012190"/>
                    </a:xfrm>
                    <a:prstGeom prst="rect">
                      <a:avLst/>
                    </a:prstGeom>
                    <a:noFill/>
                    <a:ln>
                      <a:noFill/>
                    </a:ln>
                  </pic:spPr>
                </pic:pic>
              </a:graphicData>
            </a:graphic>
          </wp:inline>
        </w:drawing>
      </w:r>
    </w:p>
    <w:p w:rsidR="005C0A87" w:rsidRPr="006263CF" w:rsidRDefault="005C0A87" w:rsidP="006263CF">
      <w:pPr>
        <w:ind w:right="5"/>
        <w:jc w:val="both"/>
        <w:rPr>
          <w:rFonts w:asciiTheme="minorHAnsi" w:hAnsiTheme="minorHAnsi" w:cstheme="minorHAnsi"/>
          <w:sz w:val="18"/>
        </w:rPr>
      </w:pPr>
      <w:r w:rsidRPr="006263CF">
        <w:rPr>
          <w:rFonts w:asciiTheme="minorHAnsi" w:hAnsiTheme="minorHAnsi" w:cstheme="minorHAnsi"/>
          <w:color w:val="000000"/>
          <w:szCs w:val="22"/>
        </w:rPr>
        <w:t>Короткострокову пероральну бедаквіліновмісну схему лікування МР/Риф-ТБ імплементували як стандартизований пакет згідно з програмними умовами у Південній Африці. Таким чином, недоцільно змінювати склад або скорочувати тривалість початкової фази або фази продовження, або продовжувати ці фази у разі відсутності відповіді, окрім внесення наступних модифікацій:</w:t>
      </w:r>
    </w:p>
    <w:p w:rsidR="005C0A87" w:rsidRPr="006263CF" w:rsidRDefault="005C0A87" w:rsidP="006263CF">
      <w:pPr>
        <w:numPr>
          <w:ilvl w:val="0"/>
          <w:numId w:val="10"/>
        </w:numPr>
        <w:tabs>
          <w:tab w:val="left" w:pos="274"/>
        </w:tabs>
        <w:spacing w:before="144"/>
        <w:ind w:left="240" w:right="5" w:hanging="240"/>
        <w:jc w:val="both"/>
        <w:rPr>
          <w:rFonts w:asciiTheme="minorHAnsi" w:eastAsia="Times New Roman" w:hAnsiTheme="minorHAnsi" w:cstheme="minorHAnsi"/>
          <w:color w:val="1F61AA"/>
          <w:szCs w:val="22"/>
        </w:rPr>
      </w:pPr>
      <w:r w:rsidRPr="006263CF">
        <w:rPr>
          <w:rFonts w:asciiTheme="minorHAnsi" w:hAnsiTheme="minorHAnsi" w:cstheme="minorHAnsi"/>
          <w:color w:val="000000"/>
          <w:szCs w:val="22"/>
        </w:rPr>
        <w:t>Якщо мазки мокротиння або культури не стають негативними до 4-го місяця, початкова фаза лікування продовжується допоки мазок мокротиння або культури не конвертується; однак початкова фаза не затягується загалом більше ніж на 6 місяців. Тривалість пізньої фази залишається фіксованою на рівні 5 місяців незалежно від будь-чого.</w:t>
      </w:r>
    </w:p>
    <w:p w:rsidR="005C0A87" w:rsidRPr="006263CF" w:rsidRDefault="005C0A87" w:rsidP="006263CF">
      <w:pPr>
        <w:numPr>
          <w:ilvl w:val="0"/>
          <w:numId w:val="10"/>
        </w:numPr>
        <w:tabs>
          <w:tab w:val="left" w:pos="274"/>
        </w:tabs>
        <w:rPr>
          <w:rFonts w:asciiTheme="minorHAnsi" w:eastAsia="Times New Roman" w:hAnsiTheme="minorHAnsi" w:cstheme="minorHAnsi"/>
          <w:color w:val="1F61AA"/>
          <w:szCs w:val="22"/>
        </w:rPr>
      </w:pPr>
      <w:r w:rsidRPr="006263CF">
        <w:rPr>
          <w:rFonts w:asciiTheme="minorHAnsi" w:hAnsiTheme="minorHAnsi" w:cstheme="minorHAnsi"/>
          <w:color w:val="000000"/>
          <w:szCs w:val="22"/>
        </w:rPr>
        <w:t>Бедаквілін використовується впродовж 6 місяців.</w:t>
      </w:r>
    </w:p>
    <w:p w:rsidR="005C0A87" w:rsidRPr="006263CF" w:rsidRDefault="005C0A87" w:rsidP="006263CF">
      <w:pPr>
        <w:numPr>
          <w:ilvl w:val="0"/>
          <w:numId w:val="10"/>
        </w:numPr>
        <w:tabs>
          <w:tab w:val="left" w:pos="274"/>
        </w:tabs>
        <w:rPr>
          <w:rFonts w:asciiTheme="minorHAnsi" w:eastAsia="Times New Roman" w:hAnsiTheme="minorHAnsi" w:cstheme="minorHAnsi"/>
          <w:color w:val="1F61AA"/>
          <w:szCs w:val="22"/>
        </w:rPr>
      </w:pPr>
      <w:r w:rsidRPr="006263CF">
        <w:rPr>
          <w:rFonts w:asciiTheme="minorHAnsi" w:hAnsiTheme="minorHAnsi" w:cstheme="minorHAnsi"/>
          <w:color w:val="000000"/>
          <w:szCs w:val="22"/>
        </w:rPr>
        <w:t>Замість етіонаміду можна використовувати протіонамід.</w:t>
      </w:r>
    </w:p>
    <w:p w:rsidR="005C0A87" w:rsidRPr="006263CF" w:rsidRDefault="005C0A87" w:rsidP="006263CF">
      <w:pPr>
        <w:numPr>
          <w:ilvl w:val="0"/>
          <w:numId w:val="10"/>
        </w:numPr>
        <w:tabs>
          <w:tab w:val="left" w:pos="274"/>
        </w:tabs>
        <w:rPr>
          <w:rFonts w:asciiTheme="minorHAnsi" w:eastAsia="Times New Roman" w:hAnsiTheme="minorHAnsi" w:cstheme="minorHAnsi"/>
          <w:color w:val="1F61AA"/>
          <w:szCs w:val="22"/>
        </w:rPr>
      </w:pPr>
      <w:r w:rsidRPr="006263CF">
        <w:rPr>
          <w:rFonts w:asciiTheme="minorHAnsi" w:hAnsiTheme="minorHAnsi" w:cstheme="minorHAnsi"/>
          <w:color w:val="000000"/>
          <w:szCs w:val="22"/>
        </w:rPr>
        <w:t>Моксифлоксацин можна використовувати замість левофлоксацину.</w:t>
      </w:r>
    </w:p>
    <w:p w:rsidR="005C0A87" w:rsidRPr="006263CF" w:rsidRDefault="005C0A87" w:rsidP="006263CF">
      <w:pPr>
        <w:spacing w:before="86"/>
        <w:jc w:val="both"/>
        <w:rPr>
          <w:rFonts w:asciiTheme="minorHAnsi" w:hAnsiTheme="minorHAnsi" w:cstheme="minorHAnsi"/>
          <w:sz w:val="18"/>
        </w:rPr>
      </w:pPr>
      <w:r w:rsidRPr="006263CF">
        <w:rPr>
          <w:rFonts w:asciiTheme="minorHAnsi" w:hAnsiTheme="minorHAnsi" w:cstheme="minorHAnsi"/>
          <w:color w:val="000000"/>
          <w:szCs w:val="22"/>
        </w:rPr>
        <w:t xml:space="preserve">Інші зміни у схемі лікування (наприклад, видалення етіонаміду за наявності </w:t>
      </w:r>
      <w:r w:rsidRPr="006263CF">
        <w:rPr>
          <w:rFonts w:asciiTheme="minorHAnsi" w:hAnsiTheme="minorHAnsi" w:cstheme="minorHAnsi"/>
          <w:i/>
          <w:iCs/>
          <w:color w:val="000000"/>
          <w:szCs w:val="22"/>
        </w:rPr>
        <w:t>inh</w:t>
      </w:r>
      <w:r w:rsidRPr="006263CF">
        <w:rPr>
          <w:rFonts w:asciiTheme="minorHAnsi" w:hAnsiTheme="minorHAnsi" w:cstheme="minorHAnsi"/>
          <w:color w:val="000000"/>
          <w:szCs w:val="22"/>
        </w:rPr>
        <w:t>A мутації гена промотору inhA або заміна етіонаміду, або клофазиміну лінезолідом) не вивчалися та можуть мати непередбачуваний вплив на ефективність короткострокової схеми. Саме тому, на даний час не рекомендується робити інші зміни у програмному використанні.</w:t>
      </w:r>
    </w:p>
    <w:p w:rsidR="005C0A87" w:rsidRPr="006263CF" w:rsidRDefault="005C0A87" w:rsidP="006263CF">
      <w:pPr>
        <w:spacing w:before="144"/>
        <w:ind w:right="5"/>
        <w:jc w:val="both"/>
        <w:rPr>
          <w:rFonts w:asciiTheme="minorHAnsi" w:hAnsiTheme="minorHAnsi" w:cstheme="minorHAnsi"/>
          <w:sz w:val="18"/>
        </w:rPr>
      </w:pPr>
      <w:r w:rsidRPr="006263CF">
        <w:rPr>
          <w:rFonts w:asciiTheme="minorHAnsi" w:hAnsiTheme="minorHAnsi" w:cstheme="minorHAnsi"/>
          <w:color w:val="000000"/>
          <w:szCs w:val="22"/>
        </w:rPr>
        <w:t>Якщо пацієнт розпочинає лікування короткостроковою пероральною бедаквіліновмісною схемою МР/Риф-ТБ, але пізніше виявляється непридатним для неї через невиявлену стійкість на початку лікування або появу додаткової стійкості, передбачається подальше набуття та розвиток стійкості. Повторне проведення ТМЧ у цей момент має важливе значення для визначення складу довгосторокової схеми лікування. Пацієнти, що знаходяться</w:t>
      </w:r>
    </w:p>
    <w:p w:rsidR="005C0A87" w:rsidRPr="006263CF" w:rsidRDefault="005C0A87" w:rsidP="006263CF">
      <w:pPr>
        <w:spacing w:before="144"/>
        <w:ind w:right="5"/>
        <w:jc w:val="both"/>
        <w:rPr>
          <w:rFonts w:asciiTheme="minorHAnsi" w:hAnsiTheme="minorHAnsi" w:cstheme="minorHAnsi"/>
          <w:sz w:val="18"/>
        </w:rPr>
        <w:sectPr w:rsidR="005C0A87" w:rsidRPr="006263CF">
          <w:pgSz w:w="11904" w:h="16838"/>
          <w:pgMar w:top="1349" w:right="1373" w:bottom="1368" w:left="1382" w:header="708" w:footer="708" w:gutter="0"/>
          <w:cols w:space="60"/>
          <w:noEndnote/>
        </w:sectPr>
      </w:pPr>
    </w:p>
    <w:p w:rsidR="005C0A87" w:rsidRPr="006263CF" w:rsidRDefault="005C0A87" w:rsidP="006263CF">
      <w:pPr>
        <w:jc w:val="both"/>
        <w:rPr>
          <w:rFonts w:asciiTheme="minorHAnsi" w:hAnsiTheme="minorHAnsi" w:cstheme="minorHAnsi"/>
          <w:sz w:val="18"/>
        </w:rPr>
      </w:pPr>
      <w:bookmarkStart w:id="14" w:name="bookmark13"/>
      <w:r w:rsidRPr="006263CF">
        <w:rPr>
          <w:rFonts w:asciiTheme="minorHAnsi" w:hAnsiTheme="minorHAnsi" w:cstheme="minorHAnsi"/>
          <w:color w:val="000000"/>
          <w:szCs w:val="22"/>
        </w:rPr>
        <w:lastRenderedPageBreak/>
        <w:t>н</w:t>
      </w:r>
      <w:bookmarkEnd w:id="14"/>
      <w:r w:rsidRPr="006263CF">
        <w:rPr>
          <w:rFonts w:asciiTheme="minorHAnsi" w:hAnsiTheme="minorHAnsi" w:cstheme="minorHAnsi"/>
          <w:color w:val="000000"/>
          <w:szCs w:val="22"/>
        </w:rPr>
        <w:t>а довгостроковій схемі лікування і пізніше визнані придатними для короткострокової схеми, можуть здійснити перехід за умови, що лікування тривало не більше 1 місяця. Проте, існує дуже мало досвіду про зміну (перехід) схем лікування.  Якщо пацієнти роблять перехід таким чином, то короткострокова пероральна бедаквіліновмісна схема лікування МР/Риф-ТБ триває увесь період часу без будь-яких змін у її складі.</w:t>
      </w:r>
    </w:p>
    <w:p w:rsidR="005C0A87" w:rsidRPr="006263CF" w:rsidRDefault="005C0A87" w:rsidP="000C4F1C">
      <w:pPr>
        <w:spacing w:before="240"/>
        <w:rPr>
          <w:rFonts w:asciiTheme="minorHAnsi" w:hAnsiTheme="minorHAnsi" w:cstheme="minorHAnsi"/>
          <w:sz w:val="18"/>
        </w:rPr>
      </w:pPr>
      <w:r w:rsidRPr="006263CF">
        <w:rPr>
          <w:rFonts w:asciiTheme="minorHAnsi" w:hAnsiTheme="minorHAnsi" w:cstheme="minorHAnsi"/>
          <w:b/>
          <w:bCs/>
          <w:color w:val="1F61AA"/>
          <w:sz w:val="36"/>
          <w:szCs w:val="38"/>
        </w:rPr>
        <w:t>5.3 Основні підгрупи</w:t>
      </w:r>
    </w:p>
    <w:p w:rsidR="005C0A87" w:rsidRPr="006263CF" w:rsidRDefault="005C0A87" w:rsidP="006263CF">
      <w:pPr>
        <w:spacing w:before="106"/>
        <w:jc w:val="both"/>
        <w:rPr>
          <w:rFonts w:asciiTheme="minorHAnsi" w:hAnsiTheme="minorHAnsi" w:cstheme="minorHAnsi"/>
          <w:sz w:val="18"/>
        </w:rPr>
      </w:pPr>
      <w:r w:rsidRPr="006263CF">
        <w:rPr>
          <w:rFonts w:asciiTheme="minorHAnsi" w:hAnsiTheme="minorHAnsi" w:cstheme="minorHAnsi"/>
          <w:b/>
          <w:bCs/>
          <w:i/>
          <w:iCs/>
          <w:color w:val="000000"/>
          <w:szCs w:val="22"/>
        </w:rPr>
        <w:t>ЛЖВ</w:t>
      </w:r>
      <w:r w:rsidRPr="006263CF">
        <w:rPr>
          <w:rFonts w:asciiTheme="minorHAnsi" w:hAnsiTheme="minorHAnsi" w:cstheme="minorHAnsi"/>
          <w:color w:val="000000"/>
          <w:szCs w:val="22"/>
        </w:rPr>
        <w:t>: ЛЖВ, включаючи тих, що отримують АРТ можна використовувати короткострокову пероральну бедаквіліновмісну схему лікування МР-ТБ. Для ЛЖВ із хворобою легень може виявитися потенціал перекриття, адитивної токсичності або взаємодії лікарських засобів між деякими антиретровірусними лікарськими препаратами та протитуберкульозними препаратами, такими як моксифлоксацин та клофазимін, або ефавіренц та бедаквілін. Окрім того, ритонавір може також посилити експозицію бедаквіліну, що може потенційно збільшити ризик небажаних реакцій, пов’язаних з бедаквіліном. Тому бажано уникати комбінації бедаквіліну з ритонавіром, або слід застосовувати обережно.</w:t>
      </w:r>
    </w:p>
    <w:p w:rsidR="005C0A87" w:rsidRPr="006263CF" w:rsidRDefault="005C0A87" w:rsidP="006263CF">
      <w:pPr>
        <w:spacing w:before="149"/>
        <w:jc w:val="both"/>
        <w:rPr>
          <w:rFonts w:asciiTheme="minorHAnsi" w:hAnsiTheme="minorHAnsi" w:cstheme="minorHAnsi"/>
          <w:sz w:val="18"/>
        </w:rPr>
      </w:pPr>
      <w:r w:rsidRPr="006263CF">
        <w:rPr>
          <w:rFonts w:asciiTheme="minorHAnsi" w:hAnsiTheme="minorHAnsi" w:cstheme="minorHAnsi"/>
          <w:color w:val="000000"/>
          <w:szCs w:val="22"/>
        </w:rPr>
        <w:t xml:space="preserve">Дані, проаналізовані для консолідованих настанов ВООЗ 2020 року, включали когорту з Південної Африки, де більшість ЛЖВ отримували антиретровірусну терапію (95%), а також короткострокову пероральну бедаквіліновмісну схему лікування. Рекомендується ретельний моніторинг людей на двох схемах лікування, враховуючи, що дані в цій підгрупі залишаються обмеженими. Важливо, що схеми АРТ потрібно розпочинати раніше, відповідно до рекомендацій ВООЗ </w:t>
      </w:r>
      <w:r w:rsidRPr="006263CF">
        <w:rPr>
          <w:rFonts w:asciiTheme="minorHAnsi" w:hAnsiTheme="minorHAnsi" w:cstheme="minorHAnsi"/>
          <w:i/>
          <w:iCs/>
          <w:color w:val="000000"/>
          <w:szCs w:val="22"/>
        </w:rPr>
        <w:t>(1)</w:t>
      </w:r>
      <w:r w:rsidRPr="006263CF">
        <w:rPr>
          <w:rFonts w:asciiTheme="minorHAnsi" w:hAnsiTheme="minorHAnsi" w:cstheme="minorHAnsi"/>
          <w:color w:val="000000"/>
          <w:szCs w:val="22"/>
        </w:rPr>
        <w:t>. Як і з будь-якими іншими ЛЖВ, пацієнти, що отримують короткострокову пероральну бедаквіліновмісну схему лікування і які також інфіковані ВІЛ, потребують профілактичних лікарських препаратів для лікування умовно-патогенних інфекцій, підтримка дотримання прихильності лікування протитуберкульозними і антиретровірусними препаратами, а також ретельний моніторинг біомаркерів імунного стану.</w:t>
      </w:r>
    </w:p>
    <w:p w:rsidR="005C0A87" w:rsidRPr="006263CF" w:rsidRDefault="005C0A87" w:rsidP="006263CF">
      <w:pPr>
        <w:spacing w:before="139"/>
        <w:jc w:val="both"/>
        <w:rPr>
          <w:rFonts w:asciiTheme="minorHAnsi" w:hAnsiTheme="minorHAnsi" w:cstheme="minorHAnsi"/>
          <w:sz w:val="18"/>
        </w:rPr>
      </w:pPr>
      <w:r w:rsidRPr="006263CF">
        <w:rPr>
          <w:rFonts w:asciiTheme="minorHAnsi" w:hAnsiTheme="minorHAnsi" w:cstheme="minorHAnsi"/>
          <w:b/>
          <w:bCs/>
          <w:i/>
          <w:iCs/>
          <w:color w:val="000000"/>
          <w:szCs w:val="22"/>
        </w:rPr>
        <w:t xml:space="preserve">Діти: </w:t>
      </w:r>
      <w:r w:rsidRPr="006263CF">
        <w:rPr>
          <w:rFonts w:asciiTheme="minorHAnsi" w:hAnsiTheme="minorHAnsi" w:cstheme="minorHAnsi"/>
          <w:color w:val="000000"/>
          <w:szCs w:val="22"/>
        </w:rPr>
        <w:t xml:space="preserve">Короткострокова пероральна бедаквіліновмісна схема лікування також може застосовуватися для дітей віком від 6 років, навіть якщо дані, що були обстежені для аналізу, були рідиною. Лікарські препарати, що входять до складу короткострокової пероральної бедаквіліновмісної схеми лікування МР-ТБ формуються у подібних комбінаціях як для дорослих, так і для дітей, за винятком застосування бедаквіліну. Супутні небажані реакції на лікарські засоби було широко описані </w:t>
      </w:r>
      <w:r w:rsidRPr="006263CF">
        <w:rPr>
          <w:rFonts w:asciiTheme="minorHAnsi" w:hAnsiTheme="minorHAnsi" w:cstheme="minorHAnsi"/>
          <w:i/>
          <w:iCs/>
          <w:color w:val="000000"/>
          <w:szCs w:val="22"/>
        </w:rPr>
        <w:t xml:space="preserve">(5) </w:t>
      </w:r>
      <w:r w:rsidRPr="006263CF">
        <w:rPr>
          <w:rFonts w:asciiTheme="minorHAnsi" w:hAnsiTheme="minorHAnsi" w:cstheme="minorHAnsi"/>
          <w:color w:val="000000"/>
          <w:szCs w:val="22"/>
        </w:rPr>
        <w:t>та встановлено дозування лікарських засобів (</w:t>
      </w:r>
      <w:r w:rsidRPr="006263CF">
        <w:rPr>
          <w:rFonts w:asciiTheme="minorHAnsi" w:hAnsiTheme="minorHAnsi" w:cstheme="minorHAnsi"/>
          <w:color w:val="1F61AA"/>
          <w:szCs w:val="22"/>
        </w:rPr>
        <w:t>Додаток I</w:t>
      </w:r>
      <w:r w:rsidRPr="006263CF">
        <w:rPr>
          <w:rFonts w:asciiTheme="minorHAnsi" w:hAnsiTheme="minorHAnsi" w:cstheme="minorHAnsi"/>
          <w:color w:val="000000"/>
          <w:szCs w:val="22"/>
        </w:rPr>
        <w:t xml:space="preserve">). Розроблені для дітей (тобто диспергуючі та приємні) лікарські препарати слід застосовувати у разі можливості. Було доведено, що таблетки бедаквіліну, розчинені у воді, мають таку ж біодоступність, як таблетки, проковтнуті цілими, а тому можуть використовуватися для лікування лікарсько-стійкого туберкульозу у дітей до тих пір, поки не з'явиться у доступності дитячий препарат. </w:t>
      </w:r>
      <w:r w:rsidRPr="006263CF">
        <w:rPr>
          <w:rFonts w:asciiTheme="minorHAnsi" w:hAnsiTheme="minorHAnsi" w:cstheme="minorHAnsi"/>
          <w:i/>
          <w:iCs/>
          <w:color w:val="000000"/>
          <w:szCs w:val="22"/>
        </w:rPr>
        <w:t>(35)</w:t>
      </w:r>
      <w:r w:rsidRPr="006263CF">
        <w:rPr>
          <w:rFonts w:asciiTheme="minorHAnsi" w:hAnsiTheme="minorHAnsi" w:cstheme="minorHAnsi"/>
          <w:color w:val="000000"/>
          <w:szCs w:val="22"/>
        </w:rPr>
        <w:t>.</w:t>
      </w:r>
    </w:p>
    <w:p w:rsidR="005C0A87" w:rsidRPr="006263CF" w:rsidRDefault="005C0A87" w:rsidP="006263CF">
      <w:pPr>
        <w:spacing w:before="149"/>
        <w:jc w:val="both"/>
        <w:rPr>
          <w:rFonts w:asciiTheme="minorHAnsi" w:hAnsiTheme="minorHAnsi" w:cstheme="minorHAnsi"/>
          <w:sz w:val="18"/>
        </w:rPr>
      </w:pPr>
      <w:r w:rsidRPr="006263CF">
        <w:rPr>
          <w:rFonts w:asciiTheme="minorHAnsi" w:hAnsiTheme="minorHAnsi" w:cstheme="minorHAnsi"/>
          <w:color w:val="000000"/>
          <w:szCs w:val="22"/>
        </w:rPr>
        <w:t>Для дітей віком до 6 років бедаквілін все ще не рекомендується ВООЗ, головним чином через відсутність даних про безпечність та відсутність даних про його використання в рамках короткострокових пероральних схем лікування.</w:t>
      </w:r>
      <w:r w:rsidRPr="006263CF">
        <w:rPr>
          <w:rFonts w:asciiTheme="minorHAnsi" w:hAnsiTheme="minorHAnsi" w:cstheme="minorHAnsi"/>
          <w:color w:val="000000"/>
          <w:szCs w:val="22"/>
          <w:vertAlign w:val="superscript"/>
        </w:rPr>
        <w:t>8</w:t>
      </w:r>
    </w:p>
    <w:p w:rsidR="005C0A87" w:rsidRPr="006263CF" w:rsidRDefault="005C0A87" w:rsidP="006263CF">
      <w:pPr>
        <w:spacing w:before="139"/>
        <w:jc w:val="both"/>
        <w:rPr>
          <w:rFonts w:asciiTheme="minorHAnsi" w:hAnsiTheme="minorHAnsi" w:cstheme="minorHAnsi"/>
          <w:sz w:val="18"/>
        </w:rPr>
      </w:pPr>
      <w:r w:rsidRPr="006263CF">
        <w:rPr>
          <w:rFonts w:asciiTheme="minorHAnsi" w:hAnsiTheme="minorHAnsi" w:cstheme="minorHAnsi"/>
          <w:b/>
          <w:bCs/>
          <w:i/>
          <w:iCs/>
          <w:color w:val="000000"/>
          <w:szCs w:val="22"/>
        </w:rPr>
        <w:t xml:space="preserve">Вагітні та годуючі жінки: </w:t>
      </w:r>
      <w:r w:rsidRPr="006263CF">
        <w:rPr>
          <w:rFonts w:asciiTheme="minorHAnsi" w:hAnsiTheme="minorHAnsi" w:cstheme="minorHAnsi"/>
          <w:color w:val="000000"/>
          <w:szCs w:val="22"/>
        </w:rPr>
        <w:t>Схема містить етіонамід, який зазвичай протипоказаний при вагітності, оскільки дослідження репродукції на тваринах продемонстрували небажаний ефект на плід, а також відсутні адекватні та належно контрольовані дослідження на людях. Незважаючи на необхідність отримання більш переконливих даних про причини токсичності, пов'язаних із використанням конкретних протитуберкульозних препаратів під час вагітності та годування грудьми, індивідуалізовані довгострокові схеми можна розробити таким чином, щоб уникнути відомих випадків токсичності до тих пір, поки не будуть встановлені більш точні характеристики безпечності.</w:t>
      </w:r>
    </w:p>
    <w:p w:rsidR="005C0A87" w:rsidRPr="006263CF" w:rsidRDefault="005C0A87" w:rsidP="006263CF">
      <w:pPr>
        <w:spacing w:before="144"/>
        <w:jc w:val="both"/>
        <w:rPr>
          <w:rFonts w:asciiTheme="minorHAnsi" w:hAnsiTheme="minorHAnsi" w:cstheme="minorHAnsi"/>
          <w:sz w:val="18"/>
        </w:rPr>
      </w:pPr>
      <w:r w:rsidRPr="006263CF">
        <w:rPr>
          <w:rFonts w:asciiTheme="minorHAnsi" w:hAnsiTheme="minorHAnsi" w:cstheme="minorHAnsi"/>
          <w:b/>
          <w:bCs/>
          <w:i/>
          <w:iCs/>
          <w:color w:val="000000"/>
          <w:szCs w:val="22"/>
        </w:rPr>
        <w:t xml:space="preserve">Рифампіцин-резистентний ТБ без МР-ТБ: </w:t>
      </w:r>
      <w:r w:rsidRPr="006263CF">
        <w:rPr>
          <w:rFonts w:asciiTheme="minorHAnsi" w:hAnsiTheme="minorHAnsi" w:cstheme="minorHAnsi"/>
          <w:color w:val="000000"/>
          <w:szCs w:val="22"/>
        </w:rPr>
        <w:t>Всі пацієнти (діти у віці старше 6 років або дорослі) з рифампіцин-резистентним ТБ, в якому стійкість до ізоніазиду не підтверджена, можуть лікуватися за допомогою короткострокових пероральних бедаквіліновмісних схем лікування МР-ТБ.</w:t>
      </w:r>
    </w:p>
    <w:p w:rsidR="005C0A87" w:rsidRPr="006263CF" w:rsidRDefault="005C0A87" w:rsidP="006263CF">
      <w:pPr>
        <w:spacing w:before="139"/>
        <w:jc w:val="both"/>
        <w:rPr>
          <w:rFonts w:asciiTheme="minorHAnsi" w:hAnsiTheme="minorHAnsi" w:cstheme="minorHAnsi"/>
          <w:sz w:val="18"/>
        </w:rPr>
      </w:pPr>
      <w:r w:rsidRPr="006263CF">
        <w:rPr>
          <w:rFonts w:asciiTheme="minorHAnsi" w:hAnsiTheme="minorHAnsi" w:cstheme="minorHAnsi"/>
          <w:b/>
          <w:bCs/>
          <w:i/>
          <w:iCs/>
          <w:color w:val="000000"/>
          <w:szCs w:val="22"/>
        </w:rPr>
        <w:t xml:space="preserve">Пацієнти з екстенсивною формою хвороби: </w:t>
      </w:r>
      <w:r w:rsidRPr="006263CF">
        <w:rPr>
          <w:rFonts w:asciiTheme="minorHAnsi" w:hAnsiTheme="minorHAnsi" w:cstheme="minorHAnsi"/>
          <w:color w:val="000000"/>
          <w:szCs w:val="22"/>
        </w:rPr>
        <w:t>У пацієнтів з широко розповсюдженою формою хвороби перевага повинна надаватися довгостроковій пероральній схемі лікування. Програмні дані по короткостроковій пероральній бедаквіліновмісній схемі лікування МР-ТБ не включали пацієнтів з екстенсивною формою захворювання, тому дану рекомендацію не можна екстраполювати на цю підгрупу.</w:t>
      </w:r>
    </w:p>
    <w:p w:rsidR="000344A4" w:rsidRDefault="000344A4" w:rsidP="000344A4">
      <w:pPr>
        <w:spacing w:before="408"/>
        <w:rPr>
          <w:rFonts w:asciiTheme="minorHAnsi" w:hAnsiTheme="minorHAnsi" w:cstheme="minorHAnsi"/>
          <w:color w:val="000000"/>
          <w:sz w:val="14"/>
          <w:szCs w:val="16"/>
          <w:vertAlign w:val="superscript"/>
        </w:rPr>
      </w:pPr>
      <w:r>
        <w:rPr>
          <w:rFonts w:asciiTheme="minorHAnsi" w:hAnsiTheme="minorHAnsi" w:cstheme="minorHAnsi"/>
          <w:color w:val="000000"/>
          <w:sz w:val="14"/>
          <w:szCs w:val="16"/>
          <w:u w:val="single"/>
          <w:vertAlign w:val="superscript"/>
        </w:rPr>
        <w:tab/>
      </w:r>
      <w:r>
        <w:rPr>
          <w:rFonts w:asciiTheme="minorHAnsi" w:hAnsiTheme="minorHAnsi" w:cstheme="minorHAnsi"/>
          <w:color w:val="000000"/>
          <w:sz w:val="14"/>
          <w:szCs w:val="16"/>
          <w:u w:val="single"/>
          <w:vertAlign w:val="superscript"/>
        </w:rPr>
        <w:tab/>
      </w:r>
      <w:r>
        <w:rPr>
          <w:rFonts w:asciiTheme="minorHAnsi" w:hAnsiTheme="minorHAnsi" w:cstheme="minorHAnsi"/>
          <w:color w:val="000000"/>
          <w:sz w:val="14"/>
          <w:szCs w:val="16"/>
          <w:u w:val="single"/>
          <w:vertAlign w:val="superscript"/>
        </w:rPr>
        <w:tab/>
      </w:r>
    </w:p>
    <w:p w:rsidR="005C0A87" w:rsidRPr="006263CF" w:rsidRDefault="005C0A87" w:rsidP="000344A4">
      <w:pPr>
        <w:ind w:left="221" w:hanging="221"/>
        <w:rPr>
          <w:rFonts w:asciiTheme="minorHAnsi" w:hAnsiTheme="minorHAnsi" w:cstheme="minorHAnsi"/>
          <w:sz w:val="18"/>
        </w:rPr>
      </w:pPr>
      <w:r w:rsidRPr="006263CF">
        <w:rPr>
          <w:rFonts w:asciiTheme="minorHAnsi" w:hAnsiTheme="minorHAnsi" w:cstheme="minorHAnsi"/>
          <w:color w:val="000000"/>
          <w:sz w:val="14"/>
          <w:szCs w:val="16"/>
          <w:vertAlign w:val="superscript"/>
        </w:rPr>
        <w:t>8</w:t>
      </w:r>
      <w:r w:rsidRPr="006263CF">
        <w:rPr>
          <w:rFonts w:asciiTheme="minorHAnsi" w:hAnsiTheme="minorHAnsi" w:cstheme="minorHAnsi"/>
          <w:color w:val="000000"/>
          <w:sz w:val="14"/>
          <w:szCs w:val="16"/>
        </w:rPr>
        <w:t xml:space="preserve"> </w:t>
      </w:r>
      <w:r w:rsidR="000C4F1C">
        <w:rPr>
          <w:rFonts w:asciiTheme="minorHAnsi" w:hAnsiTheme="minorHAnsi" w:cstheme="minorHAnsi"/>
          <w:color w:val="000000"/>
          <w:sz w:val="14"/>
          <w:szCs w:val="16"/>
        </w:rPr>
        <w:tab/>
      </w:r>
      <w:r w:rsidRPr="006263CF">
        <w:rPr>
          <w:rFonts w:asciiTheme="minorHAnsi" w:hAnsiTheme="minorHAnsi" w:cstheme="minorHAnsi"/>
          <w:color w:val="000000"/>
          <w:sz w:val="14"/>
          <w:szCs w:val="16"/>
        </w:rPr>
        <w:t xml:space="preserve">На основі результатів RCT, проведеного виробником США управлінням з санітарного нагляду за якістю харчових продуктів і лікарських засобів продовжило дозвіл на використання бедаквіліну для дітей у віці від 5 років і старше </w:t>
      </w:r>
      <w:r w:rsidRPr="006263CF">
        <w:rPr>
          <w:rFonts w:asciiTheme="minorHAnsi" w:hAnsiTheme="minorHAnsi" w:cstheme="minorHAnsi"/>
          <w:i/>
          <w:iCs/>
          <w:color w:val="000000"/>
          <w:sz w:val="14"/>
          <w:szCs w:val="16"/>
        </w:rPr>
        <w:t xml:space="preserve">(32). </w:t>
      </w:r>
      <w:r w:rsidRPr="006263CF">
        <w:rPr>
          <w:rFonts w:asciiTheme="minorHAnsi" w:hAnsiTheme="minorHAnsi" w:cstheme="minorHAnsi"/>
          <w:color w:val="000000"/>
          <w:sz w:val="14"/>
          <w:szCs w:val="16"/>
        </w:rPr>
        <w:t>Однак ці дані ще не були оцінені ВООЗ.</w:t>
      </w:r>
    </w:p>
    <w:p w:rsidR="005C0A87" w:rsidRPr="006263CF" w:rsidRDefault="005C0A87" w:rsidP="006263CF">
      <w:pPr>
        <w:spacing w:before="408"/>
        <w:ind w:left="221" w:hanging="221"/>
        <w:rPr>
          <w:rFonts w:asciiTheme="minorHAnsi" w:hAnsiTheme="minorHAnsi" w:cstheme="minorHAnsi"/>
          <w:sz w:val="18"/>
        </w:rPr>
        <w:sectPr w:rsidR="005C0A87" w:rsidRPr="006263CF" w:rsidSect="000C4F1C">
          <w:pgSz w:w="11904" w:h="16838"/>
          <w:pgMar w:top="1349" w:right="1416" w:bottom="38" w:left="1416" w:header="708" w:footer="708" w:gutter="0"/>
          <w:cols w:space="60"/>
          <w:noEndnote/>
        </w:sectPr>
      </w:pPr>
    </w:p>
    <w:p w:rsidR="005C0A87" w:rsidRPr="006263CF" w:rsidRDefault="005C0A87" w:rsidP="006263CF">
      <w:pPr>
        <w:jc w:val="both"/>
        <w:rPr>
          <w:rFonts w:asciiTheme="minorHAnsi" w:hAnsiTheme="minorHAnsi" w:cstheme="minorHAnsi"/>
          <w:sz w:val="18"/>
        </w:rPr>
      </w:pPr>
      <w:bookmarkStart w:id="15" w:name="bookmark14"/>
      <w:r w:rsidRPr="006263CF">
        <w:rPr>
          <w:rFonts w:asciiTheme="minorHAnsi" w:hAnsiTheme="minorHAnsi" w:cstheme="minorHAnsi"/>
          <w:b/>
          <w:bCs/>
          <w:i/>
          <w:iCs/>
          <w:color w:val="000000"/>
          <w:szCs w:val="22"/>
        </w:rPr>
        <w:lastRenderedPageBreak/>
        <w:t>Г</w:t>
      </w:r>
      <w:bookmarkEnd w:id="15"/>
      <w:r w:rsidRPr="006263CF">
        <w:rPr>
          <w:rFonts w:asciiTheme="minorHAnsi" w:hAnsiTheme="minorHAnsi" w:cstheme="minorHAnsi"/>
          <w:b/>
          <w:bCs/>
          <w:i/>
          <w:iCs/>
          <w:color w:val="000000"/>
          <w:szCs w:val="22"/>
        </w:rPr>
        <w:t xml:space="preserve">острий позалегеневий туберкульоз: </w:t>
      </w:r>
      <w:r w:rsidRPr="006263CF">
        <w:rPr>
          <w:rFonts w:asciiTheme="minorHAnsi" w:hAnsiTheme="minorHAnsi" w:cstheme="minorHAnsi"/>
          <w:color w:val="000000"/>
          <w:szCs w:val="22"/>
        </w:rPr>
        <w:t>Дані, що використовувалися для консолідованих настанов ВООЗ, обмежувалися пацієнтами, які в основному хворіли на туберкульоз легень. Проте, оцінена короткострокова пероральна бедаквіліновмісна схема лікування на особах із неускладненими формами позалегеневого туберкульозу. Отже, цю схему можна також використовувати для цих підгруп, але не можна екстраполювати безпосередньо на всі різні форми позалегеневого туберкульозу. Може знадобитися коригування лікування в залежності від локалізації місця захворювання. Деякі компоненти короткострокової пероральної бедаквіліновмісної схеми лікування (наприклад, етамбутол) погано проникають в спинномозкову рідину (СМР). Окрім того, відсутні дані про проникнення клофазиміну та бедаквіліну у СМР. Таким чином, на цій стадії неможлива рекомендація до застосування короткострокової пероральної бедаквіліновмісної схеми лікування МР-ТБ для пацієнтів із ускладненими формами позалегеневого ТБ.</w:t>
      </w:r>
    </w:p>
    <w:p w:rsidR="005C0A87" w:rsidRPr="006263CF" w:rsidRDefault="005C0A87" w:rsidP="006263CF">
      <w:pPr>
        <w:spacing w:before="139"/>
        <w:jc w:val="both"/>
        <w:rPr>
          <w:rFonts w:asciiTheme="minorHAnsi" w:hAnsiTheme="minorHAnsi" w:cstheme="minorHAnsi"/>
          <w:sz w:val="18"/>
        </w:rPr>
      </w:pPr>
      <w:r w:rsidRPr="006263CF">
        <w:rPr>
          <w:rFonts w:asciiTheme="minorHAnsi" w:hAnsiTheme="minorHAnsi" w:cstheme="minorHAnsi"/>
          <w:b/>
          <w:bCs/>
          <w:i/>
          <w:iCs/>
          <w:color w:val="000000"/>
          <w:szCs w:val="22"/>
        </w:rPr>
        <w:t xml:space="preserve">Пацієнти з цукровим діабетом: </w:t>
      </w:r>
      <w:r w:rsidRPr="006263CF">
        <w:rPr>
          <w:rFonts w:asciiTheme="minorHAnsi" w:hAnsiTheme="minorHAnsi" w:cstheme="minorHAnsi"/>
          <w:color w:val="000000"/>
          <w:szCs w:val="22"/>
        </w:rPr>
        <w:t>Відсутні дані про використання короткострокової пероральної бедаквіліновмісної схеми лікування серед осіб, хворих на цукровий діабет. Таким чином, короткострокова пероральна бедаквіліновмісна схема може розглядатися як варіант лікування, також може бути доцільним ретельне спостереження за виникненням гепатотоксичності серед цієї групи пацієнтів.</w:t>
      </w:r>
    </w:p>
    <w:p w:rsidR="005C0A87" w:rsidRPr="006263CF" w:rsidRDefault="000A5DB9" w:rsidP="006263CF">
      <w:pPr>
        <w:spacing w:before="149"/>
        <w:jc w:val="both"/>
        <w:rPr>
          <w:rFonts w:asciiTheme="minorHAnsi" w:hAnsiTheme="minorHAnsi" w:cstheme="minorHAnsi"/>
          <w:sz w:val="18"/>
        </w:rPr>
      </w:pPr>
      <w:r w:rsidRPr="006263CF">
        <w:rPr>
          <w:rFonts w:asciiTheme="minorHAnsi" w:hAnsiTheme="minorHAnsi" w:cstheme="minorHAnsi"/>
          <w:color w:val="1F61AA"/>
          <w:szCs w:val="22"/>
        </w:rPr>
        <w:t xml:space="preserve">У додатку I </w:t>
      </w:r>
      <w:r w:rsidRPr="006263CF">
        <w:rPr>
          <w:rFonts w:asciiTheme="minorHAnsi" w:hAnsiTheme="minorHAnsi" w:cstheme="minorHAnsi"/>
          <w:color w:val="000000"/>
          <w:szCs w:val="22"/>
        </w:rPr>
        <w:t>наведено інформацію про дозування, рекомендовану ВООЗ для короткострокової та довгострокової пероральних бедаквіліновмісних схем лікування. Лікарські препарати приймають 1 раз на день протягом тижня. Бедаквілін слід приймати щодня перші 2 тижні, після чого 3 рази на день протягом 22 тижнів, що залишилися. Більш детальну інформацію про дозування та коригування дози можна знайти в додатку I.</w:t>
      </w:r>
    </w:p>
    <w:p w:rsidR="005C0A87" w:rsidRPr="006263CF" w:rsidRDefault="005C0A87" w:rsidP="006263CF">
      <w:pPr>
        <w:spacing w:before="278"/>
        <w:rPr>
          <w:rFonts w:asciiTheme="minorHAnsi" w:hAnsiTheme="minorHAnsi" w:cstheme="minorHAnsi"/>
          <w:sz w:val="18"/>
        </w:rPr>
      </w:pPr>
      <w:bookmarkStart w:id="16" w:name="bookmark15"/>
      <w:r w:rsidRPr="006263CF">
        <w:rPr>
          <w:rFonts w:asciiTheme="minorHAnsi" w:hAnsiTheme="minorHAnsi" w:cstheme="minorHAnsi"/>
          <w:b/>
          <w:bCs/>
          <w:color w:val="1F61AA"/>
          <w:sz w:val="36"/>
          <w:szCs w:val="38"/>
        </w:rPr>
        <w:t>5</w:t>
      </w:r>
      <w:bookmarkEnd w:id="16"/>
      <w:r w:rsidRPr="006263CF">
        <w:rPr>
          <w:rFonts w:asciiTheme="minorHAnsi" w:hAnsiTheme="minorHAnsi" w:cstheme="minorHAnsi"/>
          <w:b/>
          <w:bCs/>
          <w:color w:val="1F61AA"/>
          <w:sz w:val="36"/>
          <w:szCs w:val="38"/>
        </w:rPr>
        <w:t>.4 Моніторинг лікування</w:t>
      </w:r>
    </w:p>
    <w:p w:rsidR="005C0A87" w:rsidRPr="006263CF" w:rsidRDefault="005C0A87" w:rsidP="006263CF">
      <w:pPr>
        <w:spacing w:before="110"/>
        <w:jc w:val="both"/>
        <w:rPr>
          <w:rFonts w:asciiTheme="minorHAnsi" w:hAnsiTheme="minorHAnsi" w:cstheme="minorHAnsi"/>
          <w:sz w:val="18"/>
        </w:rPr>
      </w:pPr>
      <w:r w:rsidRPr="006263CF">
        <w:rPr>
          <w:rFonts w:asciiTheme="minorHAnsi" w:hAnsiTheme="minorHAnsi" w:cstheme="minorHAnsi"/>
          <w:color w:val="000000"/>
          <w:szCs w:val="22"/>
        </w:rPr>
        <w:t>Інколи може виникнути необхідність переходу з короткострокової пероральної бедаквіліновмісної схеми лікування МР-ТБ на довгострокову схему лікування для МР-ТБ, а саме у наступних випадках:</w:t>
      </w:r>
    </w:p>
    <w:p w:rsidR="005C0A87" w:rsidRPr="006263CF" w:rsidRDefault="005C0A87" w:rsidP="006263CF">
      <w:pPr>
        <w:numPr>
          <w:ilvl w:val="0"/>
          <w:numId w:val="9"/>
        </w:numPr>
        <w:tabs>
          <w:tab w:val="left" w:pos="240"/>
        </w:tabs>
        <w:spacing w:before="149"/>
        <w:ind w:left="240" w:hanging="240"/>
        <w:jc w:val="both"/>
        <w:rPr>
          <w:rFonts w:asciiTheme="minorHAnsi" w:eastAsia="Times New Roman" w:hAnsiTheme="minorHAnsi" w:cstheme="minorHAnsi"/>
          <w:color w:val="1F61AA"/>
          <w:szCs w:val="22"/>
        </w:rPr>
      </w:pPr>
      <w:r w:rsidRPr="006263CF">
        <w:rPr>
          <w:rFonts w:asciiTheme="minorHAnsi" w:hAnsiTheme="minorHAnsi" w:cstheme="minorHAnsi"/>
          <w:color w:val="000000"/>
          <w:szCs w:val="22"/>
        </w:rPr>
        <w:t>достовірні результати ТМЧ демонструють стійкість до основних лікарських препаратів у короткостроковій пероральній бедаквіліновмісній схемі лікування для МР-ТБ (це може відображати реальну ситуацію на початку лікування (що була невідома на той час) або набуття додаткової стійкості під час лікування;</w:t>
      </w:r>
    </w:p>
    <w:p w:rsidR="005C0A87" w:rsidRPr="006263CF" w:rsidRDefault="005C0A87" w:rsidP="006263CF">
      <w:pPr>
        <w:numPr>
          <w:ilvl w:val="0"/>
          <w:numId w:val="9"/>
        </w:numPr>
        <w:tabs>
          <w:tab w:val="left" w:pos="240"/>
        </w:tabs>
        <w:ind w:left="240" w:right="10" w:hanging="240"/>
        <w:jc w:val="both"/>
        <w:rPr>
          <w:rFonts w:asciiTheme="minorHAnsi" w:eastAsia="Times New Roman" w:hAnsiTheme="minorHAnsi" w:cstheme="minorHAnsi"/>
          <w:color w:val="1F61AA"/>
          <w:szCs w:val="22"/>
        </w:rPr>
      </w:pPr>
      <w:r w:rsidRPr="006263CF">
        <w:rPr>
          <w:rFonts w:asciiTheme="minorHAnsi" w:hAnsiTheme="minorHAnsi" w:cstheme="minorHAnsi"/>
          <w:color w:val="000000"/>
          <w:szCs w:val="22"/>
        </w:rPr>
        <w:t>відсутність відповіді на лікування (наприклад, не перетворення мазка мокротиння з позитивного в негативний протягом 6 місяців або погіршення клінічного стану, незважаючи на лікування);</w:t>
      </w:r>
    </w:p>
    <w:p w:rsidR="005C0A87" w:rsidRPr="006263CF" w:rsidRDefault="005C0A87" w:rsidP="006263CF">
      <w:pPr>
        <w:numPr>
          <w:ilvl w:val="0"/>
          <w:numId w:val="9"/>
        </w:numPr>
        <w:tabs>
          <w:tab w:val="left" w:pos="240"/>
        </w:tabs>
        <w:ind w:left="240" w:right="10" w:hanging="240"/>
        <w:jc w:val="both"/>
        <w:rPr>
          <w:rFonts w:asciiTheme="minorHAnsi" w:eastAsia="Times New Roman" w:hAnsiTheme="minorHAnsi" w:cstheme="minorHAnsi"/>
          <w:color w:val="1F61AA"/>
          <w:szCs w:val="22"/>
        </w:rPr>
      </w:pPr>
      <w:r w:rsidRPr="006263CF">
        <w:rPr>
          <w:rFonts w:asciiTheme="minorHAnsi" w:hAnsiTheme="minorHAnsi" w:cstheme="minorHAnsi"/>
          <w:color w:val="000000"/>
          <w:szCs w:val="22"/>
        </w:rPr>
        <w:t>лікування пацієнта переривається на 2 або більше місяців після лікування більше 1 місяця; або</w:t>
      </w:r>
    </w:p>
    <w:p w:rsidR="005C0A87" w:rsidRPr="006263CF" w:rsidRDefault="005C0A87" w:rsidP="006263CF">
      <w:pPr>
        <w:numPr>
          <w:ilvl w:val="0"/>
          <w:numId w:val="9"/>
        </w:numPr>
        <w:tabs>
          <w:tab w:val="left" w:pos="240"/>
        </w:tabs>
        <w:ind w:left="240" w:hanging="240"/>
        <w:jc w:val="both"/>
        <w:rPr>
          <w:rFonts w:asciiTheme="minorHAnsi" w:eastAsia="Times New Roman" w:hAnsiTheme="minorHAnsi" w:cstheme="minorHAnsi"/>
          <w:color w:val="1F61AA"/>
          <w:szCs w:val="22"/>
        </w:rPr>
      </w:pPr>
      <w:r w:rsidRPr="006263CF">
        <w:rPr>
          <w:rFonts w:asciiTheme="minorHAnsi" w:hAnsiTheme="minorHAnsi" w:cstheme="minorHAnsi"/>
          <w:color w:val="000000"/>
          <w:szCs w:val="22"/>
        </w:rPr>
        <w:t>з’являється інший дискваліфікуючий критерій (наприклад, вагітність, непереносимість, або токсичність до лікарського препарату у схемі, або клінічне погіршення стану).</w:t>
      </w:r>
    </w:p>
    <w:p w:rsidR="005C0A87" w:rsidRPr="006263CF" w:rsidRDefault="005C0A87" w:rsidP="006263CF">
      <w:pPr>
        <w:spacing w:before="144"/>
        <w:jc w:val="both"/>
        <w:rPr>
          <w:rFonts w:asciiTheme="minorHAnsi" w:hAnsiTheme="minorHAnsi" w:cstheme="minorHAnsi"/>
          <w:sz w:val="18"/>
        </w:rPr>
      </w:pPr>
      <w:r w:rsidRPr="006263CF">
        <w:rPr>
          <w:rFonts w:asciiTheme="minorHAnsi" w:hAnsiTheme="minorHAnsi" w:cstheme="minorHAnsi"/>
          <w:color w:val="000000"/>
          <w:szCs w:val="22"/>
        </w:rPr>
        <w:t xml:space="preserve">Якщо пацієнта оцінюють як для довгострокової схеми лікування МР-ТБ, лікування повинно бути розроблене на основі встановлених алгоритмів (див. </w:t>
      </w:r>
      <w:r w:rsidRPr="006263CF">
        <w:rPr>
          <w:rFonts w:asciiTheme="minorHAnsi" w:hAnsiTheme="minorHAnsi" w:cstheme="minorHAnsi"/>
          <w:color w:val="1F61AA"/>
          <w:szCs w:val="22"/>
        </w:rPr>
        <w:t>Розділ 6</w:t>
      </w:r>
      <w:r w:rsidRPr="006263CF">
        <w:rPr>
          <w:rFonts w:asciiTheme="minorHAnsi" w:hAnsiTheme="minorHAnsi" w:cstheme="minorHAnsi"/>
          <w:color w:val="000000"/>
          <w:szCs w:val="22"/>
        </w:rPr>
        <w:t>). Пацієнтів слід ознайомити перед початком короткострокової пероральної бедаквіліновмісної схеми лікування. Якщо переривання триває менше 2 місяців, лікарю необхідно вирішити, чи можна продовжити короткострокову схему лікування МР-ТБ на основі клінічного стану та повторних результатів лабораторних аналізів, та чи слід додати пропущені дози до решти лікування або розпочати довгострокову схему лікування.</w:t>
      </w:r>
    </w:p>
    <w:p w:rsidR="005C0A87" w:rsidRPr="006263CF" w:rsidRDefault="005C0A87" w:rsidP="006263CF">
      <w:pPr>
        <w:tabs>
          <w:tab w:val="left" w:pos="763"/>
        </w:tabs>
        <w:spacing w:before="269"/>
        <w:rPr>
          <w:rFonts w:asciiTheme="minorHAnsi" w:hAnsiTheme="minorHAnsi" w:cstheme="minorHAnsi"/>
          <w:sz w:val="18"/>
        </w:rPr>
      </w:pPr>
      <w:r w:rsidRPr="006263CF">
        <w:rPr>
          <w:rFonts w:asciiTheme="minorHAnsi" w:hAnsiTheme="minorHAnsi" w:cstheme="minorHAnsi"/>
          <w:b/>
          <w:bCs/>
          <w:color w:val="1F61AA"/>
          <w:sz w:val="28"/>
          <w:szCs w:val="32"/>
        </w:rPr>
        <w:t>5.4.1</w:t>
      </w:r>
      <w:r w:rsidRPr="006263CF">
        <w:rPr>
          <w:rFonts w:asciiTheme="minorHAnsi" w:hAnsiTheme="minorHAnsi" w:cstheme="minorHAnsi"/>
          <w:b/>
          <w:bCs/>
          <w:color w:val="1F61AA"/>
          <w:sz w:val="28"/>
          <w:szCs w:val="32"/>
        </w:rPr>
        <w:tab/>
        <w:t>Моніторинг відповіді на лікування та розподіл результатів</w:t>
      </w:r>
    </w:p>
    <w:p w:rsidR="005C0A87" w:rsidRPr="006263CF" w:rsidRDefault="005C0A87" w:rsidP="006263CF">
      <w:pPr>
        <w:spacing w:before="125"/>
        <w:jc w:val="both"/>
        <w:rPr>
          <w:rFonts w:asciiTheme="minorHAnsi" w:hAnsiTheme="minorHAnsi" w:cstheme="minorHAnsi"/>
          <w:sz w:val="18"/>
        </w:rPr>
      </w:pPr>
      <w:r w:rsidRPr="006263CF">
        <w:rPr>
          <w:rFonts w:asciiTheme="minorHAnsi" w:hAnsiTheme="minorHAnsi" w:cstheme="minorHAnsi"/>
          <w:color w:val="000000"/>
          <w:szCs w:val="22"/>
        </w:rPr>
        <w:t xml:space="preserve">Відповідь на лікування контролюється на основі щомісячної мікроскопії мазка мокротиння, а також культури, в ідеалі з однаковою частотою. Це схоже на графік, який застосовували пацієнти, які були на довгостроковій пероральній схемі лікування МР-ТБ. Визначення результатів лікування та рамок звітування для пацієнтів, які проходять короткострокову схему лікування МР-ТБ, такі ж, як і для пацієнтів, які проходять довгострокову схему лікування МР-ТБ </w:t>
      </w:r>
      <w:r w:rsidRPr="006263CF">
        <w:rPr>
          <w:rFonts w:asciiTheme="minorHAnsi" w:hAnsiTheme="minorHAnsi" w:cstheme="minorHAnsi"/>
          <w:i/>
          <w:iCs/>
          <w:color w:val="000000"/>
          <w:szCs w:val="22"/>
        </w:rPr>
        <w:t>(26)</w:t>
      </w:r>
      <w:r w:rsidRPr="006263CF">
        <w:rPr>
          <w:rFonts w:asciiTheme="minorHAnsi" w:hAnsiTheme="minorHAnsi" w:cstheme="minorHAnsi"/>
          <w:color w:val="000000"/>
          <w:szCs w:val="22"/>
        </w:rPr>
        <w:t>.</w:t>
      </w:r>
    </w:p>
    <w:p w:rsidR="005C0A87" w:rsidRPr="006263CF" w:rsidRDefault="005C0A87" w:rsidP="006263CF">
      <w:pPr>
        <w:tabs>
          <w:tab w:val="left" w:pos="763"/>
        </w:tabs>
        <w:spacing w:before="264"/>
        <w:rPr>
          <w:rFonts w:asciiTheme="minorHAnsi" w:hAnsiTheme="minorHAnsi" w:cstheme="minorHAnsi"/>
          <w:sz w:val="18"/>
        </w:rPr>
      </w:pPr>
      <w:r w:rsidRPr="006263CF">
        <w:rPr>
          <w:rFonts w:asciiTheme="minorHAnsi" w:hAnsiTheme="minorHAnsi" w:cstheme="minorHAnsi"/>
          <w:b/>
          <w:bCs/>
          <w:color w:val="1F61AA"/>
          <w:sz w:val="28"/>
          <w:szCs w:val="32"/>
        </w:rPr>
        <w:t>5.4.2</w:t>
      </w:r>
      <w:r w:rsidRPr="006263CF">
        <w:rPr>
          <w:rFonts w:asciiTheme="minorHAnsi" w:hAnsiTheme="minorHAnsi" w:cstheme="minorHAnsi"/>
          <w:b/>
          <w:bCs/>
          <w:color w:val="1F61AA"/>
          <w:sz w:val="28"/>
          <w:szCs w:val="32"/>
        </w:rPr>
        <w:tab/>
        <w:t>Моніторинг безпеки</w:t>
      </w:r>
    </w:p>
    <w:p w:rsidR="005C0A87" w:rsidRPr="006263CF" w:rsidRDefault="005C0A87" w:rsidP="006263CF">
      <w:pPr>
        <w:spacing w:before="125"/>
        <w:ind w:right="5"/>
        <w:jc w:val="both"/>
        <w:rPr>
          <w:rFonts w:asciiTheme="minorHAnsi" w:hAnsiTheme="minorHAnsi" w:cstheme="minorHAnsi"/>
          <w:sz w:val="18"/>
        </w:rPr>
      </w:pPr>
      <w:r w:rsidRPr="006263CF">
        <w:rPr>
          <w:rFonts w:asciiTheme="minorHAnsi" w:hAnsiTheme="minorHAnsi" w:cstheme="minorHAnsi"/>
          <w:color w:val="000000"/>
          <w:szCs w:val="22"/>
        </w:rPr>
        <w:t>Навіть незважаючи на те, що короткострокова пероральна бедаквіліновмісна схема лікування добре переноситься, профіль безпечності деяких лікарських препаратів при одночасному застосуванні може створювати проблеми. Так, наприклад, одночасне застосування</w:t>
      </w:r>
    </w:p>
    <w:p w:rsidR="005C0A87" w:rsidRPr="006263CF" w:rsidRDefault="005C0A87" w:rsidP="006263CF">
      <w:pPr>
        <w:spacing w:before="125"/>
        <w:ind w:right="5"/>
        <w:jc w:val="both"/>
        <w:rPr>
          <w:rFonts w:asciiTheme="minorHAnsi" w:hAnsiTheme="minorHAnsi" w:cstheme="minorHAnsi"/>
          <w:sz w:val="18"/>
        </w:rPr>
        <w:sectPr w:rsidR="005C0A87" w:rsidRPr="006263CF">
          <w:pgSz w:w="11904" w:h="16838"/>
          <w:pgMar w:top="1344" w:right="1416" w:bottom="1354" w:left="1416" w:header="708" w:footer="708" w:gutter="0"/>
          <w:cols w:space="60"/>
          <w:noEndnote/>
        </w:sectPr>
      </w:pPr>
    </w:p>
    <w:p w:rsidR="005C0A87" w:rsidRPr="006263CF" w:rsidRDefault="005C0A87" w:rsidP="006263CF">
      <w:pPr>
        <w:ind w:right="5"/>
        <w:jc w:val="both"/>
        <w:rPr>
          <w:rFonts w:asciiTheme="minorHAnsi" w:hAnsiTheme="minorHAnsi" w:cstheme="minorHAnsi"/>
          <w:sz w:val="18"/>
        </w:rPr>
      </w:pPr>
      <w:bookmarkStart w:id="17" w:name="bookmark16"/>
      <w:r w:rsidRPr="006263CF">
        <w:rPr>
          <w:rFonts w:asciiTheme="minorHAnsi" w:hAnsiTheme="minorHAnsi" w:cstheme="minorHAnsi"/>
          <w:color w:val="000000"/>
          <w:szCs w:val="22"/>
        </w:rPr>
        <w:lastRenderedPageBreak/>
        <w:t>к</w:t>
      </w:r>
      <w:bookmarkEnd w:id="17"/>
      <w:r w:rsidRPr="006263CF">
        <w:rPr>
          <w:rFonts w:asciiTheme="minorHAnsi" w:hAnsiTheme="minorHAnsi" w:cstheme="minorHAnsi"/>
          <w:color w:val="000000"/>
          <w:szCs w:val="22"/>
        </w:rPr>
        <w:t xml:space="preserve">лофазиміну, бедаквіліну та моксифлоксацину у високій дозі (всі, з котрих подовжують QT інтервал) може зробити моніторинг більш важливим відносно адитивної кардіотоксичності (за допомогою ЕКГ) для цих комбінацій лікарських засобів, ніж для інших комбінацій лікарських засобів. Про будь-які небажані явища у пацієнтів на лікуванні потрібно повідомляти насамперед у національне агентство, відповідальне за фармакологічну допомогу, в рамках системи активного моніторингу та управління безпекою застосування протитуберкульозних препаратів (aDSM) </w:t>
      </w:r>
      <w:r w:rsidRPr="006263CF">
        <w:rPr>
          <w:rFonts w:asciiTheme="minorHAnsi" w:hAnsiTheme="minorHAnsi" w:cstheme="minorHAnsi"/>
          <w:i/>
          <w:iCs/>
          <w:color w:val="000000"/>
          <w:szCs w:val="22"/>
        </w:rPr>
        <w:t>(19)</w:t>
      </w:r>
      <w:r w:rsidRPr="006263CF">
        <w:rPr>
          <w:rFonts w:asciiTheme="minorHAnsi" w:hAnsiTheme="minorHAnsi" w:cstheme="minorHAnsi"/>
          <w:color w:val="000000"/>
          <w:szCs w:val="22"/>
        </w:rPr>
        <w:t>. Функціональна система aDSM необхідна з моменту початку лікування пацієнтів на короткостроковій пероральній бедаквіліновмісній схемі лікування MР/Риф-TБ. Необхідно встановити два ключові елементи, щоб зібрати найважливіші дані про безпечність для всіх пацієнтів з моменту початку їх лікування підготовку до збору даних у паперовому або електронному форматі та персонал, належним чином навчений для збору цих даних.</w:t>
      </w:r>
    </w:p>
    <w:p w:rsidR="005C0A87" w:rsidRPr="006263CF" w:rsidRDefault="005C0A87" w:rsidP="006263CF">
      <w:pPr>
        <w:spacing w:before="144"/>
        <w:ind w:right="5"/>
        <w:jc w:val="both"/>
        <w:rPr>
          <w:rFonts w:asciiTheme="minorHAnsi" w:hAnsiTheme="minorHAnsi" w:cstheme="minorHAnsi"/>
          <w:sz w:val="18"/>
        </w:rPr>
      </w:pPr>
      <w:r w:rsidRPr="006263CF">
        <w:rPr>
          <w:rFonts w:asciiTheme="minorHAnsi" w:hAnsiTheme="minorHAnsi" w:cstheme="minorHAnsi"/>
          <w:color w:val="000000"/>
          <w:szCs w:val="22"/>
        </w:rPr>
        <w:t>Усі деталі діагнозу пацієнта, ТМЧ, лікування, небажані ефекти та результати повинні бути записані відповідно до належної практики. Окрім того, слід провести звичайний моніторинг або регулярні обстеження, щоб оцінити появу стійкості до бедаквіліну.</w:t>
      </w:r>
    </w:p>
    <w:p w:rsidR="005C0A87" w:rsidRPr="006263CF" w:rsidRDefault="005C0A87" w:rsidP="006263CF">
      <w:pPr>
        <w:spacing w:before="283"/>
        <w:ind w:right="5"/>
        <w:jc w:val="both"/>
        <w:rPr>
          <w:rFonts w:asciiTheme="minorHAnsi" w:hAnsiTheme="minorHAnsi" w:cstheme="minorHAnsi"/>
          <w:sz w:val="18"/>
        </w:rPr>
      </w:pPr>
      <w:r w:rsidRPr="006263CF">
        <w:rPr>
          <w:rFonts w:asciiTheme="minorHAnsi" w:hAnsiTheme="minorHAnsi" w:cstheme="minorHAnsi"/>
          <w:b/>
          <w:bCs/>
          <w:color w:val="1F61AA"/>
          <w:sz w:val="36"/>
          <w:szCs w:val="38"/>
        </w:rPr>
        <w:t>5.5 Застосування модифікованих пероральних короткострокових схем лікування МР-ТБ під час операційного дослідження</w:t>
      </w:r>
    </w:p>
    <w:p w:rsidR="005C0A87" w:rsidRPr="006263CF" w:rsidRDefault="005C0A87" w:rsidP="000C4F1C">
      <w:pPr>
        <w:spacing w:before="40"/>
        <w:ind w:right="5"/>
        <w:jc w:val="both"/>
        <w:rPr>
          <w:rFonts w:asciiTheme="minorHAnsi" w:hAnsiTheme="minorHAnsi" w:cstheme="minorHAnsi"/>
          <w:sz w:val="18"/>
        </w:rPr>
      </w:pPr>
      <w:r w:rsidRPr="006263CF">
        <w:rPr>
          <w:rFonts w:asciiTheme="minorHAnsi" w:hAnsiTheme="minorHAnsi" w:cstheme="minorHAnsi"/>
          <w:color w:val="000000"/>
          <w:szCs w:val="22"/>
        </w:rPr>
        <w:t xml:space="preserve">На даний момент існує мало доказів, що підтверджують модифіковані пероральні короткострокові схеми лікування мультирезистентного туберкульозу, розроблені з використанням ієрархії протитуберкульозних лікарських препаратів (у </w:t>
      </w:r>
      <w:r w:rsidRPr="006263CF">
        <w:rPr>
          <w:rFonts w:asciiTheme="minorHAnsi" w:hAnsiTheme="minorHAnsi" w:cstheme="minorHAnsi"/>
          <w:color w:val="1F61AA"/>
          <w:szCs w:val="22"/>
        </w:rPr>
        <w:t>таблиці 6.1</w:t>
      </w:r>
      <w:r w:rsidRPr="006263CF">
        <w:rPr>
          <w:rFonts w:asciiTheme="minorHAnsi" w:hAnsiTheme="minorHAnsi" w:cstheme="minorHAnsi"/>
          <w:color w:val="000000"/>
          <w:szCs w:val="22"/>
        </w:rPr>
        <w:t>). НПБТ, що мають намір випробувати такі типи короткострокових схем лікування МР-ТБ, рекомендують робити це в умовах оперативних досліджень. Для полегшення таких досліджень Спеціальна програма з наукових досліджень та підготовки фахівців у сфері тропічних хвороб (СТХ) у тісній співпраці з Глобальною програмою ВООЗ протидії туберкульозу та з технічними партнерами розробила ShORRT (Короткострокові, пероральні схеми лікування рифампіцин-резистентного туберкульозу</w:t>
      </w:r>
      <w:r w:rsidRPr="006263CF">
        <w:rPr>
          <w:rFonts w:asciiTheme="minorHAnsi" w:hAnsiTheme="minorHAnsi" w:cstheme="minorHAnsi"/>
          <w:color w:val="000000"/>
          <w:szCs w:val="22"/>
          <w:vertAlign w:val="superscript"/>
        </w:rPr>
        <w:t>9</w:t>
      </w:r>
      <w:r w:rsidRPr="006263CF">
        <w:rPr>
          <w:rFonts w:asciiTheme="minorHAnsi" w:hAnsiTheme="minorHAnsi" w:cstheme="minorHAnsi"/>
          <w:color w:val="000000"/>
          <w:szCs w:val="22"/>
        </w:rPr>
        <w:t xml:space="preserve">), пакет оперативних досліджень для оцінки ефективності, безпечності, доцільності, прийнятності, вартості та впливу (у тому числі на якість життя) використання пероральних короткострокових схем лікування лікарсько-стійкого ТБ. </w:t>
      </w:r>
      <w:r w:rsidRPr="006263CF">
        <w:rPr>
          <w:rFonts w:asciiTheme="minorHAnsi" w:hAnsiTheme="minorHAnsi" w:cstheme="minorHAnsi"/>
          <w:i/>
          <w:iCs/>
          <w:color w:val="000000"/>
          <w:szCs w:val="22"/>
        </w:rPr>
        <w:t>(36)</w:t>
      </w:r>
      <w:r w:rsidRPr="006263CF">
        <w:rPr>
          <w:rFonts w:asciiTheme="minorHAnsi" w:hAnsiTheme="minorHAnsi" w:cstheme="minorHAnsi"/>
          <w:color w:val="000000"/>
          <w:szCs w:val="22"/>
        </w:rPr>
        <w:t>.</w:t>
      </w:r>
    </w:p>
    <w:p w:rsidR="005C0A87" w:rsidRPr="006263CF" w:rsidRDefault="005C0A87" w:rsidP="000C4F1C">
      <w:pPr>
        <w:spacing w:before="40"/>
        <w:ind w:right="5"/>
        <w:jc w:val="both"/>
        <w:rPr>
          <w:rFonts w:asciiTheme="minorHAnsi" w:hAnsiTheme="minorHAnsi" w:cstheme="minorHAnsi"/>
          <w:sz w:val="18"/>
        </w:rPr>
      </w:pPr>
      <w:r w:rsidRPr="006263CF">
        <w:rPr>
          <w:rFonts w:asciiTheme="minorHAnsi" w:hAnsiTheme="minorHAnsi" w:cstheme="minorHAnsi"/>
          <w:color w:val="000000"/>
          <w:szCs w:val="22"/>
        </w:rPr>
        <w:t xml:space="preserve">Пероральні короткострокові схеми лікування МР-ТБ зазвичай розроблені як стандартизована схема лікування з 4 або 5 лікарськими засобами. Існує певна перевага у використанні пероральних короткострокових схем лікування МР-ТБ, які зараз тестуються у рандомізованих клінічних випробуваннях, оскільки ці схеми були затверджені науковими комітетами для тестування, а їх використання в умовах оперативних досліджень сприятиме створенню доказів, ґрунтованих на цих схемах. Дослідницький пакет ShORRT описує деякі запропоновані модифіковані схеми для тестування в умовах операційних досліджень </w:t>
      </w:r>
      <w:r w:rsidRPr="006263CF">
        <w:rPr>
          <w:rFonts w:asciiTheme="minorHAnsi" w:hAnsiTheme="minorHAnsi" w:cstheme="minorHAnsi"/>
          <w:i/>
          <w:iCs/>
          <w:color w:val="000000"/>
          <w:szCs w:val="22"/>
        </w:rPr>
        <w:t>(36)</w:t>
      </w:r>
      <w:r w:rsidRPr="006263CF">
        <w:rPr>
          <w:rFonts w:asciiTheme="minorHAnsi" w:hAnsiTheme="minorHAnsi" w:cstheme="minorHAnsi"/>
          <w:color w:val="000000"/>
          <w:szCs w:val="22"/>
        </w:rPr>
        <w:t>. Пероральної короткострокові схеми лікування МР-ТБ, які містять усі лікарські засоби групи А в поєднанні з клофазиміном (іноді включаючи лікарські препарати групи С, такі як піразинамід або деламанід), є можливими комбінаціями для багатьох країн, що застосовують їх в умовах оперативних досліджень.</w:t>
      </w:r>
    </w:p>
    <w:p w:rsidR="005C0A87" w:rsidRPr="006263CF" w:rsidRDefault="005C0A87" w:rsidP="000C4F1C">
      <w:pPr>
        <w:spacing w:before="40"/>
        <w:ind w:right="5"/>
        <w:jc w:val="both"/>
        <w:rPr>
          <w:rFonts w:asciiTheme="minorHAnsi" w:hAnsiTheme="minorHAnsi" w:cstheme="minorHAnsi"/>
          <w:sz w:val="18"/>
        </w:rPr>
      </w:pPr>
      <w:r w:rsidRPr="006263CF">
        <w:rPr>
          <w:rFonts w:asciiTheme="minorHAnsi" w:hAnsiTheme="minorHAnsi" w:cstheme="minorHAnsi"/>
          <w:color w:val="000000"/>
          <w:szCs w:val="22"/>
        </w:rPr>
        <w:t>При виборі пероральної короткострокової схеми лікування МР-ТБ важливим міркуванням є те, що програма повинна бути в змозі стежити за пацієнтами протягом 1-го року після лікування рецидиву ТБ; окрім того, повинна бути документація, що короткострокова пероральна схема лікування МР-ТБ не призводить до високого рівня рецидиву.</w:t>
      </w:r>
    </w:p>
    <w:p w:rsidR="005C0A87" w:rsidRPr="006263CF" w:rsidRDefault="005C0A87" w:rsidP="000C4F1C">
      <w:pPr>
        <w:spacing w:before="40"/>
        <w:ind w:right="10"/>
        <w:jc w:val="both"/>
        <w:rPr>
          <w:rFonts w:asciiTheme="minorHAnsi" w:hAnsiTheme="minorHAnsi" w:cstheme="minorHAnsi"/>
          <w:sz w:val="18"/>
        </w:rPr>
      </w:pPr>
      <w:r w:rsidRPr="006263CF">
        <w:rPr>
          <w:rFonts w:asciiTheme="minorHAnsi" w:hAnsiTheme="minorHAnsi" w:cstheme="minorHAnsi"/>
          <w:b/>
          <w:bCs/>
          <w:i/>
          <w:iCs/>
          <w:color w:val="000000"/>
          <w:szCs w:val="22"/>
        </w:rPr>
        <w:t xml:space="preserve">Умови операційного дослідження: </w:t>
      </w:r>
      <w:r w:rsidRPr="006263CF">
        <w:rPr>
          <w:rFonts w:asciiTheme="minorHAnsi" w:hAnsiTheme="minorHAnsi" w:cstheme="minorHAnsi"/>
          <w:color w:val="000000"/>
          <w:szCs w:val="22"/>
        </w:rPr>
        <w:t xml:space="preserve">Модифіковані пероральні короткострокові схеми лікування МР-ТБ (що відрізняються від рекомендованих короткочасних схем на основі бедаквіліну, описаних у </w:t>
      </w:r>
      <w:r w:rsidRPr="006263CF">
        <w:rPr>
          <w:rFonts w:asciiTheme="minorHAnsi" w:hAnsiTheme="minorHAnsi" w:cstheme="minorHAnsi"/>
          <w:color w:val="1F61AA"/>
          <w:szCs w:val="22"/>
        </w:rPr>
        <w:t xml:space="preserve">Розділі 5 </w:t>
      </w:r>
      <w:r w:rsidRPr="006263CF">
        <w:rPr>
          <w:rFonts w:asciiTheme="minorHAnsi" w:hAnsiTheme="minorHAnsi" w:cstheme="minorHAnsi"/>
          <w:color w:val="000000"/>
          <w:szCs w:val="22"/>
        </w:rPr>
        <w:t>слід застосовувати лише в умовах «операційних досліджень». Основними елементами цих умов є:</w:t>
      </w:r>
    </w:p>
    <w:p w:rsidR="005C0A87" w:rsidRPr="006263CF" w:rsidRDefault="005C0A87" w:rsidP="000C4F1C">
      <w:pPr>
        <w:numPr>
          <w:ilvl w:val="0"/>
          <w:numId w:val="9"/>
        </w:numPr>
        <w:tabs>
          <w:tab w:val="left" w:pos="240"/>
        </w:tabs>
        <w:spacing w:before="40"/>
        <w:rPr>
          <w:rFonts w:asciiTheme="minorHAnsi" w:eastAsia="Times New Roman" w:hAnsiTheme="minorHAnsi" w:cstheme="minorHAnsi"/>
          <w:color w:val="1F61AA"/>
          <w:szCs w:val="22"/>
        </w:rPr>
      </w:pPr>
      <w:r w:rsidRPr="006263CF">
        <w:rPr>
          <w:rFonts w:asciiTheme="minorHAnsi" w:hAnsiTheme="minorHAnsi" w:cstheme="minorHAnsi"/>
          <w:color w:val="000000"/>
          <w:szCs w:val="22"/>
        </w:rPr>
        <w:t>протокол дослідження, який повинен включати 12-місячне спостереження після закінчення лікування;</w:t>
      </w:r>
    </w:p>
    <w:p w:rsidR="005C0A87" w:rsidRPr="006263CF" w:rsidRDefault="005C0A87" w:rsidP="000C4F1C">
      <w:pPr>
        <w:numPr>
          <w:ilvl w:val="0"/>
          <w:numId w:val="9"/>
        </w:numPr>
        <w:tabs>
          <w:tab w:val="left" w:pos="240"/>
        </w:tabs>
        <w:rPr>
          <w:rFonts w:asciiTheme="minorHAnsi" w:eastAsia="Times New Roman" w:hAnsiTheme="minorHAnsi" w:cstheme="minorHAnsi"/>
          <w:color w:val="1F61AA"/>
          <w:szCs w:val="22"/>
        </w:rPr>
      </w:pPr>
      <w:r w:rsidRPr="006263CF">
        <w:rPr>
          <w:rFonts w:asciiTheme="minorHAnsi" w:hAnsiTheme="minorHAnsi" w:cstheme="minorHAnsi"/>
          <w:color w:val="000000"/>
          <w:szCs w:val="22"/>
        </w:rPr>
        <w:t>керівництво з клінічного лікування, яке включає процес згоди пацієнта;</w:t>
      </w:r>
    </w:p>
    <w:p w:rsidR="005C0A87" w:rsidRPr="006263CF" w:rsidRDefault="005C0A87" w:rsidP="000C4F1C">
      <w:pPr>
        <w:numPr>
          <w:ilvl w:val="0"/>
          <w:numId w:val="9"/>
        </w:numPr>
        <w:tabs>
          <w:tab w:val="left" w:pos="240"/>
        </w:tabs>
        <w:rPr>
          <w:rFonts w:asciiTheme="minorHAnsi" w:eastAsia="Times New Roman" w:hAnsiTheme="minorHAnsi" w:cstheme="minorHAnsi"/>
          <w:color w:val="1F61AA"/>
          <w:szCs w:val="22"/>
        </w:rPr>
      </w:pPr>
      <w:r w:rsidRPr="006263CF">
        <w:rPr>
          <w:rFonts w:asciiTheme="minorHAnsi" w:hAnsiTheme="minorHAnsi" w:cstheme="minorHAnsi"/>
          <w:color w:val="000000"/>
          <w:szCs w:val="22"/>
        </w:rPr>
        <w:t>затвердження національною комісією з розгляду етики або міністерством охорони здоров'я; і</w:t>
      </w:r>
    </w:p>
    <w:p w:rsidR="005C0A87" w:rsidRPr="006263CF" w:rsidRDefault="005C0A87" w:rsidP="000C4F1C">
      <w:pPr>
        <w:numPr>
          <w:ilvl w:val="0"/>
          <w:numId w:val="9"/>
        </w:numPr>
        <w:tabs>
          <w:tab w:val="left" w:pos="240"/>
        </w:tabs>
        <w:rPr>
          <w:rFonts w:asciiTheme="minorHAnsi" w:eastAsia="Times New Roman" w:hAnsiTheme="minorHAnsi" w:cstheme="minorHAnsi"/>
          <w:color w:val="1F61AA"/>
          <w:szCs w:val="22"/>
        </w:rPr>
      </w:pPr>
      <w:r w:rsidRPr="006263CF">
        <w:rPr>
          <w:rFonts w:asciiTheme="minorHAnsi" w:hAnsiTheme="minorHAnsi" w:cstheme="minorHAnsi"/>
          <w:color w:val="000000"/>
          <w:szCs w:val="22"/>
        </w:rPr>
        <w:t>як мінімум, «основний об'єм системи активного моніторингу та управління безпекою застосування протитуберкульозних препаратів »</w:t>
      </w:r>
      <w:r w:rsidRPr="006263CF">
        <w:rPr>
          <w:rFonts w:asciiTheme="minorHAnsi" w:hAnsiTheme="minorHAnsi" w:cstheme="minorHAnsi"/>
          <w:color w:val="000000"/>
          <w:szCs w:val="22"/>
          <w:vertAlign w:val="superscript"/>
        </w:rPr>
        <w:t>10</w:t>
      </w:r>
      <w:r w:rsidRPr="006263CF">
        <w:rPr>
          <w:rFonts w:asciiTheme="minorHAnsi" w:hAnsiTheme="minorHAnsi" w:cstheme="minorHAnsi"/>
          <w:color w:val="000000"/>
          <w:szCs w:val="22"/>
        </w:rPr>
        <w:t xml:space="preserve"> </w:t>
      </w:r>
      <w:r w:rsidRPr="006263CF">
        <w:rPr>
          <w:rFonts w:asciiTheme="minorHAnsi" w:hAnsiTheme="minorHAnsi" w:cstheme="minorHAnsi"/>
          <w:i/>
          <w:iCs/>
          <w:color w:val="000000"/>
          <w:szCs w:val="22"/>
        </w:rPr>
        <w:t>(19)</w:t>
      </w:r>
      <w:r w:rsidRPr="006263CF">
        <w:rPr>
          <w:rFonts w:asciiTheme="minorHAnsi" w:hAnsiTheme="minorHAnsi" w:cstheme="minorHAnsi"/>
          <w:color w:val="000000"/>
          <w:szCs w:val="22"/>
        </w:rPr>
        <w:t>.</w:t>
      </w:r>
    </w:p>
    <w:p w:rsidR="005C0A87" w:rsidRPr="006263CF" w:rsidRDefault="005C0A87" w:rsidP="000C4F1C">
      <w:pPr>
        <w:spacing w:before="40"/>
        <w:jc w:val="both"/>
        <w:rPr>
          <w:rFonts w:asciiTheme="minorHAnsi" w:hAnsiTheme="minorHAnsi" w:cstheme="minorHAnsi"/>
          <w:sz w:val="18"/>
        </w:rPr>
      </w:pPr>
      <w:r w:rsidRPr="006263CF">
        <w:rPr>
          <w:rFonts w:asciiTheme="minorHAnsi" w:hAnsiTheme="minorHAnsi" w:cstheme="minorHAnsi"/>
          <w:color w:val="000000"/>
          <w:szCs w:val="22"/>
        </w:rPr>
        <w:t xml:space="preserve">Дослідницький пакет ShORRT надає більше вказівок щодо розробки протоколу, інструментів збору даних та інших допоміжних документів, що полегшують операційні дослідження для модифікованих пероральних короткострокових схем лікування МР-ТБ. </w:t>
      </w:r>
      <w:r w:rsidRPr="006263CF">
        <w:rPr>
          <w:rFonts w:asciiTheme="minorHAnsi" w:hAnsiTheme="minorHAnsi" w:cstheme="minorHAnsi"/>
          <w:i/>
          <w:iCs/>
          <w:color w:val="000000"/>
          <w:szCs w:val="22"/>
        </w:rPr>
        <w:t>(36)</w:t>
      </w:r>
      <w:r w:rsidRPr="006263CF">
        <w:rPr>
          <w:rFonts w:asciiTheme="minorHAnsi" w:hAnsiTheme="minorHAnsi" w:cstheme="minorHAnsi"/>
          <w:color w:val="000000"/>
          <w:szCs w:val="22"/>
        </w:rPr>
        <w:t>.</w:t>
      </w:r>
    </w:p>
    <w:p w:rsidR="000344A4" w:rsidRDefault="000344A4" w:rsidP="000344A4">
      <w:pPr>
        <w:spacing w:before="240"/>
        <w:rPr>
          <w:rFonts w:asciiTheme="minorHAnsi" w:hAnsiTheme="minorHAnsi" w:cstheme="minorHAnsi"/>
          <w:color w:val="000000"/>
          <w:sz w:val="14"/>
          <w:szCs w:val="16"/>
          <w:vertAlign w:val="superscript"/>
        </w:rPr>
      </w:pPr>
      <w:r>
        <w:rPr>
          <w:rFonts w:asciiTheme="minorHAnsi" w:hAnsiTheme="minorHAnsi" w:cstheme="minorHAnsi"/>
          <w:color w:val="000000"/>
          <w:sz w:val="14"/>
          <w:szCs w:val="16"/>
          <w:u w:val="single"/>
          <w:vertAlign w:val="superscript"/>
        </w:rPr>
        <w:tab/>
      </w:r>
      <w:r>
        <w:rPr>
          <w:rFonts w:asciiTheme="minorHAnsi" w:hAnsiTheme="minorHAnsi" w:cstheme="minorHAnsi"/>
          <w:color w:val="000000"/>
          <w:sz w:val="14"/>
          <w:szCs w:val="16"/>
          <w:u w:val="single"/>
          <w:vertAlign w:val="superscript"/>
        </w:rPr>
        <w:tab/>
      </w:r>
      <w:r>
        <w:rPr>
          <w:rFonts w:asciiTheme="minorHAnsi" w:hAnsiTheme="minorHAnsi" w:cstheme="minorHAnsi"/>
          <w:color w:val="000000"/>
          <w:sz w:val="14"/>
          <w:szCs w:val="16"/>
          <w:u w:val="single"/>
          <w:vertAlign w:val="superscript"/>
        </w:rPr>
        <w:tab/>
      </w:r>
    </w:p>
    <w:p w:rsidR="005C0A87" w:rsidRPr="006263CF" w:rsidRDefault="005C0A87" w:rsidP="000344A4">
      <w:pPr>
        <w:tabs>
          <w:tab w:val="left" w:pos="221"/>
        </w:tabs>
        <w:rPr>
          <w:rFonts w:asciiTheme="minorHAnsi" w:hAnsiTheme="minorHAnsi" w:cstheme="minorHAnsi"/>
          <w:sz w:val="18"/>
        </w:rPr>
      </w:pPr>
      <w:r w:rsidRPr="006263CF">
        <w:rPr>
          <w:rFonts w:asciiTheme="minorHAnsi" w:hAnsiTheme="minorHAnsi" w:cstheme="minorHAnsi"/>
          <w:color w:val="000000"/>
          <w:sz w:val="14"/>
          <w:szCs w:val="16"/>
          <w:vertAlign w:val="superscript"/>
        </w:rPr>
        <w:t>9</w:t>
      </w:r>
      <w:r w:rsidRPr="006263CF">
        <w:rPr>
          <w:rFonts w:asciiTheme="minorHAnsi" w:hAnsiTheme="minorHAnsi" w:cstheme="minorHAnsi"/>
          <w:color w:val="000000"/>
          <w:sz w:val="14"/>
          <w:szCs w:val="16"/>
        </w:rPr>
        <w:tab/>
        <w:t xml:space="preserve">Див. </w:t>
      </w:r>
      <w:r w:rsidRPr="006263CF">
        <w:rPr>
          <w:rFonts w:asciiTheme="minorHAnsi" w:hAnsiTheme="minorHAnsi" w:cstheme="minorHAnsi"/>
          <w:color w:val="0066CC"/>
          <w:sz w:val="14"/>
          <w:szCs w:val="16"/>
          <w:u w:val="single"/>
        </w:rPr>
        <w:t>https://www.who.int/tdr/research/tb_hiv/shorrt/en/</w:t>
      </w:r>
      <w:r w:rsidRPr="006263CF">
        <w:rPr>
          <w:rFonts w:asciiTheme="minorHAnsi" w:hAnsiTheme="minorHAnsi" w:cstheme="minorHAnsi"/>
          <w:color w:val="000000"/>
          <w:sz w:val="14"/>
          <w:szCs w:val="16"/>
        </w:rPr>
        <w:t>.</w:t>
      </w:r>
    </w:p>
    <w:p w:rsidR="005C0A87" w:rsidRPr="006263CF" w:rsidRDefault="005C0A87" w:rsidP="006263CF">
      <w:pPr>
        <w:tabs>
          <w:tab w:val="left" w:pos="221"/>
        </w:tabs>
        <w:spacing w:before="38"/>
        <w:rPr>
          <w:rFonts w:asciiTheme="minorHAnsi" w:hAnsiTheme="minorHAnsi" w:cstheme="minorHAnsi"/>
          <w:sz w:val="18"/>
        </w:rPr>
      </w:pPr>
      <w:r w:rsidRPr="006263CF">
        <w:rPr>
          <w:rFonts w:asciiTheme="minorHAnsi" w:hAnsiTheme="minorHAnsi" w:cstheme="minorHAnsi"/>
          <w:color w:val="000000"/>
          <w:sz w:val="14"/>
          <w:szCs w:val="16"/>
          <w:vertAlign w:val="superscript"/>
        </w:rPr>
        <w:t>10</w:t>
      </w:r>
      <w:r w:rsidRPr="006263CF">
        <w:rPr>
          <w:rFonts w:asciiTheme="minorHAnsi" w:hAnsiTheme="minorHAnsi" w:cstheme="minorHAnsi"/>
          <w:color w:val="000000"/>
          <w:sz w:val="14"/>
          <w:szCs w:val="16"/>
        </w:rPr>
        <w:tab/>
        <w:t xml:space="preserve">Див </w:t>
      </w:r>
      <w:r w:rsidRPr="006263CF">
        <w:rPr>
          <w:rFonts w:asciiTheme="minorHAnsi" w:hAnsiTheme="minorHAnsi" w:cstheme="minorHAnsi"/>
          <w:color w:val="0066CC"/>
          <w:sz w:val="14"/>
          <w:szCs w:val="16"/>
          <w:u w:val="single"/>
        </w:rPr>
        <w:t>http://www.who.int/tb/publications/aDSM/en/</w:t>
      </w:r>
      <w:r w:rsidRPr="006263CF">
        <w:rPr>
          <w:rFonts w:asciiTheme="minorHAnsi" w:hAnsiTheme="minorHAnsi" w:cstheme="minorHAnsi"/>
          <w:color w:val="000000"/>
          <w:sz w:val="14"/>
          <w:szCs w:val="16"/>
        </w:rPr>
        <w:t>.</w:t>
      </w:r>
    </w:p>
    <w:p w:rsidR="005C0A87" w:rsidRPr="006263CF" w:rsidRDefault="005C0A87" w:rsidP="006263CF">
      <w:pPr>
        <w:tabs>
          <w:tab w:val="left" w:pos="221"/>
        </w:tabs>
        <w:spacing w:before="38"/>
        <w:rPr>
          <w:rFonts w:asciiTheme="minorHAnsi" w:hAnsiTheme="minorHAnsi" w:cstheme="minorHAnsi"/>
          <w:sz w:val="18"/>
        </w:rPr>
        <w:sectPr w:rsidR="005C0A87" w:rsidRPr="006263CF" w:rsidSect="000C4F1C">
          <w:pgSz w:w="11904" w:h="16838"/>
          <w:pgMar w:top="1349" w:right="1411" w:bottom="38" w:left="1416" w:header="708" w:footer="708" w:gutter="0"/>
          <w:cols w:space="60"/>
          <w:noEndnote/>
        </w:sectPr>
      </w:pPr>
    </w:p>
    <w:p w:rsidR="005C0A87" w:rsidRPr="000C4F1C" w:rsidRDefault="00C73DE6" w:rsidP="000C4F1C">
      <w:pPr>
        <w:rPr>
          <w:rFonts w:asciiTheme="minorHAnsi" w:hAnsiTheme="minorHAnsi" w:cstheme="minorHAnsi"/>
          <w:b/>
          <w:sz w:val="18"/>
        </w:rPr>
      </w:pPr>
      <w:bookmarkStart w:id="18" w:name="bookmark17"/>
      <w:r>
        <w:rPr>
          <w:rFonts w:asciiTheme="minorHAnsi" w:hAnsiTheme="minorHAnsi" w:cstheme="minorHAnsi"/>
          <w:b/>
          <w:noProof/>
          <w:color w:val="1F61AA"/>
          <w:sz w:val="56"/>
          <w:szCs w:val="64"/>
        </w:rPr>
        <w:lastRenderedPageBreak/>
        <w:drawing>
          <wp:anchor distT="0" distB="0" distL="6400800" distR="6400800" simplePos="0" relativeHeight="251696128" behindDoc="1" locked="0" layoutInCell="0" allowOverlap="1" wp14:anchorId="35C84899" wp14:editId="5F95F7E3">
            <wp:simplePos x="0" y="0"/>
            <wp:positionH relativeFrom="margin">
              <wp:posOffset>-1010920</wp:posOffset>
            </wp:positionH>
            <wp:positionV relativeFrom="paragraph">
              <wp:posOffset>-1362075</wp:posOffset>
            </wp:positionV>
            <wp:extent cx="7729220" cy="1708785"/>
            <wp:effectExtent l="0" t="0" r="5080" b="5715"/>
            <wp:wrapNone/>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29220" cy="1708785"/>
                    </a:xfrm>
                    <a:prstGeom prst="rect">
                      <a:avLst/>
                    </a:prstGeom>
                    <a:noFill/>
                    <a:ln>
                      <a:noFill/>
                    </a:ln>
                  </pic:spPr>
                </pic:pic>
              </a:graphicData>
            </a:graphic>
            <wp14:sizeRelH relativeFrom="page">
              <wp14:pctWidth>0</wp14:pctWidth>
            </wp14:sizeRelH>
            <wp14:sizeRelV relativeFrom="page">
              <wp14:pctHeight>0</wp14:pctHeight>
            </wp14:sizeRelV>
          </wp:anchor>
        </w:drawing>
      </w:r>
      <w:r w:rsidR="005C0A87" w:rsidRPr="000C4F1C">
        <w:rPr>
          <w:rFonts w:asciiTheme="minorHAnsi" w:hAnsiTheme="minorHAnsi" w:cstheme="minorHAnsi"/>
          <w:b/>
          <w:color w:val="1F61AA"/>
          <w:sz w:val="56"/>
          <w:szCs w:val="64"/>
        </w:rPr>
        <w:t>6</w:t>
      </w:r>
      <w:bookmarkEnd w:id="18"/>
      <w:r w:rsidR="005C0A87" w:rsidRPr="000C4F1C">
        <w:rPr>
          <w:rFonts w:asciiTheme="minorHAnsi" w:hAnsiTheme="minorHAnsi" w:cstheme="minorHAnsi"/>
          <w:b/>
          <w:color w:val="1F61AA"/>
          <w:sz w:val="56"/>
          <w:szCs w:val="64"/>
        </w:rPr>
        <w:t>. Довгострокові схеми лікування МР/Риф-ТБ</w:t>
      </w:r>
    </w:p>
    <w:p w:rsidR="005C0A87" w:rsidRPr="006263CF" w:rsidRDefault="005C0A87" w:rsidP="000C4F1C">
      <w:pPr>
        <w:spacing w:before="480"/>
        <w:jc w:val="both"/>
        <w:rPr>
          <w:rFonts w:asciiTheme="minorHAnsi" w:hAnsiTheme="minorHAnsi" w:cstheme="minorHAnsi"/>
          <w:sz w:val="18"/>
        </w:rPr>
      </w:pPr>
      <w:r w:rsidRPr="006263CF">
        <w:rPr>
          <w:rFonts w:asciiTheme="minorHAnsi" w:hAnsiTheme="minorHAnsi" w:cstheme="minorHAnsi"/>
          <w:color w:val="000000"/>
          <w:szCs w:val="22"/>
        </w:rPr>
        <w:t xml:space="preserve">Усіх пацієнтів із МР/Риф-ТБ можна лікувати довгостроковими схемами лікування; однак, довгострокова схема лікування переважно надається тим пацієнтам, які лікують МР/Риф-ТБ, які не мають права на короткострокові пероральні схеми лікування, включаючи пацієнтів зі стійкістю до хінолону. У контекстах, де доступ до надійних ТМЧ обмежений, НПБТ зазвичай намагаються стандартизувати довгострокові схеми лікування. Хоча можлива певна стандартизація в розробці довгострокових схем, у багатьох випадках модифікація складу та тривалості схеми для її індивідуалізації може підвищити ефективність або безпечність схеми (або обидва фактори) </w:t>
      </w:r>
      <w:r w:rsidRPr="006263CF">
        <w:rPr>
          <w:rFonts w:asciiTheme="minorHAnsi" w:hAnsiTheme="minorHAnsi" w:cstheme="minorHAnsi"/>
          <w:i/>
          <w:iCs/>
          <w:color w:val="000000"/>
          <w:szCs w:val="22"/>
        </w:rPr>
        <w:t>(1)</w:t>
      </w:r>
      <w:r w:rsidRPr="006263CF">
        <w:rPr>
          <w:rFonts w:asciiTheme="minorHAnsi" w:hAnsiTheme="minorHAnsi" w:cstheme="minorHAnsi"/>
          <w:color w:val="000000"/>
          <w:szCs w:val="22"/>
        </w:rPr>
        <w:t xml:space="preserve">. Рейтинг оновлених лікарських препаратів для розробки довгострокових схем суттєво змінився в оновлених настановах ВООЗ за 2018 рік, роблячи пріоритет на тих пероральні препарати, які виявились найбільш ефективними в сучасних схемах та застосовуються по всьому світі (див. </w:t>
      </w:r>
      <w:r w:rsidRPr="006263CF">
        <w:rPr>
          <w:rFonts w:asciiTheme="minorHAnsi" w:hAnsiTheme="minorHAnsi" w:cstheme="minorHAnsi"/>
          <w:color w:val="1F61AA"/>
          <w:szCs w:val="22"/>
        </w:rPr>
        <w:t>Таблицю 6.1</w:t>
      </w:r>
      <w:r w:rsidRPr="006263CF">
        <w:rPr>
          <w:rFonts w:asciiTheme="minorHAnsi" w:hAnsiTheme="minorHAnsi" w:cstheme="minorHAnsi"/>
          <w:color w:val="000000"/>
          <w:szCs w:val="22"/>
        </w:rPr>
        <w:t>).</w:t>
      </w:r>
    </w:p>
    <w:p w:rsidR="005C0A87" w:rsidRPr="006263CF" w:rsidRDefault="005C0A87" w:rsidP="006263CF">
      <w:pPr>
        <w:spacing w:before="144"/>
        <w:jc w:val="both"/>
        <w:rPr>
          <w:rFonts w:asciiTheme="minorHAnsi" w:hAnsiTheme="minorHAnsi" w:cstheme="minorHAnsi"/>
          <w:sz w:val="18"/>
        </w:rPr>
      </w:pPr>
      <w:r w:rsidRPr="006263CF">
        <w:rPr>
          <w:rFonts w:asciiTheme="minorHAnsi" w:hAnsiTheme="minorHAnsi" w:cstheme="minorHAnsi"/>
          <w:color w:val="000000"/>
          <w:szCs w:val="22"/>
        </w:rPr>
        <w:t>Нижче наведено набір рекомендацій ВООЗ (</w:t>
      </w:r>
      <w:r w:rsidRPr="006263CF">
        <w:rPr>
          <w:rFonts w:asciiTheme="minorHAnsi" w:hAnsiTheme="minorHAnsi" w:cstheme="minorHAnsi"/>
          <w:color w:val="1F61AA"/>
          <w:szCs w:val="22"/>
        </w:rPr>
        <w:t>Таблиця 6.1</w:t>
      </w:r>
      <w:r w:rsidRPr="006263CF">
        <w:rPr>
          <w:rFonts w:asciiTheme="minorHAnsi" w:hAnsiTheme="minorHAnsi" w:cstheme="minorHAnsi"/>
          <w:color w:val="000000"/>
          <w:szCs w:val="22"/>
        </w:rPr>
        <w:t xml:space="preserve">), а підсумкові позначення, що використовуються для опису схеми лікування препаратами 2-го ряду МР/Риф-ТБ наведено у </w:t>
      </w:r>
      <w:r w:rsidRPr="006263CF">
        <w:rPr>
          <w:rFonts w:asciiTheme="minorHAnsi" w:hAnsiTheme="minorHAnsi" w:cstheme="minorHAnsi"/>
          <w:color w:val="1F61AA"/>
          <w:szCs w:val="22"/>
        </w:rPr>
        <w:t>Вставці 6.1</w:t>
      </w:r>
      <w:r w:rsidRPr="006263CF">
        <w:rPr>
          <w:rFonts w:asciiTheme="minorHAnsi" w:hAnsiTheme="minorHAnsi" w:cstheme="minorHAnsi"/>
          <w:color w:val="000000"/>
          <w:szCs w:val="22"/>
        </w:rPr>
        <w:t>.</w:t>
      </w:r>
    </w:p>
    <w:p w:rsidR="005C0A87" w:rsidRPr="006263CF" w:rsidRDefault="005C0A87" w:rsidP="006263CF">
      <w:pPr>
        <w:spacing w:before="144"/>
        <w:ind w:left="221" w:right="230"/>
        <w:jc w:val="both"/>
        <w:rPr>
          <w:rFonts w:asciiTheme="minorHAnsi" w:hAnsiTheme="minorHAnsi" w:cstheme="minorHAnsi"/>
          <w:sz w:val="18"/>
        </w:rPr>
      </w:pPr>
      <w:r w:rsidRPr="006263CF">
        <w:rPr>
          <w:rFonts w:asciiTheme="minorHAnsi" w:hAnsiTheme="minorHAnsi" w:cstheme="minorHAnsi"/>
          <w:b/>
          <w:bCs/>
          <w:color w:val="000000"/>
          <w:szCs w:val="22"/>
        </w:rPr>
        <w:t xml:space="preserve">Рекомендація 3.1 У хворих на МР/Риф-ТБ на довгострокових схемах лікування повинні бути включені всі три препарати групи А і принаймні один препарат групи В, щоб гарантувати, що лікування розпочинається щонайменше з чотирьох протитуберкульозних препаратів, імовірно, що принаймні три препарати включаються до решти лікування, якщо бедаквілін відміняється. Якщо використовуються лише один або два препарати групи А, обидва препарати групи В повинні бути включені. Якщо схему не може скласти лише із препаратами із груп A та B, препарати групи C додаються для її завершення </w:t>
      </w:r>
      <w:r w:rsidRPr="006263CF">
        <w:rPr>
          <w:rFonts w:asciiTheme="minorHAnsi" w:hAnsiTheme="minorHAnsi" w:cstheme="minorHAnsi"/>
          <w:i/>
          <w:iCs/>
          <w:color w:val="000000"/>
          <w:szCs w:val="22"/>
        </w:rPr>
        <w:t>(1). (Умовна рекомендація, дуже низька визначеність в оцінках ефекту)</w:t>
      </w:r>
    </w:p>
    <w:p w:rsidR="005C0A87" w:rsidRPr="006263CF" w:rsidRDefault="005C0A87" w:rsidP="006263CF">
      <w:pPr>
        <w:spacing w:before="144"/>
        <w:ind w:left="221" w:right="230"/>
        <w:jc w:val="both"/>
        <w:rPr>
          <w:rFonts w:asciiTheme="minorHAnsi" w:hAnsiTheme="minorHAnsi" w:cstheme="minorHAnsi"/>
          <w:sz w:val="18"/>
        </w:rPr>
      </w:pPr>
      <w:r w:rsidRPr="006263CF">
        <w:rPr>
          <w:rFonts w:asciiTheme="minorHAnsi" w:hAnsiTheme="minorHAnsi" w:cstheme="minorHAnsi"/>
          <w:b/>
          <w:bCs/>
          <w:color w:val="000000"/>
          <w:szCs w:val="22"/>
        </w:rPr>
        <w:t>Рекомендація 3.2. Канаміцин та капреоміцин не слід включати до лікування хворих на МР/Риф-ТБ при довгострокових схемах лікування.</w:t>
      </w:r>
    </w:p>
    <w:p w:rsidR="005C0A87" w:rsidRPr="006263CF" w:rsidRDefault="005C0A87" w:rsidP="006263CF">
      <w:pPr>
        <w:ind w:left="221"/>
        <w:rPr>
          <w:rFonts w:asciiTheme="minorHAnsi" w:hAnsiTheme="minorHAnsi" w:cstheme="minorHAnsi"/>
          <w:sz w:val="18"/>
        </w:rPr>
      </w:pPr>
      <w:r w:rsidRPr="006263CF">
        <w:rPr>
          <w:rFonts w:asciiTheme="minorHAnsi" w:hAnsiTheme="minorHAnsi" w:cstheme="minorHAnsi"/>
          <w:i/>
          <w:iCs/>
          <w:color w:val="000000"/>
          <w:szCs w:val="22"/>
        </w:rPr>
        <w:t>(Умовна рекомендація, дуже низька визначеність в оцінках ефекту)</w:t>
      </w:r>
    </w:p>
    <w:p w:rsidR="005C0A87" w:rsidRPr="006263CF" w:rsidRDefault="005C0A87" w:rsidP="006263CF">
      <w:pPr>
        <w:spacing w:before="144"/>
        <w:ind w:left="221" w:right="230"/>
        <w:jc w:val="both"/>
        <w:rPr>
          <w:rFonts w:asciiTheme="minorHAnsi" w:hAnsiTheme="minorHAnsi" w:cstheme="minorHAnsi"/>
          <w:sz w:val="18"/>
        </w:rPr>
      </w:pPr>
      <w:r w:rsidRPr="006263CF">
        <w:rPr>
          <w:rFonts w:asciiTheme="minorHAnsi" w:hAnsiTheme="minorHAnsi" w:cstheme="minorHAnsi"/>
          <w:b/>
          <w:bCs/>
          <w:color w:val="000000"/>
          <w:szCs w:val="22"/>
        </w:rPr>
        <w:t>Рекомендація 3.3 Левофлоксацин або моксифлоксацин слід включати до лікування хворих на МР/Риф-ТБ на довгострокових схемах лікування.</w:t>
      </w:r>
    </w:p>
    <w:p w:rsidR="005C0A87" w:rsidRPr="006263CF" w:rsidRDefault="005C0A87" w:rsidP="006263CF">
      <w:pPr>
        <w:ind w:left="221"/>
        <w:rPr>
          <w:rFonts w:asciiTheme="minorHAnsi" w:hAnsiTheme="minorHAnsi" w:cstheme="minorHAnsi"/>
          <w:sz w:val="18"/>
        </w:rPr>
      </w:pPr>
      <w:r w:rsidRPr="006263CF">
        <w:rPr>
          <w:rFonts w:asciiTheme="minorHAnsi" w:hAnsiTheme="minorHAnsi" w:cstheme="minorHAnsi"/>
          <w:i/>
          <w:iCs/>
          <w:color w:val="000000"/>
          <w:szCs w:val="22"/>
        </w:rPr>
        <w:t>(Сильна рекомендація, помірна визначеність в оцінках ефекту)</w:t>
      </w:r>
    </w:p>
    <w:p w:rsidR="005C0A87" w:rsidRPr="006263CF" w:rsidRDefault="005C0A87" w:rsidP="006263CF">
      <w:pPr>
        <w:spacing w:before="144"/>
        <w:ind w:left="221" w:right="230"/>
        <w:jc w:val="both"/>
        <w:rPr>
          <w:rFonts w:asciiTheme="minorHAnsi" w:hAnsiTheme="minorHAnsi" w:cstheme="minorHAnsi"/>
          <w:sz w:val="18"/>
        </w:rPr>
      </w:pPr>
      <w:r w:rsidRPr="006263CF">
        <w:rPr>
          <w:rFonts w:asciiTheme="minorHAnsi" w:hAnsiTheme="minorHAnsi" w:cstheme="minorHAnsi"/>
          <w:b/>
          <w:bCs/>
          <w:color w:val="000000"/>
          <w:szCs w:val="22"/>
        </w:rPr>
        <w:t>Рекомендація 3.4 Бедаквілін слід включати до довгострокових схем лікування МР-ТБ для пацієнтів віком від 18 років (сильна рекомендація, помірна визначеність в оцінках ефекту). Бедаквілін також можна включати до довгострокових схем лікування МР-ТБ для пацієнтів віком від 6 до 17 років.</w:t>
      </w:r>
    </w:p>
    <w:p w:rsidR="005C0A87" w:rsidRPr="006263CF" w:rsidRDefault="005C0A87" w:rsidP="006263CF">
      <w:pPr>
        <w:ind w:left="221"/>
        <w:rPr>
          <w:rFonts w:asciiTheme="minorHAnsi" w:hAnsiTheme="minorHAnsi" w:cstheme="minorHAnsi"/>
          <w:sz w:val="18"/>
        </w:rPr>
      </w:pPr>
      <w:r w:rsidRPr="006263CF">
        <w:rPr>
          <w:rFonts w:asciiTheme="minorHAnsi" w:hAnsiTheme="minorHAnsi" w:cstheme="minorHAnsi"/>
          <w:i/>
          <w:iCs/>
          <w:color w:val="000000"/>
          <w:szCs w:val="22"/>
        </w:rPr>
        <w:t>(Умовна рекомендація, дуже низька визначеність в оцінках ефекту)</w:t>
      </w:r>
    </w:p>
    <w:p w:rsidR="005C0A87" w:rsidRPr="006263CF" w:rsidRDefault="005C0A87" w:rsidP="006263CF">
      <w:pPr>
        <w:spacing w:before="144"/>
        <w:ind w:left="221" w:right="235"/>
        <w:jc w:val="both"/>
        <w:rPr>
          <w:rFonts w:asciiTheme="minorHAnsi" w:hAnsiTheme="minorHAnsi" w:cstheme="minorHAnsi"/>
          <w:sz w:val="18"/>
        </w:rPr>
      </w:pPr>
      <w:r w:rsidRPr="006263CF">
        <w:rPr>
          <w:rFonts w:asciiTheme="minorHAnsi" w:hAnsiTheme="minorHAnsi" w:cstheme="minorHAnsi"/>
          <w:b/>
          <w:bCs/>
          <w:color w:val="000000"/>
          <w:szCs w:val="22"/>
        </w:rPr>
        <w:t>Рекомендація 3.5 Лінезолід слід включати до лікування хворих на МР/Риф-ТБ до довгострокових схем лікування.</w:t>
      </w:r>
    </w:p>
    <w:p w:rsidR="005C0A87" w:rsidRPr="006263CF" w:rsidRDefault="005C0A87" w:rsidP="006263CF">
      <w:pPr>
        <w:ind w:left="221"/>
        <w:rPr>
          <w:rFonts w:asciiTheme="minorHAnsi" w:hAnsiTheme="minorHAnsi" w:cstheme="minorHAnsi"/>
          <w:sz w:val="18"/>
        </w:rPr>
      </w:pPr>
      <w:r w:rsidRPr="006263CF">
        <w:rPr>
          <w:rFonts w:asciiTheme="minorHAnsi" w:hAnsiTheme="minorHAnsi" w:cstheme="minorHAnsi"/>
          <w:i/>
          <w:iCs/>
          <w:color w:val="000000"/>
          <w:szCs w:val="22"/>
        </w:rPr>
        <w:t>(Сильна рекомендація, помірна визначеність в оцінках ефекту)</w:t>
      </w:r>
    </w:p>
    <w:p w:rsidR="005C0A87" w:rsidRPr="006263CF" w:rsidRDefault="005C0A87" w:rsidP="006263CF">
      <w:pPr>
        <w:spacing w:before="144"/>
        <w:ind w:left="221" w:right="230"/>
        <w:jc w:val="both"/>
        <w:rPr>
          <w:rFonts w:asciiTheme="minorHAnsi" w:hAnsiTheme="minorHAnsi" w:cstheme="minorHAnsi"/>
          <w:sz w:val="18"/>
        </w:rPr>
      </w:pPr>
      <w:r w:rsidRPr="006263CF">
        <w:rPr>
          <w:rFonts w:asciiTheme="minorHAnsi" w:hAnsiTheme="minorHAnsi" w:cstheme="minorHAnsi"/>
          <w:b/>
          <w:bCs/>
          <w:color w:val="000000"/>
          <w:szCs w:val="22"/>
        </w:rPr>
        <w:t>Рекомендація 3.6 Клофазимін та циклосерин або теризідон можуть бути включені до лікування хворих на МР/Риф-ТБ до довгострокових схем лікування.</w:t>
      </w:r>
    </w:p>
    <w:p w:rsidR="005C0A87" w:rsidRPr="006263CF" w:rsidRDefault="005C0A87" w:rsidP="006263CF">
      <w:pPr>
        <w:ind w:left="221"/>
        <w:rPr>
          <w:rFonts w:asciiTheme="minorHAnsi" w:hAnsiTheme="minorHAnsi" w:cstheme="minorHAnsi"/>
          <w:sz w:val="18"/>
        </w:rPr>
      </w:pPr>
      <w:r w:rsidRPr="006263CF">
        <w:rPr>
          <w:rFonts w:asciiTheme="minorHAnsi" w:hAnsiTheme="minorHAnsi" w:cstheme="minorHAnsi"/>
          <w:i/>
          <w:iCs/>
          <w:color w:val="000000"/>
          <w:szCs w:val="22"/>
        </w:rPr>
        <w:t>(Умовна рекомендація, дуже низька визначеність в оцінках ефекту)</w:t>
      </w:r>
    </w:p>
    <w:p w:rsidR="005C0A87" w:rsidRPr="006263CF" w:rsidRDefault="005C0A87" w:rsidP="006263CF">
      <w:pPr>
        <w:ind w:left="221"/>
        <w:rPr>
          <w:rFonts w:asciiTheme="minorHAnsi" w:hAnsiTheme="minorHAnsi" w:cstheme="minorHAnsi"/>
          <w:sz w:val="18"/>
        </w:rPr>
        <w:sectPr w:rsidR="005C0A87" w:rsidRPr="006263CF">
          <w:pgSz w:w="11904" w:h="16838"/>
          <w:pgMar w:top="2117" w:right="1416" w:bottom="1632" w:left="1416" w:header="708" w:footer="708" w:gutter="0"/>
          <w:cols w:space="60"/>
          <w:noEndnote/>
        </w:sectPr>
      </w:pPr>
    </w:p>
    <w:p w:rsidR="005C0A87" w:rsidRPr="006263CF" w:rsidRDefault="005C0A87" w:rsidP="006263CF">
      <w:pPr>
        <w:ind w:left="221" w:right="230"/>
        <w:jc w:val="both"/>
        <w:rPr>
          <w:rFonts w:asciiTheme="minorHAnsi" w:hAnsiTheme="minorHAnsi" w:cstheme="minorHAnsi"/>
          <w:sz w:val="18"/>
        </w:rPr>
      </w:pPr>
      <w:r w:rsidRPr="006263CF">
        <w:rPr>
          <w:rFonts w:asciiTheme="minorHAnsi" w:hAnsiTheme="minorHAnsi" w:cstheme="minorHAnsi"/>
          <w:b/>
          <w:bCs/>
          <w:color w:val="000000"/>
          <w:szCs w:val="22"/>
        </w:rPr>
        <w:lastRenderedPageBreak/>
        <w:t>Рекомендація 3.7 Етамбутол може бути включений до лікування хворих на МР/Риф-ТБ до довгострокових схем лікування.</w:t>
      </w:r>
    </w:p>
    <w:p w:rsidR="005C0A87" w:rsidRPr="006263CF" w:rsidRDefault="005C0A87" w:rsidP="006263CF">
      <w:pPr>
        <w:ind w:left="221"/>
        <w:rPr>
          <w:rFonts w:asciiTheme="minorHAnsi" w:hAnsiTheme="minorHAnsi" w:cstheme="minorHAnsi"/>
          <w:sz w:val="18"/>
        </w:rPr>
      </w:pPr>
      <w:r w:rsidRPr="006263CF">
        <w:rPr>
          <w:rFonts w:asciiTheme="minorHAnsi" w:hAnsiTheme="minorHAnsi" w:cstheme="minorHAnsi"/>
          <w:i/>
          <w:iCs/>
          <w:color w:val="000000"/>
          <w:szCs w:val="22"/>
        </w:rPr>
        <w:t>(Умовна рекомендація, дуже низька визначеність в оцінках ефекту)</w:t>
      </w:r>
    </w:p>
    <w:p w:rsidR="005C0A87" w:rsidRPr="006263CF" w:rsidRDefault="005C0A87" w:rsidP="006263CF">
      <w:pPr>
        <w:spacing w:before="144"/>
        <w:ind w:left="221" w:right="230"/>
        <w:jc w:val="both"/>
        <w:rPr>
          <w:rFonts w:asciiTheme="minorHAnsi" w:hAnsiTheme="minorHAnsi" w:cstheme="minorHAnsi"/>
          <w:sz w:val="18"/>
        </w:rPr>
      </w:pPr>
      <w:r w:rsidRPr="006263CF">
        <w:rPr>
          <w:rFonts w:asciiTheme="minorHAnsi" w:hAnsiTheme="minorHAnsi" w:cstheme="minorHAnsi"/>
          <w:b/>
          <w:bCs/>
          <w:color w:val="000000"/>
          <w:szCs w:val="22"/>
        </w:rPr>
        <w:t>Рекомендація 3.8 Деламанід можна включати до лікування хворих на МР/Риф-ТБ у віці від 3 років та більше до довгострокових схем лікування.</w:t>
      </w:r>
    </w:p>
    <w:p w:rsidR="005C0A87" w:rsidRPr="006263CF" w:rsidRDefault="005C0A87" w:rsidP="006263CF">
      <w:pPr>
        <w:ind w:left="221"/>
        <w:rPr>
          <w:rFonts w:asciiTheme="minorHAnsi" w:hAnsiTheme="minorHAnsi" w:cstheme="minorHAnsi"/>
          <w:sz w:val="18"/>
        </w:rPr>
      </w:pPr>
      <w:r w:rsidRPr="006263CF">
        <w:rPr>
          <w:rFonts w:asciiTheme="minorHAnsi" w:hAnsiTheme="minorHAnsi" w:cstheme="minorHAnsi"/>
          <w:i/>
          <w:iCs/>
          <w:color w:val="000000"/>
          <w:szCs w:val="22"/>
        </w:rPr>
        <w:t>(Умовна рекомендація, помірна визначеність в оцінці ефекту)</w:t>
      </w:r>
    </w:p>
    <w:p w:rsidR="005C0A87" w:rsidRPr="006263CF" w:rsidRDefault="005C0A87" w:rsidP="006263CF">
      <w:pPr>
        <w:spacing w:before="144"/>
        <w:ind w:left="221" w:right="235"/>
        <w:jc w:val="both"/>
        <w:rPr>
          <w:rFonts w:asciiTheme="minorHAnsi" w:hAnsiTheme="minorHAnsi" w:cstheme="minorHAnsi"/>
          <w:sz w:val="18"/>
        </w:rPr>
      </w:pPr>
      <w:r w:rsidRPr="006263CF">
        <w:rPr>
          <w:rFonts w:asciiTheme="minorHAnsi" w:hAnsiTheme="minorHAnsi" w:cstheme="minorHAnsi"/>
          <w:b/>
          <w:bCs/>
          <w:color w:val="000000"/>
          <w:szCs w:val="22"/>
        </w:rPr>
        <w:t>Рекомендація 3.9 Піразинамід можна включати до лікування МР/Риф-ТБ до довгострокових схем лікування.</w:t>
      </w:r>
    </w:p>
    <w:p w:rsidR="005C0A87" w:rsidRPr="006263CF" w:rsidRDefault="005C0A87" w:rsidP="006263CF">
      <w:pPr>
        <w:ind w:left="221"/>
        <w:rPr>
          <w:rFonts w:asciiTheme="minorHAnsi" w:hAnsiTheme="minorHAnsi" w:cstheme="minorHAnsi"/>
          <w:sz w:val="18"/>
        </w:rPr>
      </w:pPr>
      <w:r w:rsidRPr="006263CF">
        <w:rPr>
          <w:rFonts w:asciiTheme="minorHAnsi" w:hAnsiTheme="minorHAnsi" w:cstheme="minorHAnsi"/>
          <w:i/>
          <w:iCs/>
          <w:color w:val="000000"/>
          <w:szCs w:val="22"/>
        </w:rPr>
        <w:t>(Умовна рекомендація, дуже низька визначеність в оцінках ефекту)</w:t>
      </w:r>
    </w:p>
    <w:p w:rsidR="005C0A87" w:rsidRPr="006263CF" w:rsidRDefault="005C0A87" w:rsidP="006263CF">
      <w:pPr>
        <w:spacing w:before="144"/>
        <w:ind w:left="221" w:right="235"/>
        <w:jc w:val="both"/>
        <w:rPr>
          <w:rFonts w:asciiTheme="minorHAnsi" w:hAnsiTheme="minorHAnsi" w:cstheme="minorHAnsi"/>
          <w:sz w:val="18"/>
        </w:rPr>
      </w:pPr>
      <w:r w:rsidRPr="006263CF">
        <w:rPr>
          <w:rFonts w:asciiTheme="minorHAnsi" w:hAnsiTheme="minorHAnsi" w:cstheme="minorHAnsi"/>
          <w:b/>
          <w:bCs/>
          <w:color w:val="000000"/>
          <w:szCs w:val="22"/>
        </w:rPr>
        <w:t>Рекомендація 3.10 Іміпенем-циластатин або меропенем можуть бути включені до лікування МР/Риф-ТБ до довгострокових схем лікування.</w:t>
      </w:r>
    </w:p>
    <w:p w:rsidR="005C0A87" w:rsidRPr="006263CF" w:rsidRDefault="005C0A87" w:rsidP="006263CF">
      <w:pPr>
        <w:ind w:left="221"/>
        <w:rPr>
          <w:rFonts w:asciiTheme="minorHAnsi" w:hAnsiTheme="minorHAnsi" w:cstheme="minorHAnsi"/>
          <w:sz w:val="18"/>
        </w:rPr>
      </w:pPr>
      <w:r w:rsidRPr="006263CF">
        <w:rPr>
          <w:rFonts w:asciiTheme="minorHAnsi" w:hAnsiTheme="minorHAnsi" w:cstheme="minorHAnsi"/>
          <w:i/>
          <w:iCs/>
          <w:color w:val="000000"/>
          <w:szCs w:val="22"/>
        </w:rPr>
        <w:t>(Умовна рекомендація, дуже низька визначеність в оцінках ефекту)</w:t>
      </w:r>
    </w:p>
    <w:p w:rsidR="005C0A87" w:rsidRPr="006263CF" w:rsidRDefault="005C0A87" w:rsidP="006263CF">
      <w:pPr>
        <w:spacing w:before="144"/>
        <w:ind w:left="221" w:right="230"/>
        <w:jc w:val="both"/>
        <w:rPr>
          <w:rFonts w:asciiTheme="minorHAnsi" w:hAnsiTheme="minorHAnsi" w:cstheme="minorHAnsi"/>
          <w:sz w:val="18"/>
        </w:rPr>
      </w:pPr>
      <w:r w:rsidRPr="006263CF">
        <w:rPr>
          <w:rFonts w:asciiTheme="minorHAnsi" w:hAnsiTheme="minorHAnsi" w:cstheme="minorHAnsi"/>
          <w:b/>
          <w:bCs/>
          <w:color w:val="000000"/>
          <w:szCs w:val="22"/>
        </w:rPr>
        <w:t>Рекомендація 3.11 Амікацин можна включати до лікування МР/Риф-ТБ пацієнтів віком від 18 років та більше до довгострокових схем лікування, коли було продемонстровано чутливість та можна забезпечити адекватні заходи моніторингу побічних реакцій. У разі відсутності амікацину, стрептоміцин може замінити амікацин на тих же умовах.</w:t>
      </w:r>
    </w:p>
    <w:p w:rsidR="005C0A87" w:rsidRPr="006263CF" w:rsidRDefault="005C0A87" w:rsidP="006263CF">
      <w:pPr>
        <w:ind w:left="221"/>
        <w:rPr>
          <w:rFonts w:asciiTheme="minorHAnsi" w:hAnsiTheme="minorHAnsi" w:cstheme="minorHAnsi"/>
          <w:sz w:val="18"/>
        </w:rPr>
      </w:pPr>
      <w:r w:rsidRPr="006263CF">
        <w:rPr>
          <w:rFonts w:asciiTheme="minorHAnsi" w:hAnsiTheme="minorHAnsi" w:cstheme="minorHAnsi"/>
          <w:i/>
          <w:iCs/>
          <w:color w:val="000000"/>
          <w:szCs w:val="22"/>
        </w:rPr>
        <w:t>(Умовна рекомендація, дуже низька визначеність в оцінках ефекту)</w:t>
      </w:r>
    </w:p>
    <w:p w:rsidR="005C0A87" w:rsidRPr="006263CF" w:rsidRDefault="005C0A87" w:rsidP="006263CF">
      <w:pPr>
        <w:spacing w:before="149"/>
        <w:ind w:left="221" w:right="230"/>
        <w:jc w:val="both"/>
        <w:rPr>
          <w:rFonts w:asciiTheme="minorHAnsi" w:hAnsiTheme="minorHAnsi" w:cstheme="minorHAnsi"/>
          <w:sz w:val="18"/>
        </w:rPr>
      </w:pPr>
      <w:r w:rsidRPr="006263CF">
        <w:rPr>
          <w:rFonts w:asciiTheme="minorHAnsi" w:hAnsiTheme="minorHAnsi" w:cstheme="minorHAnsi"/>
          <w:b/>
          <w:bCs/>
          <w:color w:val="000000"/>
          <w:szCs w:val="22"/>
        </w:rPr>
        <w:t>Рекомендація 3.12 Етіонамід або протіонамід можна включати до лікування хворих на МР/Риф-ТБ до довгострокових схем лікування, лише якщо не використовуються бедаквілін, лінезолід, клофазимін або деламанід, або якщо кращі варіанти компонування схеми неможливі.</w:t>
      </w:r>
    </w:p>
    <w:p w:rsidR="005C0A87" w:rsidRPr="006263CF" w:rsidRDefault="005C0A87" w:rsidP="006263CF">
      <w:pPr>
        <w:ind w:left="221"/>
        <w:rPr>
          <w:rFonts w:asciiTheme="minorHAnsi" w:hAnsiTheme="minorHAnsi" w:cstheme="minorHAnsi"/>
          <w:sz w:val="18"/>
        </w:rPr>
      </w:pPr>
      <w:r w:rsidRPr="006263CF">
        <w:rPr>
          <w:rFonts w:asciiTheme="minorHAnsi" w:hAnsiTheme="minorHAnsi" w:cstheme="minorHAnsi"/>
          <w:i/>
          <w:iCs/>
          <w:color w:val="000000"/>
          <w:szCs w:val="22"/>
        </w:rPr>
        <w:t>(Умовна рекомендація проти використання, дуже низька визначеність в оцінці ефекту)</w:t>
      </w:r>
    </w:p>
    <w:p w:rsidR="005C0A87" w:rsidRPr="006263CF" w:rsidRDefault="005C0A87" w:rsidP="006263CF">
      <w:pPr>
        <w:spacing w:before="144"/>
        <w:ind w:left="221" w:right="235"/>
        <w:jc w:val="both"/>
        <w:rPr>
          <w:rFonts w:asciiTheme="minorHAnsi" w:hAnsiTheme="minorHAnsi" w:cstheme="minorHAnsi"/>
          <w:sz w:val="18"/>
        </w:rPr>
      </w:pPr>
      <w:r w:rsidRPr="006263CF">
        <w:rPr>
          <w:rFonts w:asciiTheme="minorHAnsi" w:hAnsiTheme="minorHAnsi" w:cstheme="minorHAnsi"/>
          <w:b/>
          <w:bCs/>
          <w:color w:val="000000"/>
          <w:szCs w:val="22"/>
        </w:rPr>
        <w:t xml:space="preserve">Рекомендація 3.13 </w:t>
      </w:r>
      <w:r w:rsidRPr="006263CF">
        <w:rPr>
          <w:rFonts w:asciiTheme="minorHAnsi" w:hAnsiTheme="minorHAnsi" w:cstheme="minorHAnsi"/>
          <w:b/>
          <w:bCs/>
          <w:i/>
          <w:iCs/>
          <w:color w:val="000000"/>
          <w:szCs w:val="22"/>
        </w:rPr>
        <w:t>П</w:t>
      </w:r>
      <w:r w:rsidRPr="006263CF">
        <w:rPr>
          <w:rFonts w:asciiTheme="minorHAnsi" w:hAnsiTheme="minorHAnsi" w:cstheme="minorHAnsi"/>
          <w:b/>
          <w:bCs/>
          <w:color w:val="000000"/>
          <w:szCs w:val="22"/>
        </w:rPr>
        <w:t>-аміносаліцилова кислота може бути включена до лікування хворих на МР/Риф-ТБ до довгострокових схем лікування, лише якщо не використовуються бедаквілін, лінезолід, клофазимін, або деламанід, або якщо кращі варіанти компонування схеми неможливі.</w:t>
      </w:r>
    </w:p>
    <w:p w:rsidR="005C0A87" w:rsidRPr="006263CF" w:rsidRDefault="005C0A87" w:rsidP="006263CF">
      <w:pPr>
        <w:ind w:left="221"/>
        <w:rPr>
          <w:rFonts w:asciiTheme="minorHAnsi" w:hAnsiTheme="minorHAnsi" w:cstheme="minorHAnsi"/>
          <w:sz w:val="18"/>
        </w:rPr>
      </w:pPr>
      <w:r w:rsidRPr="006263CF">
        <w:rPr>
          <w:rFonts w:asciiTheme="minorHAnsi" w:hAnsiTheme="minorHAnsi" w:cstheme="minorHAnsi"/>
          <w:i/>
          <w:iCs/>
          <w:color w:val="000000"/>
          <w:szCs w:val="22"/>
        </w:rPr>
        <w:t>(Умовна рекомендація проти використання, дуже низька визначеність в оцінці ефекту)</w:t>
      </w:r>
    </w:p>
    <w:p w:rsidR="005C0A87" w:rsidRPr="006263CF" w:rsidRDefault="005C0A87" w:rsidP="006263CF">
      <w:pPr>
        <w:spacing w:before="144"/>
        <w:ind w:left="221" w:right="240"/>
        <w:jc w:val="both"/>
        <w:rPr>
          <w:rFonts w:asciiTheme="minorHAnsi" w:hAnsiTheme="minorHAnsi" w:cstheme="minorHAnsi"/>
          <w:sz w:val="18"/>
        </w:rPr>
      </w:pPr>
      <w:r w:rsidRPr="006263CF">
        <w:rPr>
          <w:rFonts w:asciiTheme="minorHAnsi" w:hAnsiTheme="minorHAnsi" w:cstheme="minorHAnsi"/>
          <w:b/>
          <w:bCs/>
          <w:color w:val="000000"/>
          <w:szCs w:val="22"/>
        </w:rPr>
        <w:t>Рекомендація 3.14 Клавуланову кислоту не слід включати до лікування хворих на МР/Риф-ТБ до довгострокових схем лікування.</w:t>
      </w:r>
    </w:p>
    <w:p w:rsidR="005C0A87" w:rsidRPr="006263CF" w:rsidRDefault="005C0A87" w:rsidP="006263CF">
      <w:pPr>
        <w:ind w:left="221"/>
        <w:rPr>
          <w:rFonts w:asciiTheme="minorHAnsi" w:hAnsiTheme="minorHAnsi" w:cstheme="minorHAnsi"/>
          <w:sz w:val="18"/>
        </w:rPr>
      </w:pPr>
      <w:r w:rsidRPr="006263CF">
        <w:rPr>
          <w:rFonts w:asciiTheme="minorHAnsi" w:hAnsiTheme="minorHAnsi" w:cstheme="minorHAnsi"/>
          <w:i/>
          <w:iCs/>
          <w:color w:val="000000"/>
          <w:szCs w:val="22"/>
        </w:rPr>
        <w:t>(Сильна рекомендація щодо використання, низька визначеність в оцінках ефекту)</w:t>
      </w:r>
      <w:r w:rsidRPr="006263CF">
        <w:rPr>
          <w:rFonts w:asciiTheme="minorHAnsi" w:hAnsiTheme="minorHAnsi" w:cstheme="minorHAnsi"/>
          <w:color w:val="000000"/>
          <w:szCs w:val="22"/>
          <w:vertAlign w:val="superscript"/>
        </w:rPr>
        <w:t>11</w:t>
      </w:r>
    </w:p>
    <w:p w:rsidR="005C0A87" w:rsidRPr="006263CF" w:rsidRDefault="005C0A87" w:rsidP="006263CF">
      <w:pPr>
        <w:spacing w:before="144"/>
        <w:jc w:val="both"/>
        <w:rPr>
          <w:rFonts w:asciiTheme="minorHAnsi" w:hAnsiTheme="minorHAnsi" w:cstheme="minorHAnsi"/>
          <w:sz w:val="18"/>
        </w:rPr>
      </w:pPr>
      <w:r w:rsidRPr="006263CF">
        <w:rPr>
          <w:rFonts w:asciiTheme="minorHAnsi" w:hAnsiTheme="minorHAnsi" w:cstheme="minorHAnsi"/>
          <w:color w:val="000000"/>
          <w:szCs w:val="22"/>
        </w:rPr>
        <w:t>Група С – це група менш ефективних лікарських засобів, а лікарський засіб із групи С не слід вважати автоматичною заміною лікарського засобу із групи А або В. Рішення про застосування одного або двох лікарських засобів групи С має прийматися з урахуванням ймовірності ефективності, клінічного стану, віку пацієнта та легкості прийняття лікарського засобу або лікарських засобів для пацієнта. Деякі лікарські засоби групи С можуть потребувати моніторингу додаткових небажаних явищ, що переважають над тими, що виявляються із застосуванням лише лікарських засобів групи А та В.</w:t>
      </w:r>
    </w:p>
    <w:p w:rsidR="005C0A87" w:rsidRPr="006263CF" w:rsidRDefault="005C0A87" w:rsidP="006263CF">
      <w:pPr>
        <w:spacing w:before="149"/>
        <w:jc w:val="both"/>
        <w:rPr>
          <w:rFonts w:asciiTheme="minorHAnsi" w:hAnsiTheme="minorHAnsi" w:cstheme="minorHAnsi"/>
          <w:sz w:val="18"/>
        </w:rPr>
      </w:pPr>
      <w:r w:rsidRPr="006263CF">
        <w:rPr>
          <w:rFonts w:asciiTheme="minorHAnsi" w:hAnsiTheme="minorHAnsi" w:cstheme="minorHAnsi"/>
          <w:color w:val="000000"/>
          <w:szCs w:val="22"/>
        </w:rPr>
        <w:t>Усі пацієнти, що розглядаються для призначення довгострокового лікування МР-ТБ, повинні мати підтверджений лабораторний діагноз МР/Риф-ТБ, перш ніж приступати до лікування із використанням лікарських препаратів другого ряду. Це необхідно тому, що помилкове лікування із застосуванням схеми лікування МР-ТБ піддає пацієнтів надмірно тривалому та токсичному лікуванню, яке може бути менш ефективним, ніж лікування на основі рифампіцину, рекомендоване для пацієнтів із лікарсько-чутливим ТБ. Діагноз додаткової стійкості до МР-ТБ, може бути встановлений на вихідному рівні або може бути виявлений після початку лікування МР-ТБ. Чим більше інформації буде в наявності на початковому етапі лікування, тим краще; мета полягає в тому, щоб в максимально можливій мірі захистити ефективність складових препаратів, привівши до мінімуму необхідність заміни лікарських препаратів під час лікування.</w:t>
      </w:r>
    </w:p>
    <w:p w:rsidR="000344A4" w:rsidRDefault="000344A4" w:rsidP="000344A4">
      <w:pPr>
        <w:spacing w:before="1440"/>
        <w:jc w:val="both"/>
        <w:rPr>
          <w:rFonts w:asciiTheme="minorHAnsi" w:hAnsiTheme="minorHAnsi" w:cstheme="minorHAnsi"/>
          <w:color w:val="000000"/>
          <w:sz w:val="14"/>
          <w:szCs w:val="16"/>
          <w:vertAlign w:val="superscript"/>
        </w:rPr>
      </w:pPr>
      <w:r>
        <w:rPr>
          <w:rFonts w:asciiTheme="minorHAnsi" w:hAnsiTheme="minorHAnsi" w:cstheme="minorHAnsi"/>
          <w:color w:val="000000"/>
          <w:sz w:val="14"/>
          <w:szCs w:val="16"/>
          <w:u w:val="single"/>
          <w:vertAlign w:val="superscript"/>
        </w:rPr>
        <w:tab/>
      </w:r>
      <w:r>
        <w:rPr>
          <w:rFonts w:asciiTheme="minorHAnsi" w:hAnsiTheme="minorHAnsi" w:cstheme="minorHAnsi"/>
          <w:color w:val="000000"/>
          <w:sz w:val="14"/>
          <w:szCs w:val="16"/>
          <w:u w:val="single"/>
          <w:vertAlign w:val="superscript"/>
        </w:rPr>
        <w:tab/>
      </w:r>
      <w:r>
        <w:rPr>
          <w:rFonts w:asciiTheme="minorHAnsi" w:hAnsiTheme="minorHAnsi" w:cstheme="minorHAnsi"/>
          <w:color w:val="000000"/>
          <w:sz w:val="14"/>
          <w:szCs w:val="16"/>
          <w:u w:val="single"/>
          <w:vertAlign w:val="superscript"/>
        </w:rPr>
        <w:tab/>
      </w:r>
    </w:p>
    <w:p w:rsidR="005C0A87" w:rsidRPr="006263CF" w:rsidRDefault="005C0A87" w:rsidP="000344A4">
      <w:pPr>
        <w:ind w:left="221" w:hanging="221"/>
        <w:jc w:val="both"/>
        <w:rPr>
          <w:rFonts w:asciiTheme="minorHAnsi" w:hAnsiTheme="minorHAnsi" w:cstheme="minorHAnsi"/>
          <w:sz w:val="18"/>
        </w:rPr>
      </w:pPr>
      <w:r w:rsidRPr="006263CF">
        <w:rPr>
          <w:rFonts w:asciiTheme="minorHAnsi" w:hAnsiTheme="minorHAnsi" w:cstheme="minorHAnsi"/>
          <w:color w:val="000000"/>
          <w:sz w:val="14"/>
          <w:szCs w:val="16"/>
          <w:vertAlign w:val="superscript"/>
        </w:rPr>
        <w:t>11</w:t>
      </w:r>
      <w:r w:rsidRPr="006263CF">
        <w:rPr>
          <w:rFonts w:asciiTheme="minorHAnsi" w:hAnsiTheme="minorHAnsi" w:cstheme="minorHAnsi"/>
          <w:color w:val="000000"/>
          <w:sz w:val="14"/>
          <w:szCs w:val="16"/>
        </w:rPr>
        <w:t xml:space="preserve"> </w:t>
      </w:r>
      <w:r w:rsidR="000C4F1C">
        <w:rPr>
          <w:rFonts w:asciiTheme="minorHAnsi" w:hAnsiTheme="minorHAnsi" w:cstheme="minorHAnsi"/>
          <w:color w:val="000000"/>
          <w:sz w:val="14"/>
          <w:szCs w:val="16"/>
        </w:rPr>
        <w:tab/>
      </w:r>
      <w:r w:rsidRPr="006263CF">
        <w:rPr>
          <w:rFonts w:asciiTheme="minorHAnsi" w:hAnsiTheme="minorHAnsi" w:cstheme="minorHAnsi"/>
          <w:color w:val="000000"/>
          <w:sz w:val="14"/>
          <w:szCs w:val="16"/>
        </w:rPr>
        <w:t>Іміпенем-циластатин та меропенем застосовують із клавулановою кислотою, яка доступна лише у препаратах, поєднаних із амоксициліном. Амоксицилін-клавуланова кислота не вважається додатковим ефективним протитуберкульозним препаратом, тому його не слід застосовувати без іміпенему-циластатину та меропенему.</w:t>
      </w:r>
    </w:p>
    <w:p w:rsidR="005C0A87" w:rsidRPr="006263CF" w:rsidRDefault="005C0A87" w:rsidP="006263CF">
      <w:pPr>
        <w:spacing w:before="878"/>
        <w:ind w:left="221" w:hanging="221"/>
        <w:jc w:val="both"/>
        <w:rPr>
          <w:rFonts w:asciiTheme="minorHAnsi" w:hAnsiTheme="minorHAnsi" w:cstheme="minorHAnsi"/>
          <w:sz w:val="18"/>
        </w:rPr>
        <w:sectPr w:rsidR="005C0A87" w:rsidRPr="006263CF">
          <w:footerReference w:type="default" r:id="rId28"/>
          <w:pgSz w:w="11904" w:h="16838"/>
          <w:pgMar w:top="1344" w:right="1416" w:bottom="1354" w:left="1416"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9240"/>
      </w:tblGrid>
      <w:tr w:rsidR="005C0A87" w:rsidRPr="006263CF" w:rsidTr="000C4F1C">
        <w:trPr>
          <w:trHeight w:hRule="exact" w:val="4251"/>
        </w:trPr>
        <w:tc>
          <w:tcPr>
            <w:tcW w:w="9240" w:type="dxa"/>
            <w:tcBorders>
              <w:top w:val="nil"/>
              <w:left w:val="nil"/>
              <w:bottom w:val="nil"/>
              <w:right w:val="nil"/>
            </w:tcBorders>
            <w:shd w:val="clear" w:color="auto" w:fill="FFFFFF"/>
          </w:tcPr>
          <w:p w:rsidR="005C0A87" w:rsidRPr="006263CF" w:rsidRDefault="007E6088" w:rsidP="006263CF">
            <w:pPr>
              <w:rPr>
                <w:rFonts w:asciiTheme="minorHAnsi" w:hAnsiTheme="minorHAnsi" w:cstheme="minorHAnsi"/>
                <w:sz w:val="18"/>
              </w:rPr>
            </w:pPr>
            <w:r w:rsidRPr="006263CF">
              <w:rPr>
                <w:rFonts w:asciiTheme="minorHAnsi" w:hAnsiTheme="minorHAnsi" w:cstheme="minorHAnsi"/>
                <w:noProof/>
                <w:sz w:val="18"/>
              </w:rPr>
              <w:lastRenderedPageBreak/>
              <mc:AlternateContent>
                <mc:Choice Requires="wps">
                  <w:drawing>
                    <wp:anchor distT="0" distB="0" distL="114300" distR="114300" simplePos="0" relativeHeight="251671552" behindDoc="0" locked="0" layoutInCell="1" allowOverlap="1" wp14:anchorId="0E68EA4C" wp14:editId="69F12765">
                      <wp:simplePos x="0" y="0"/>
                      <wp:positionH relativeFrom="page">
                        <wp:posOffset>97790</wp:posOffset>
                      </wp:positionH>
                      <wp:positionV relativeFrom="page">
                        <wp:posOffset>267335</wp:posOffset>
                      </wp:positionV>
                      <wp:extent cx="5180965" cy="204470"/>
                      <wp:effectExtent l="0" t="0" r="635" b="5080"/>
                      <wp:wrapNone/>
                      <wp:docPr id="13" name="Поле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0965" cy="204470"/>
                              </a:xfrm>
                              <a:prstGeom prst="rect">
                                <a:avLst/>
                              </a:prstGeom>
                              <a:solidFill>
                                <a:srgbClr val="1F61AA"/>
                              </a:solidFill>
                              <a:ln w="6350">
                                <a:noFill/>
                              </a:ln>
                              <a:effectLst/>
                            </wps:spPr>
                            <wps:txbx>
                              <w:txbxContent>
                                <w:p w:rsidR="00395867" w:rsidRPr="000C4F1C" w:rsidRDefault="00395867" w:rsidP="000C4F1C">
                                  <w:pPr>
                                    <w:rPr>
                                      <w:rFonts w:asciiTheme="minorHAnsi" w:hAnsiTheme="minorHAnsi" w:cstheme="minorHAnsi"/>
                                      <w:sz w:val="16"/>
                                    </w:rPr>
                                  </w:pPr>
                                  <w:r w:rsidRPr="000C4F1C">
                                    <w:rPr>
                                      <w:rFonts w:asciiTheme="minorHAnsi" w:hAnsiTheme="minorHAnsi" w:cstheme="minorHAnsi"/>
                                      <w:b/>
                                      <w:bCs/>
                                      <w:color w:val="FFFFFF"/>
                                      <w:sz w:val="22"/>
                                      <w:szCs w:val="22"/>
                                    </w:rPr>
                                    <w:t>Вставка 6.1. Коротке позначення для опису схем 2-го ряду для MР/Риф-ТБ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8EA4C" id="_x0000_s1031" type="#_x0000_t202" style="position:absolute;margin-left:7.7pt;margin-top:21.05pt;width:407.95pt;height:16.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" fillcolor="#1f61aa" stroked="f" strokeweight=".5pt">
                      <v:textbox inset="0,0,0,0">
                        <w:txbxContent>
                          <w:p w:rsidR="00395867" w:rsidRPr="000C4F1C" w:rsidRDefault="00395867" w:rsidP="000C4F1C">
                            <w:pPr>
                              <w:rPr>
                                <w:rFonts w:asciiTheme="minorHAnsi" w:hAnsiTheme="minorHAnsi" w:cstheme="minorHAnsi"/>
                                <w:sz w:val="16"/>
                              </w:rPr>
                            </w:pPr>
                            <w:r w:rsidRPr="000C4F1C">
                              <w:rPr>
                                <w:rFonts w:asciiTheme="minorHAnsi" w:hAnsiTheme="minorHAnsi" w:cstheme="minorHAnsi"/>
                                <w:b/>
                                <w:bCs/>
                                <w:color w:val="FFFFFF"/>
                                <w:sz w:val="22"/>
                                <w:szCs w:val="22"/>
                              </w:rPr>
                              <w:t>Вставка 6.1. Коротке позначення для опису схем 2-го ряду для MР/Риф-ТБ</w:t>
                            </w:r>
                          </w:p>
                        </w:txbxContent>
                      </v:textbox>
                      <w10:wrap anchorx="page" anchory="page"/>
                    </v:shape>
                  </w:pict>
                </mc:Fallback>
              </mc:AlternateContent>
            </w:r>
            <w:r w:rsidRPr="006263CF">
              <w:rPr>
                <w:rFonts w:asciiTheme="minorHAnsi" w:hAnsiTheme="minorHAnsi" w:cstheme="minorHAnsi"/>
                <w:noProof/>
                <w:sz w:val="18"/>
              </w:rPr>
              <mc:AlternateContent>
                <mc:Choice Requires="wps">
                  <w:drawing>
                    <wp:anchor distT="0" distB="0" distL="114300" distR="114300" simplePos="0" relativeHeight="251670528" behindDoc="0" locked="0" layoutInCell="1" allowOverlap="1" wp14:anchorId="638139F6" wp14:editId="6F997E43">
                      <wp:simplePos x="0" y="0"/>
                      <wp:positionH relativeFrom="page">
                        <wp:posOffset>281305</wp:posOffset>
                      </wp:positionH>
                      <wp:positionV relativeFrom="page">
                        <wp:posOffset>621030</wp:posOffset>
                      </wp:positionV>
                      <wp:extent cx="5412740" cy="1838325"/>
                      <wp:effectExtent l="0" t="0" r="0" b="9525"/>
                      <wp:wrapNone/>
                      <wp:docPr id="12" name="Поле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2740" cy="1838325"/>
                              </a:xfrm>
                              <a:prstGeom prst="rect">
                                <a:avLst/>
                              </a:prstGeom>
                              <a:solidFill>
                                <a:srgbClr val="D7DBEE"/>
                              </a:solidFill>
                              <a:ln w="6350">
                                <a:noFill/>
                              </a:ln>
                              <a:effectLst/>
                            </wps:spPr>
                            <wps:txbx>
                              <w:txbxContent>
                                <w:p w:rsidR="00395867" w:rsidRPr="000C4F1C" w:rsidRDefault="00395867" w:rsidP="000C4F1C">
                                  <w:pPr>
                                    <w:widowControl/>
                                    <w:spacing w:after="160" w:line="221" w:lineRule="atLeast"/>
                                    <w:jc w:val="both"/>
                                    <w:rPr>
                                      <w:rFonts w:asciiTheme="minorHAnsi" w:hAnsiTheme="minorHAnsi" w:cstheme="minorHAnsi"/>
                                      <w:color w:val="000000"/>
                                      <w:szCs w:val="22"/>
                                    </w:rPr>
                                  </w:pPr>
                                  <w:r w:rsidRPr="000C4F1C">
                                    <w:rPr>
                                      <w:rFonts w:asciiTheme="minorHAnsi" w:hAnsiTheme="minorHAnsi" w:cstheme="minorHAnsi"/>
                                      <w:color w:val="000000"/>
                                      <w:szCs w:val="22"/>
                                    </w:rPr>
                                    <w:t xml:space="preserve">Довгострокова схема лікування зазвичай позначається за допомогою скорочень для окремих препаратів та тривалості використання в місяцях; наприклад: </w:t>
                                  </w:r>
                                </w:p>
                                <w:p w:rsidR="00395867" w:rsidRPr="000C4F1C" w:rsidRDefault="00395867" w:rsidP="00445738">
                                  <w:pPr>
                                    <w:widowControl/>
                                    <w:spacing w:after="160" w:line="221" w:lineRule="atLeast"/>
                                    <w:jc w:val="center"/>
                                    <w:rPr>
                                      <w:rFonts w:asciiTheme="minorHAnsi" w:hAnsiTheme="minorHAnsi" w:cstheme="minorHAnsi"/>
                                      <w:color w:val="000000"/>
                                      <w:szCs w:val="22"/>
                                    </w:rPr>
                                  </w:pPr>
                                  <w:r w:rsidRPr="000C4F1C">
                                    <w:rPr>
                                      <w:rFonts w:asciiTheme="minorHAnsi" w:hAnsiTheme="minorHAnsi" w:cstheme="minorHAnsi"/>
                                      <w:b/>
                                      <w:bCs/>
                                      <w:color w:val="000000"/>
                                      <w:szCs w:val="22"/>
                                    </w:rPr>
                                    <w:t xml:space="preserve">18 БДК(6 місяців чи довше)-(ЛФЦ чи МФЦ)-ЛЗД-(КФЗ чи ЦС) </w:t>
                                  </w:r>
                                </w:p>
                                <w:p w:rsidR="00395867" w:rsidRPr="000C4F1C" w:rsidRDefault="00395867" w:rsidP="000C4F1C">
                                  <w:pPr>
                                    <w:jc w:val="both"/>
                                    <w:rPr>
                                      <w:rFonts w:asciiTheme="minorHAnsi" w:hAnsiTheme="minorHAnsi" w:cstheme="minorHAnsi"/>
                                      <w:sz w:val="16"/>
                                    </w:rPr>
                                  </w:pPr>
                                  <w:r w:rsidRPr="000C4F1C">
                                    <w:rPr>
                                      <w:rFonts w:asciiTheme="minorHAnsi" w:hAnsiTheme="minorHAnsi" w:cstheme="minorHAnsi"/>
                                      <w:color w:val="000000"/>
                                      <w:szCs w:val="22"/>
                                    </w:rPr>
                                    <w:t xml:space="preserve">У цьому прикладі перші 6 місяців лікування містять чотири препарати другого ряду. Решта 12 місяців включають ті ж препарати, за винятком бедаквіліну, загальна тривалість до 18 місяців. Усі лікарські препарати, окрім бедаквіліну, надаються 7 днів на тиждень. Бедаквілін, згідно з інструкцією, застосовують щодня протягом перших 2 тижнів і після цього три рази на тиждень (детальніше про дозування див. </w:t>
                                  </w:r>
                                  <w:r w:rsidRPr="000C4F1C">
                                    <w:rPr>
                                      <w:rFonts w:asciiTheme="minorHAnsi" w:hAnsiTheme="minorHAnsi" w:cstheme="minorHAnsi"/>
                                      <w:color w:val="1E5FAA"/>
                                      <w:szCs w:val="22"/>
                                    </w:rPr>
                                    <w:t xml:space="preserve">Додаток I </w:t>
                                  </w:r>
                                  <w:r w:rsidRPr="000C4F1C">
                                    <w:rPr>
                                      <w:rFonts w:asciiTheme="minorHAnsi" w:hAnsiTheme="minorHAnsi" w:cstheme="minorHAnsi"/>
                                      <w:color w:val="000000"/>
                                      <w:szCs w:val="22"/>
                                    </w:rPr>
                                    <w:t>). Схеми лікування без ін'єкційного препарату (тобто виключно орального застосування) вважаються такими, що не мають початкової фази.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139F6" id="_x0000_s1032" type="#_x0000_t202" style="position:absolute;margin-left:22.15pt;margin-top:48.9pt;width:426.2pt;height:144.7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" fillcolor="#d7dbee" stroked="f" strokeweight=".5pt">
                      <v:textbox inset="0,0,0,0">
                        <w:txbxContent>
                          <w:p w:rsidR="00395867" w:rsidRPr="000C4F1C" w:rsidRDefault="00395867" w:rsidP="000C4F1C">
                            <w:pPr>
                              <w:widowControl/>
                              <w:spacing w:after="160" w:line="221" w:lineRule="atLeast"/>
                              <w:jc w:val="both"/>
                              <w:rPr>
                                <w:rFonts w:asciiTheme="minorHAnsi" w:hAnsiTheme="minorHAnsi" w:cstheme="minorHAnsi"/>
                                <w:color w:val="000000"/>
                                <w:szCs w:val="22"/>
                              </w:rPr>
                            </w:pPr>
                            <w:r w:rsidRPr="000C4F1C">
                              <w:rPr>
                                <w:rFonts w:asciiTheme="minorHAnsi" w:hAnsiTheme="minorHAnsi" w:cstheme="minorHAnsi"/>
                                <w:color w:val="000000"/>
                                <w:szCs w:val="22"/>
                              </w:rPr>
                              <w:t xml:space="preserve">Довгострокова схема лікування зазвичай позначається за допомогою скорочень для окремих препаратів та тривалості використання в місяцях; наприклад: </w:t>
                            </w:r>
                          </w:p>
                          <w:p w:rsidR="00395867" w:rsidRPr="000C4F1C" w:rsidRDefault="00395867" w:rsidP="00445738">
                            <w:pPr>
                              <w:widowControl/>
                              <w:spacing w:after="160" w:line="221" w:lineRule="atLeast"/>
                              <w:jc w:val="center"/>
                              <w:rPr>
                                <w:rFonts w:asciiTheme="minorHAnsi" w:hAnsiTheme="minorHAnsi" w:cstheme="minorHAnsi"/>
                                <w:color w:val="000000"/>
                                <w:szCs w:val="22"/>
                              </w:rPr>
                            </w:pPr>
                            <w:r w:rsidRPr="000C4F1C">
                              <w:rPr>
                                <w:rFonts w:asciiTheme="minorHAnsi" w:hAnsiTheme="minorHAnsi" w:cstheme="minorHAnsi"/>
                                <w:b/>
                                <w:bCs/>
                                <w:color w:val="000000"/>
                                <w:szCs w:val="22"/>
                              </w:rPr>
                              <w:t xml:space="preserve">18 БДК(6 місяців чи довше)-(ЛФЦ чи МФЦ)-ЛЗД-(КФЗ чи ЦС) </w:t>
                            </w:r>
                          </w:p>
                          <w:p w:rsidR="00395867" w:rsidRPr="000C4F1C" w:rsidRDefault="00395867" w:rsidP="000C4F1C">
                            <w:pPr>
                              <w:jc w:val="both"/>
                              <w:rPr>
                                <w:rFonts w:asciiTheme="minorHAnsi" w:hAnsiTheme="minorHAnsi" w:cstheme="minorHAnsi"/>
                                <w:sz w:val="16"/>
                              </w:rPr>
                            </w:pPr>
                            <w:r w:rsidRPr="000C4F1C">
                              <w:rPr>
                                <w:rFonts w:asciiTheme="minorHAnsi" w:hAnsiTheme="minorHAnsi" w:cstheme="minorHAnsi"/>
                                <w:color w:val="000000"/>
                                <w:szCs w:val="22"/>
                              </w:rPr>
                              <w:t xml:space="preserve">У цьому прикладі перші 6 місяців лікування містять чотири препарати другого ряду. Решта 12 місяців включають ті ж препарати, за винятком бедаквіліну, загальна тривалість до 18 місяців. Усі лікарські препарати, окрім бедаквіліну, надаються 7 днів на тиждень. Бедаквілін, згідно з інструкцією, застосовують щодня протягом перших 2 тижнів і після цього три рази на тиждень (детальніше про дозування див. </w:t>
                            </w:r>
                            <w:r w:rsidRPr="000C4F1C">
                              <w:rPr>
                                <w:rFonts w:asciiTheme="minorHAnsi" w:hAnsiTheme="minorHAnsi" w:cstheme="minorHAnsi"/>
                                <w:color w:val="1E5FAA"/>
                                <w:szCs w:val="22"/>
                              </w:rPr>
                              <w:t xml:space="preserve">Додаток I </w:t>
                            </w:r>
                            <w:r w:rsidRPr="000C4F1C">
                              <w:rPr>
                                <w:rFonts w:asciiTheme="minorHAnsi" w:hAnsiTheme="minorHAnsi" w:cstheme="minorHAnsi"/>
                                <w:color w:val="000000"/>
                                <w:szCs w:val="22"/>
                              </w:rPr>
                              <w:t>). Схеми лікування без ін'єкційного препарату (тобто виключно орального застосування) вважаються такими, що не мають початкової фази.</w:t>
                            </w:r>
                          </w:p>
                        </w:txbxContent>
                      </v:textbox>
                      <w10:wrap anchorx="page" anchory="page"/>
                    </v:shape>
                  </w:pict>
                </mc:Fallback>
              </mc:AlternateContent>
            </w:r>
            <w:r w:rsidRPr="006263CF">
              <w:rPr>
                <w:rFonts w:asciiTheme="minorHAnsi" w:hAnsiTheme="minorHAnsi" w:cstheme="minorHAnsi"/>
                <w:noProof/>
                <w:sz w:val="18"/>
              </w:rPr>
              <w:drawing>
                <wp:inline distT="0" distB="0" distL="0" distR="0" wp14:anchorId="6E8DBFC1" wp14:editId="4F025336">
                  <wp:extent cx="5864225" cy="2889250"/>
                  <wp:effectExtent l="0" t="0" r="3175"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64225" cy="2889250"/>
                          </a:xfrm>
                          <a:prstGeom prst="rect">
                            <a:avLst/>
                          </a:prstGeom>
                          <a:noFill/>
                          <a:ln>
                            <a:noFill/>
                          </a:ln>
                        </pic:spPr>
                      </pic:pic>
                    </a:graphicData>
                  </a:graphic>
                </wp:inline>
              </w:drawing>
            </w:r>
          </w:p>
        </w:tc>
      </w:tr>
      <w:tr w:rsidR="005C0A87" w:rsidRPr="006263CF">
        <w:trPr>
          <w:trHeight w:hRule="exact" w:val="605"/>
        </w:trPr>
        <w:tc>
          <w:tcPr>
            <w:tcW w:w="9240" w:type="dxa"/>
            <w:tcBorders>
              <w:top w:val="nil"/>
              <w:left w:val="nil"/>
              <w:bottom w:val="nil"/>
              <w:right w:val="nil"/>
            </w:tcBorders>
            <w:shd w:val="clear" w:color="auto" w:fill="FFFFFF"/>
          </w:tcPr>
          <w:p w:rsidR="005C0A87" w:rsidRPr="006263CF" w:rsidRDefault="005C0A87" w:rsidP="006263CF">
            <w:pPr>
              <w:rPr>
                <w:rFonts w:asciiTheme="minorHAnsi" w:hAnsiTheme="minorHAnsi" w:cstheme="minorHAnsi"/>
                <w:sz w:val="18"/>
              </w:rPr>
            </w:pPr>
            <w:bookmarkStart w:id="19" w:name="bookmark18"/>
            <w:r w:rsidRPr="006263CF">
              <w:rPr>
                <w:rFonts w:asciiTheme="minorHAnsi" w:hAnsiTheme="minorHAnsi" w:cstheme="minorHAnsi"/>
                <w:b/>
                <w:bCs/>
                <w:color w:val="1F61AA"/>
                <w:sz w:val="36"/>
                <w:szCs w:val="38"/>
              </w:rPr>
              <w:t>6</w:t>
            </w:r>
            <w:bookmarkEnd w:id="19"/>
            <w:r w:rsidRPr="006263CF">
              <w:rPr>
                <w:rFonts w:asciiTheme="minorHAnsi" w:hAnsiTheme="minorHAnsi" w:cstheme="minorHAnsi"/>
                <w:b/>
                <w:bCs/>
                <w:color w:val="1F61AA"/>
                <w:sz w:val="36"/>
                <w:szCs w:val="38"/>
              </w:rPr>
              <w:t>.1 Придатність</w:t>
            </w:r>
          </w:p>
        </w:tc>
      </w:tr>
    </w:tbl>
    <w:p w:rsidR="005C0A87" w:rsidRPr="006263CF" w:rsidRDefault="005C0A87" w:rsidP="006263CF">
      <w:pPr>
        <w:spacing w:before="48"/>
        <w:ind w:left="53" w:right="115"/>
        <w:jc w:val="both"/>
        <w:rPr>
          <w:rFonts w:asciiTheme="minorHAnsi" w:hAnsiTheme="minorHAnsi" w:cstheme="minorHAnsi"/>
          <w:sz w:val="18"/>
        </w:rPr>
      </w:pPr>
      <w:r w:rsidRPr="006263CF">
        <w:rPr>
          <w:rFonts w:asciiTheme="minorHAnsi" w:hAnsiTheme="minorHAnsi" w:cstheme="minorHAnsi"/>
          <w:color w:val="000000"/>
          <w:szCs w:val="22"/>
        </w:rPr>
        <w:t xml:space="preserve">Будь-який пацієнт (дитина чи дорослий) із MР/Риф-TБ є придатним до лікування за допомогою короткострокової пероральної бедаквіліновмісної схеми лікування MР-TБ, або, якщо за її неможливості використання - довгострокової схеми лікування MР-TБ </w:t>
      </w:r>
      <w:r w:rsidRPr="006263CF">
        <w:rPr>
          <w:rFonts w:asciiTheme="minorHAnsi" w:hAnsiTheme="minorHAnsi" w:cstheme="minorHAnsi"/>
          <w:i/>
          <w:iCs/>
          <w:color w:val="000000"/>
          <w:szCs w:val="22"/>
        </w:rPr>
        <w:t>(1)</w:t>
      </w:r>
      <w:r w:rsidRPr="006263CF">
        <w:rPr>
          <w:rFonts w:asciiTheme="minorHAnsi" w:hAnsiTheme="minorHAnsi" w:cstheme="minorHAnsi"/>
          <w:color w:val="000000"/>
          <w:szCs w:val="22"/>
        </w:rPr>
        <w:t>.</w:t>
      </w:r>
    </w:p>
    <w:p w:rsidR="005C0A87" w:rsidRPr="006263CF" w:rsidRDefault="005C0A87" w:rsidP="000C4F1C">
      <w:pPr>
        <w:spacing w:before="100"/>
        <w:ind w:left="53" w:right="115"/>
        <w:jc w:val="both"/>
        <w:rPr>
          <w:rFonts w:asciiTheme="minorHAnsi" w:hAnsiTheme="minorHAnsi" w:cstheme="minorHAnsi"/>
          <w:sz w:val="18"/>
        </w:rPr>
      </w:pPr>
      <w:r w:rsidRPr="006263CF">
        <w:rPr>
          <w:rFonts w:asciiTheme="minorHAnsi" w:hAnsiTheme="minorHAnsi" w:cstheme="minorHAnsi"/>
          <w:color w:val="000000"/>
          <w:szCs w:val="22"/>
        </w:rPr>
        <w:t>Враховуючи умовність рекомендації щодо використання короткострокової пероральної бедаквіліновмісної схеми лікування MР-TБ, медичний працівник та пацієнт можуть узгодити використання довгострокової схеми лікування, якщо пацієнт має право на короткострокову пероральну бедаквіліновмісну схему лікування MР-TБ на основі індивідуальних обставин цієї особи. Якщо не можна застосувати короткострокову пероральну бедаквіліновмісну схему лікування MР-TБ, пацієнта необхідно повторно оцінити з метою початку довгострокової схеми лікування MР-TБ. Пацієнт, що розпочав короткострокову пероральну бедаквіліновмісну схему лікування MР-TБ, пізніше може бути переведений на довгострокову схему лікування MР-TБ, якщо у цьому виникне потреба. Однак після того, як пацієнт поміщений на довгострокову схему лікування MР-TБ на принаймні 4 тижні, зазвичай цей пацієнт більше не може переходити на короткострокову пероральну бедаквіліновмісну схему лікування MР-TБ, оскільки це 4-тижневе лікування буде представляти собою експозицію лікарських препаратів 2-го ряду.</w:t>
      </w:r>
    </w:p>
    <w:p w:rsidR="005C0A87" w:rsidRPr="006263CF" w:rsidRDefault="005C0A87" w:rsidP="000C4F1C">
      <w:pPr>
        <w:spacing w:before="100"/>
        <w:ind w:left="53" w:right="115"/>
        <w:jc w:val="both"/>
        <w:rPr>
          <w:rFonts w:asciiTheme="minorHAnsi" w:hAnsiTheme="minorHAnsi" w:cstheme="minorHAnsi"/>
          <w:sz w:val="18"/>
        </w:rPr>
      </w:pPr>
      <w:r w:rsidRPr="006263CF">
        <w:rPr>
          <w:rFonts w:asciiTheme="minorHAnsi" w:hAnsiTheme="minorHAnsi" w:cstheme="minorHAnsi"/>
          <w:b/>
          <w:bCs/>
          <w:i/>
          <w:iCs/>
          <w:color w:val="000000"/>
          <w:szCs w:val="22"/>
        </w:rPr>
        <w:t>МР/Риф-ТБ з або без додаткової стійкості</w:t>
      </w:r>
      <w:r w:rsidRPr="006263CF">
        <w:rPr>
          <w:rFonts w:asciiTheme="minorHAnsi" w:hAnsiTheme="minorHAnsi" w:cstheme="minorHAnsi"/>
          <w:color w:val="000000"/>
          <w:szCs w:val="22"/>
        </w:rPr>
        <w:t xml:space="preserve">: Як короткострокова, так і довгострокова схема лікування мають більше ефективності, якщо склад формується на основі ТМЧ. Якщо виявлена стійкість до рифампіцину, слід негайно провести молекулярні тести на стійкість до ізоніазиду, фторхінолонів, щоб повідомити, які лікарські препарати другого ряду слід використовувати для лікування МР/Риф-ТБ. В ідеалі, щоб всі пацієнти з МР/Риф-ТБ тестувалися на стійкість до фторхінолонів як мінімум перед початком лікування МР-ТБ. ТМЧ можна застосовувати для протитуберкульозних лікарських препаратів, для яких зараз є узгоджені надійні та відтворювані методи (наприклад, бедаквілін, лінезолід, клофазимін, деламанід та піразинамід). ТМЧ фенотиповим методом до етамбутолу, циклосерину/теризідону, іміпенему/меропенему, етіонаміду/протіонаміду та </w:t>
      </w:r>
      <w:r w:rsidRPr="006263CF">
        <w:rPr>
          <w:rFonts w:asciiTheme="minorHAnsi" w:hAnsiTheme="minorHAnsi" w:cstheme="minorHAnsi"/>
          <w:i/>
          <w:iCs/>
          <w:color w:val="000000"/>
          <w:szCs w:val="22"/>
        </w:rPr>
        <w:t>п</w:t>
      </w:r>
      <w:r w:rsidRPr="006263CF">
        <w:rPr>
          <w:rFonts w:asciiTheme="minorHAnsi" w:hAnsiTheme="minorHAnsi" w:cstheme="minorHAnsi"/>
          <w:color w:val="000000"/>
          <w:szCs w:val="22"/>
        </w:rPr>
        <w:t xml:space="preserve">аміносаліцилової кислоти є ненадійним та не рекомендується проводити регулярно. Тому можуть знадобитися інші підходи для визначення ймовірності ефективності окремих лікарських препаратів. Якщо один або кілька препаратів не виявляють ефективність, то їх необхідно замінити (або, якщо вони включені до схеми, не вважати ефективними), для того, щоб мати щонайменше чотири ефективних препарати. Розробка довгострокових схем лікування МР-ТБ із додатковою стійкістю до фторхінолонів або інших лікарських засобів 2-го ряду відбувається аналогічно до тієї, що застосовується для інших хворих на МР-ТБ. У всіх національних еталонних лабораторіях, можливо, немає потужностей для виробництва нових та перепрофільованих лікарських засобів 2-го ряду, проте вкрай важливо, щоб цей потенціал був створений якомога швидше </w:t>
      </w:r>
      <w:r w:rsidRPr="006263CF">
        <w:rPr>
          <w:rFonts w:asciiTheme="minorHAnsi" w:hAnsiTheme="minorHAnsi" w:cstheme="minorHAnsi"/>
          <w:i/>
          <w:iCs/>
          <w:color w:val="000000"/>
          <w:szCs w:val="22"/>
        </w:rPr>
        <w:t>(16, 17)</w:t>
      </w:r>
      <w:r w:rsidRPr="006263CF">
        <w:rPr>
          <w:rFonts w:asciiTheme="minorHAnsi" w:hAnsiTheme="minorHAnsi" w:cstheme="minorHAnsi"/>
          <w:color w:val="000000"/>
          <w:szCs w:val="22"/>
        </w:rPr>
        <w:t>.</w:t>
      </w:r>
    </w:p>
    <w:p w:rsidR="000A5DB9" w:rsidRPr="006263CF" w:rsidRDefault="005C0A87" w:rsidP="000C4F1C">
      <w:pPr>
        <w:spacing w:before="100"/>
        <w:ind w:left="53" w:right="115"/>
        <w:jc w:val="both"/>
        <w:rPr>
          <w:rFonts w:asciiTheme="minorHAnsi" w:hAnsiTheme="minorHAnsi" w:cstheme="minorHAnsi"/>
          <w:b/>
          <w:sz w:val="18"/>
        </w:rPr>
      </w:pPr>
      <w:r w:rsidRPr="006263CF">
        <w:rPr>
          <w:rFonts w:asciiTheme="minorHAnsi" w:hAnsiTheme="minorHAnsi" w:cstheme="minorHAnsi"/>
          <w:b/>
          <w:bCs/>
          <w:i/>
          <w:iCs/>
          <w:color w:val="000000"/>
          <w:szCs w:val="22"/>
        </w:rPr>
        <w:t xml:space="preserve">Рифампіцин-резистентний туберкульоз: </w:t>
      </w:r>
      <w:r w:rsidRPr="006263CF">
        <w:rPr>
          <w:rFonts w:asciiTheme="minorHAnsi" w:hAnsiTheme="minorHAnsi" w:cstheme="minorHAnsi"/>
          <w:color w:val="000000"/>
          <w:szCs w:val="22"/>
        </w:rPr>
        <w:t>Будь-який пацієнт із рифампіцин-резистентним туберкульозом (дитина чи дорослий) у якого стійкість до ізоніазиду відсутня чи невідома, має лікуватися за допомогою рекомендованої схеми МР-ТБ. Схема може бути короткостроковою пероральною бедаквіліновмісною, або довгостроковою схемою лікування MР-TБ</w:t>
      </w:r>
    </w:p>
    <w:p w:rsidR="005225B5" w:rsidRPr="006263CF" w:rsidRDefault="005225B5" w:rsidP="006263CF">
      <w:pPr>
        <w:spacing w:before="144"/>
        <w:ind w:left="53" w:right="115"/>
        <w:jc w:val="both"/>
        <w:rPr>
          <w:rFonts w:asciiTheme="minorHAnsi" w:hAnsiTheme="minorHAnsi" w:cstheme="minorHAnsi"/>
          <w:b/>
          <w:sz w:val="18"/>
        </w:rPr>
        <w:sectPr w:rsidR="005225B5" w:rsidRPr="006263CF" w:rsidSect="00445738">
          <w:pgSz w:w="11904" w:h="16838"/>
          <w:pgMar w:top="1330" w:right="1301" w:bottom="993" w:left="1363" w:header="708" w:footer="708" w:gutter="0"/>
          <w:cols w:space="60"/>
          <w:noEndnote/>
        </w:sectPr>
      </w:pPr>
    </w:p>
    <w:p w:rsidR="005225B5" w:rsidRPr="006263CF" w:rsidRDefault="005225B5" w:rsidP="006263CF">
      <w:pPr>
        <w:ind w:left="34" w:right="82"/>
        <w:jc w:val="both"/>
        <w:rPr>
          <w:rFonts w:asciiTheme="minorHAnsi" w:hAnsiTheme="minorHAnsi" w:cstheme="minorHAnsi"/>
          <w:sz w:val="18"/>
        </w:rPr>
      </w:pPr>
      <w:bookmarkStart w:id="20" w:name="bookmark19"/>
      <w:bookmarkEnd w:id="20"/>
      <w:r w:rsidRPr="006263CF">
        <w:rPr>
          <w:rFonts w:asciiTheme="minorHAnsi" w:hAnsiTheme="minorHAnsi" w:cstheme="minorHAnsi"/>
          <w:sz w:val="18"/>
        </w:rPr>
        <w:lastRenderedPageBreak/>
        <w:t>якщо попередня схема лікування не може бути використана.</w:t>
      </w:r>
      <w:r w:rsidRPr="006263CF">
        <w:rPr>
          <w:rFonts w:asciiTheme="minorHAnsi" w:hAnsiTheme="minorHAnsi" w:cstheme="minorHAnsi"/>
          <w:color w:val="000000"/>
          <w:szCs w:val="22"/>
        </w:rPr>
        <w:t xml:space="preserve"> Також було встановлено, що високі дози ізоніазиду є важливими компонентами в педіатричних схемах лікування (15). Незважаючи на те, що високі дози ізоніазиду не включені в групи А-С, його все ж можна застосовувати у пацієнтів з підтвердженою чутливістю або при наявності мутацій, які зазвичай не надають повної стійкості до ізоніазиду.</w:t>
      </w:r>
    </w:p>
    <w:p w:rsidR="005225B5" w:rsidRPr="006263CF" w:rsidRDefault="005225B5" w:rsidP="000C4F1C">
      <w:pPr>
        <w:spacing w:before="278"/>
        <w:ind w:left="34" w:right="31"/>
        <w:rPr>
          <w:rFonts w:asciiTheme="minorHAnsi" w:hAnsiTheme="minorHAnsi" w:cstheme="minorHAnsi"/>
          <w:sz w:val="18"/>
        </w:rPr>
      </w:pPr>
      <w:bookmarkStart w:id="21" w:name="bookmark20"/>
      <w:r w:rsidRPr="006263CF">
        <w:rPr>
          <w:rFonts w:asciiTheme="minorHAnsi" w:hAnsiTheme="minorHAnsi" w:cstheme="minorHAnsi"/>
          <w:b/>
          <w:bCs/>
          <w:color w:val="1F61AA"/>
          <w:sz w:val="36"/>
          <w:szCs w:val="38"/>
        </w:rPr>
        <w:t>6</w:t>
      </w:r>
      <w:bookmarkEnd w:id="21"/>
      <w:r w:rsidRPr="006263CF">
        <w:rPr>
          <w:rFonts w:asciiTheme="minorHAnsi" w:hAnsiTheme="minorHAnsi" w:cstheme="minorHAnsi"/>
          <w:b/>
          <w:bCs/>
          <w:color w:val="1F61AA"/>
          <w:sz w:val="36"/>
          <w:szCs w:val="38"/>
        </w:rPr>
        <w:t>.2 Лікарські препарати, що застосовуються у довготривалих схемах мультирезистентного туберкульозу (МР-ТБ)</w:t>
      </w:r>
    </w:p>
    <w:p w:rsidR="005225B5" w:rsidRPr="006263CF" w:rsidRDefault="005225B5" w:rsidP="006263CF">
      <w:pPr>
        <w:spacing w:before="106"/>
        <w:ind w:left="34" w:right="82"/>
        <w:jc w:val="both"/>
        <w:rPr>
          <w:rFonts w:asciiTheme="minorHAnsi" w:hAnsiTheme="minorHAnsi" w:cstheme="minorHAnsi"/>
          <w:sz w:val="18"/>
        </w:rPr>
      </w:pPr>
      <w:r w:rsidRPr="006263CF">
        <w:rPr>
          <w:rFonts w:asciiTheme="minorHAnsi" w:hAnsiTheme="minorHAnsi" w:cstheme="minorHAnsi"/>
          <w:color w:val="000000"/>
          <w:szCs w:val="22"/>
        </w:rPr>
        <w:t xml:space="preserve">Класифікація лікарських препаратів, які використовуються в схемах лікування МР-ТБ, була переглянута після поновлення на основі фактичних даних настанов ВООЗ до лікарсько-стійкого протитуберкульозного лікування в 2018 році. Лікарські препарати для лікування МР/Риф-ТБ поділяються на Групи А, В і С (Таблиця 6.1) </w:t>
      </w:r>
      <w:r w:rsidRPr="006263CF">
        <w:rPr>
          <w:rFonts w:asciiTheme="minorHAnsi" w:hAnsiTheme="minorHAnsi" w:cstheme="minorHAnsi"/>
          <w:i/>
          <w:iCs/>
          <w:color w:val="000000"/>
          <w:szCs w:val="22"/>
        </w:rPr>
        <w:t>(1)</w:t>
      </w:r>
      <w:r w:rsidRPr="006263CF">
        <w:rPr>
          <w:rFonts w:asciiTheme="minorHAnsi" w:hAnsiTheme="minorHAnsi" w:cstheme="minorHAnsi"/>
          <w:color w:val="000000"/>
          <w:szCs w:val="22"/>
        </w:rPr>
        <w:t>. Ця нова класифікація заснована на класі лікарських засобів і на ступені достовірності даних про ефективність і безпечність (тобто співвідношенні користі/ризику). Проаналізовані дані стосуються переважно дорослих пацієнтів, які отримували схеми лікування в останні роки. У Групах А-С вказані лікарські препарати, які будуть застосовуватися для формування довготривалих схем лікування МР-ТБ (</w:t>
      </w:r>
      <w:r w:rsidRPr="006263CF">
        <w:rPr>
          <w:rFonts w:asciiTheme="minorHAnsi" w:hAnsiTheme="minorHAnsi" w:cstheme="minorHAnsi"/>
          <w:color w:val="1F61AA"/>
          <w:szCs w:val="22"/>
        </w:rPr>
        <w:t>Розділ 6.3</w:t>
      </w:r>
      <w:r w:rsidRPr="006263CF">
        <w:rPr>
          <w:rFonts w:asciiTheme="minorHAnsi" w:hAnsiTheme="minorHAnsi" w:cstheme="minorHAnsi"/>
          <w:color w:val="000000"/>
          <w:szCs w:val="22"/>
        </w:rPr>
        <w:t>). ВООЗ вважає, що в програмних умовах тільки ці лікарські препарати (Групи А-С) грають роль в довготривалих схемах лікування МР-ТБ. На додаток до лікарських засобів з Груп А-С обговорюється потенційна роль клавуланової кислоти, високодозованих ізоніазиду і гатифлоксацину (див. виноски в Таблиці 6.1 і "Інші лікарські препарати" в цьому розділі).</w:t>
      </w:r>
    </w:p>
    <w:p w:rsidR="005225B5" w:rsidRPr="006263CF" w:rsidRDefault="005225B5" w:rsidP="006263CF">
      <w:pPr>
        <w:spacing w:before="259"/>
        <w:ind w:left="34"/>
        <w:rPr>
          <w:rFonts w:asciiTheme="minorHAnsi" w:hAnsiTheme="minorHAnsi" w:cstheme="minorHAnsi"/>
          <w:sz w:val="18"/>
        </w:rPr>
      </w:pPr>
      <w:bookmarkStart w:id="22" w:name="bookmark21"/>
      <w:r w:rsidRPr="006263CF">
        <w:rPr>
          <w:rFonts w:asciiTheme="minorHAnsi" w:hAnsiTheme="minorHAnsi" w:cstheme="minorHAnsi"/>
          <w:b/>
          <w:bCs/>
          <w:color w:val="636466"/>
          <w:szCs w:val="22"/>
        </w:rPr>
        <w:t>T</w:t>
      </w:r>
      <w:bookmarkEnd w:id="22"/>
      <w:r w:rsidRPr="006263CF">
        <w:rPr>
          <w:rFonts w:asciiTheme="minorHAnsi" w:hAnsiTheme="minorHAnsi" w:cstheme="minorHAnsi"/>
          <w:b/>
          <w:bCs/>
          <w:color w:val="636466"/>
          <w:szCs w:val="22"/>
        </w:rPr>
        <w:t>аблиця 6.1. Групування лікарських препаратів, рекомендованих до застосування при довготривалій МР-ТБ</w:t>
      </w:r>
    </w:p>
    <w:p w:rsidR="005225B5" w:rsidRPr="006263CF" w:rsidRDefault="005225B5" w:rsidP="006263CF">
      <w:pPr>
        <w:ind w:left="34"/>
        <w:rPr>
          <w:rFonts w:asciiTheme="minorHAnsi" w:hAnsiTheme="minorHAnsi" w:cstheme="minorHAnsi"/>
          <w:sz w:val="18"/>
        </w:rPr>
      </w:pPr>
      <w:r w:rsidRPr="006263CF">
        <w:rPr>
          <w:rFonts w:asciiTheme="minorHAnsi" w:hAnsiTheme="minorHAnsi" w:cstheme="minorHAnsi"/>
          <w:b/>
          <w:bCs/>
          <w:color w:val="636466"/>
          <w:szCs w:val="22"/>
        </w:rPr>
        <w:t>схемі лікування МР-ТБ</w:t>
      </w:r>
      <w:r w:rsidRPr="006263CF">
        <w:rPr>
          <w:rFonts w:asciiTheme="minorHAnsi" w:hAnsiTheme="minorHAnsi" w:cstheme="minorHAnsi"/>
          <w:b/>
          <w:bCs/>
          <w:color w:val="636466"/>
          <w:szCs w:val="22"/>
          <w:vertAlign w:val="superscript"/>
        </w:rPr>
        <w:t>a</w:t>
      </w:r>
    </w:p>
    <w:p w:rsidR="005225B5" w:rsidRPr="006263CF" w:rsidRDefault="005225B5" w:rsidP="006263CF">
      <w:pPr>
        <w:spacing w:after="182"/>
        <w:rPr>
          <w:rFonts w:asciiTheme="minorHAnsi" w:hAnsiTheme="minorHAnsi" w:cstheme="minorHAnsi"/>
          <w:sz w:val="4"/>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066"/>
        <w:gridCol w:w="3230"/>
        <w:gridCol w:w="1891"/>
      </w:tblGrid>
      <w:tr w:rsidR="005225B5" w:rsidRPr="006263CF" w:rsidTr="001F691B">
        <w:trPr>
          <w:trHeight w:hRule="exact" w:val="437"/>
        </w:trPr>
        <w:tc>
          <w:tcPr>
            <w:tcW w:w="4066" w:type="dxa"/>
            <w:tcBorders>
              <w:left w:val="nil"/>
              <w:bottom w:val="nil"/>
              <w:right w:val="nil"/>
            </w:tcBorders>
            <w:shd w:val="clear" w:color="auto" w:fill="D7DBEE"/>
            <w:vAlign w:val="center"/>
          </w:tcPr>
          <w:p w:rsidR="005225B5" w:rsidRPr="006263CF" w:rsidRDefault="005225B5" w:rsidP="000C4F1C">
            <w:pPr>
              <w:ind w:left="58"/>
              <w:rPr>
                <w:rFonts w:asciiTheme="minorHAnsi" w:hAnsiTheme="minorHAnsi" w:cstheme="minorHAnsi"/>
                <w:sz w:val="18"/>
              </w:rPr>
            </w:pPr>
            <w:r w:rsidRPr="006263CF">
              <w:rPr>
                <w:rFonts w:asciiTheme="minorHAnsi" w:hAnsiTheme="minorHAnsi" w:cstheme="minorHAnsi"/>
                <w:b/>
                <w:bCs/>
                <w:color w:val="000000"/>
                <w:szCs w:val="22"/>
              </w:rPr>
              <w:t>Групи та кроки</w:t>
            </w:r>
          </w:p>
        </w:tc>
        <w:tc>
          <w:tcPr>
            <w:tcW w:w="3230" w:type="dxa"/>
            <w:tcBorders>
              <w:left w:val="nil"/>
              <w:right w:val="nil"/>
            </w:tcBorders>
            <w:shd w:val="clear" w:color="auto" w:fill="D7DBEE"/>
            <w:vAlign w:val="center"/>
          </w:tcPr>
          <w:p w:rsidR="005225B5" w:rsidRPr="006263CF" w:rsidRDefault="005225B5" w:rsidP="000C4F1C">
            <w:pPr>
              <w:ind w:left="58"/>
              <w:rPr>
                <w:rFonts w:asciiTheme="minorHAnsi" w:hAnsiTheme="minorHAnsi" w:cstheme="minorHAnsi"/>
                <w:sz w:val="18"/>
              </w:rPr>
            </w:pPr>
            <w:r w:rsidRPr="006263CF">
              <w:rPr>
                <w:rFonts w:asciiTheme="minorHAnsi" w:hAnsiTheme="minorHAnsi" w:cstheme="minorHAnsi"/>
                <w:b/>
                <w:bCs/>
                <w:color w:val="000000"/>
                <w:szCs w:val="22"/>
              </w:rPr>
              <w:t>Лікарські препарати та абревіатура</w:t>
            </w:r>
          </w:p>
        </w:tc>
        <w:tc>
          <w:tcPr>
            <w:tcW w:w="1891" w:type="dxa"/>
            <w:tcBorders>
              <w:left w:val="nil"/>
              <w:right w:val="nil"/>
            </w:tcBorders>
            <w:shd w:val="clear" w:color="auto" w:fill="D7DBEE"/>
            <w:vAlign w:val="center"/>
          </w:tcPr>
          <w:p w:rsidR="005225B5" w:rsidRPr="006263CF" w:rsidRDefault="005225B5" w:rsidP="000C4F1C">
            <w:pPr>
              <w:ind w:left="58"/>
              <w:rPr>
                <w:rFonts w:asciiTheme="minorHAnsi" w:hAnsiTheme="minorHAnsi" w:cstheme="minorHAnsi"/>
                <w:sz w:val="18"/>
              </w:rPr>
            </w:pPr>
          </w:p>
        </w:tc>
      </w:tr>
      <w:tr w:rsidR="005225B5" w:rsidRPr="006263CF" w:rsidTr="001F691B">
        <w:trPr>
          <w:trHeight w:hRule="exact" w:val="539"/>
        </w:trPr>
        <w:tc>
          <w:tcPr>
            <w:tcW w:w="4066" w:type="dxa"/>
            <w:vMerge w:val="restart"/>
            <w:tcBorders>
              <w:top w:val="nil"/>
              <w:left w:val="nil"/>
              <w:bottom w:val="nil"/>
              <w:right w:val="nil"/>
            </w:tcBorders>
            <w:shd w:val="clear" w:color="auto" w:fill="FFFFFF"/>
          </w:tcPr>
          <w:p w:rsidR="005225B5" w:rsidRPr="006263CF" w:rsidRDefault="005225B5" w:rsidP="000C4F1C">
            <w:pPr>
              <w:spacing w:before="40"/>
              <w:ind w:left="58"/>
              <w:rPr>
                <w:rFonts w:asciiTheme="minorHAnsi" w:hAnsiTheme="minorHAnsi" w:cstheme="minorHAnsi"/>
                <w:sz w:val="18"/>
              </w:rPr>
            </w:pPr>
            <w:r w:rsidRPr="006263CF">
              <w:rPr>
                <w:rFonts w:asciiTheme="minorHAnsi" w:hAnsiTheme="minorHAnsi" w:cstheme="minorHAnsi"/>
                <w:b/>
                <w:bCs/>
                <w:color w:val="000000"/>
                <w:szCs w:val="22"/>
              </w:rPr>
              <w:t>Група А:</w:t>
            </w:r>
          </w:p>
          <w:p w:rsidR="005225B5" w:rsidRPr="006263CF" w:rsidRDefault="005225B5" w:rsidP="000C4F1C">
            <w:pPr>
              <w:spacing w:before="40"/>
              <w:ind w:left="58"/>
              <w:rPr>
                <w:rFonts w:asciiTheme="minorHAnsi" w:hAnsiTheme="minorHAnsi" w:cstheme="minorHAnsi"/>
                <w:sz w:val="18"/>
              </w:rPr>
            </w:pPr>
            <w:r w:rsidRPr="006263CF">
              <w:rPr>
                <w:rFonts w:asciiTheme="minorHAnsi" w:hAnsiTheme="minorHAnsi" w:cstheme="minorHAnsi"/>
                <w:b/>
                <w:bCs/>
                <w:color w:val="000000"/>
                <w:szCs w:val="22"/>
              </w:rPr>
              <w:t>Включити усі три лікарські препарати</w:t>
            </w:r>
          </w:p>
        </w:tc>
        <w:tc>
          <w:tcPr>
            <w:tcW w:w="3230" w:type="dxa"/>
            <w:tcBorders>
              <w:top w:val="nil"/>
              <w:left w:val="nil"/>
              <w:bottom w:val="single" w:sz="4" w:space="0" w:color="1F61AA"/>
              <w:right w:val="nil"/>
            </w:tcBorders>
            <w:shd w:val="clear" w:color="auto" w:fill="FFFFFF"/>
          </w:tcPr>
          <w:p w:rsidR="005225B5" w:rsidRPr="006263CF" w:rsidRDefault="005225B5" w:rsidP="000C4F1C">
            <w:pPr>
              <w:ind w:left="58"/>
              <w:rPr>
                <w:rFonts w:asciiTheme="minorHAnsi" w:hAnsiTheme="minorHAnsi" w:cstheme="minorHAnsi"/>
                <w:sz w:val="18"/>
              </w:rPr>
            </w:pPr>
            <w:r w:rsidRPr="006263CF">
              <w:rPr>
                <w:rFonts w:asciiTheme="minorHAnsi" w:hAnsiTheme="minorHAnsi" w:cstheme="minorHAnsi"/>
                <w:color w:val="000000"/>
                <w:szCs w:val="22"/>
              </w:rPr>
              <w:t xml:space="preserve">Левофлоксацин </w:t>
            </w:r>
            <w:r w:rsidRPr="006263CF">
              <w:rPr>
                <w:rFonts w:asciiTheme="minorHAnsi" w:hAnsiTheme="minorHAnsi" w:cstheme="minorHAnsi"/>
                <w:i/>
                <w:iCs/>
                <w:color w:val="000000"/>
                <w:szCs w:val="22"/>
              </w:rPr>
              <w:t xml:space="preserve">чи </w:t>
            </w:r>
            <w:r w:rsidRPr="006263CF">
              <w:rPr>
                <w:rFonts w:asciiTheme="minorHAnsi" w:hAnsiTheme="minorHAnsi" w:cstheme="minorHAnsi"/>
                <w:color w:val="000000"/>
                <w:szCs w:val="22"/>
              </w:rPr>
              <w:t>моксифлоксацин</w:t>
            </w:r>
          </w:p>
        </w:tc>
        <w:tc>
          <w:tcPr>
            <w:tcW w:w="1891" w:type="dxa"/>
            <w:tcBorders>
              <w:top w:val="nil"/>
              <w:left w:val="nil"/>
              <w:bottom w:val="single" w:sz="4" w:space="0" w:color="1F61AA"/>
              <w:right w:val="nil"/>
            </w:tcBorders>
            <w:shd w:val="clear" w:color="auto" w:fill="FFFFFF"/>
          </w:tcPr>
          <w:p w:rsidR="000C4F1C" w:rsidRDefault="005225B5" w:rsidP="000C4F1C">
            <w:pPr>
              <w:ind w:left="58"/>
              <w:rPr>
                <w:rFonts w:asciiTheme="minorHAnsi" w:hAnsiTheme="minorHAnsi" w:cstheme="minorHAnsi"/>
                <w:color w:val="000000"/>
                <w:szCs w:val="22"/>
              </w:rPr>
            </w:pPr>
            <w:r w:rsidRPr="006263CF">
              <w:rPr>
                <w:rFonts w:asciiTheme="minorHAnsi" w:hAnsiTheme="minorHAnsi" w:cstheme="minorHAnsi"/>
                <w:color w:val="000000"/>
                <w:szCs w:val="22"/>
              </w:rPr>
              <w:t xml:space="preserve">ЛФЦ </w:t>
            </w:r>
          </w:p>
          <w:p w:rsidR="005225B5" w:rsidRPr="006263CF" w:rsidRDefault="005225B5" w:rsidP="000C4F1C">
            <w:pPr>
              <w:ind w:left="58"/>
              <w:rPr>
                <w:rFonts w:asciiTheme="minorHAnsi" w:hAnsiTheme="minorHAnsi" w:cstheme="minorHAnsi"/>
                <w:sz w:val="18"/>
              </w:rPr>
            </w:pPr>
            <w:r w:rsidRPr="006263CF">
              <w:rPr>
                <w:rFonts w:asciiTheme="minorHAnsi" w:hAnsiTheme="minorHAnsi" w:cstheme="minorHAnsi"/>
                <w:color w:val="000000"/>
                <w:szCs w:val="22"/>
              </w:rPr>
              <w:t>МФЦ</w:t>
            </w:r>
          </w:p>
        </w:tc>
      </w:tr>
      <w:tr w:rsidR="005225B5" w:rsidRPr="006263CF" w:rsidTr="001F691B">
        <w:trPr>
          <w:trHeight w:hRule="exact" w:val="456"/>
        </w:trPr>
        <w:tc>
          <w:tcPr>
            <w:tcW w:w="4066" w:type="dxa"/>
            <w:vMerge/>
            <w:tcBorders>
              <w:top w:val="nil"/>
              <w:left w:val="nil"/>
              <w:bottom w:val="nil"/>
              <w:right w:val="nil"/>
            </w:tcBorders>
            <w:shd w:val="clear" w:color="auto" w:fill="FFFFFF"/>
          </w:tcPr>
          <w:p w:rsidR="005225B5" w:rsidRPr="006263CF" w:rsidRDefault="005225B5" w:rsidP="000C4F1C">
            <w:pPr>
              <w:spacing w:before="40"/>
              <w:rPr>
                <w:rFonts w:asciiTheme="minorHAnsi" w:hAnsiTheme="minorHAnsi" w:cstheme="minorHAnsi"/>
                <w:sz w:val="18"/>
              </w:rPr>
            </w:pPr>
          </w:p>
          <w:p w:rsidR="005225B5" w:rsidRPr="006263CF" w:rsidRDefault="005225B5" w:rsidP="000C4F1C">
            <w:pPr>
              <w:spacing w:before="40"/>
              <w:rPr>
                <w:rFonts w:asciiTheme="minorHAnsi" w:hAnsiTheme="minorHAnsi" w:cstheme="minorHAnsi"/>
                <w:sz w:val="18"/>
              </w:rPr>
            </w:pPr>
          </w:p>
        </w:tc>
        <w:tc>
          <w:tcPr>
            <w:tcW w:w="3230" w:type="dxa"/>
            <w:tcBorders>
              <w:top w:val="single" w:sz="4" w:space="0" w:color="1F61AA"/>
              <w:left w:val="nil"/>
              <w:bottom w:val="single" w:sz="4" w:space="0" w:color="1F61AA"/>
              <w:right w:val="nil"/>
            </w:tcBorders>
            <w:shd w:val="clear" w:color="auto" w:fill="FFFFFF"/>
          </w:tcPr>
          <w:p w:rsidR="005225B5" w:rsidRPr="006263CF" w:rsidRDefault="005225B5" w:rsidP="000C4F1C">
            <w:pPr>
              <w:ind w:left="58"/>
              <w:rPr>
                <w:rFonts w:asciiTheme="minorHAnsi" w:hAnsiTheme="minorHAnsi" w:cstheme="minorHAnsi"/>
                <w:sz w:val="18"/>
              </w:rPr>
            </w:pPr>
            <w:r w:rsidRPr="006263CF">
              <w:rPr>
                <w:rFonts w:asciiTheme="minorHAnsi" w:hAnsiTheme="minorHAnsi" w:cstheme="minorHAnsi"/>
                <w:color w:val="000000"/>
                <w:szCs w:val="22"/>
              </w:rPr>
              <w:t>Бедаквілін</w:t>
            </w:r>
            <w:r w:rsidRPr="006263CF">
              <w:rPr>
                <w:rFonts w:asciiTheme="minorHAnsi" w:hAnsiTheme="minorHAnsi" w:cstheme="minorHAnsi"/>
                <w:color w:val="000000"/>
                <w:szCs w:val="22"/>
                <w:vertAlign w:val="superscript"/>
              </w:rPr>
              <w:t>b,c</w:t>
            </w:r>
          </w:p>
        </w:tc>
        <w:tc>
          <w:tcPr>
            <w:tcW w:w="1891" w:type="dxa"/>
            <w:tcBorders>
              <w:top w:val="single" w:sz="4" w:space="0" w:color="1F61AA"/>
              <w:left w:val="nil"/>
              <w:bottom w:val="single" w:sz="4" w:space="0" w:color="1F61AA"/>
              <w:right w:val="nil"/>
            </w:tcBorders>
            <w:shd w:val="clear" w:color="auto" w:fill="FFFFFF"/>
          </w:tcPr>
          <w:p w:rsidR="005225B5" w:rsidRPr="006263CF" w:rsidRDefault="005225B5" w:rsidP="000C4F1C">
            <w:pPr>
              <w:ind w:left="58"/>
              <w:rPr>
                <w:rFonts w:asciiTheme="minorHAnsi" w:hAnsiTheme="minorHAnsi" w:cstheme="minorHAnsi"/>
                <w:sz w:val="18"/>
              </w:rPr>
            </w:pPr>
            <w:r w:rsidRPr="006263CF">
              <w:rPr>
                <w:rFonts w:asciiTheme="minorHAnsi" w:hAnsiTheme="minorHAnsi" w:cstheme="minorHAnsi"/>
                <w:color w:val="000000"/>
                <w:szCs w:val="22"/>
              </w:rPr>
              <w:t>БДК</w:t>
            </w:r>
          </w:p>
        </w:tc>
      </w:tr>
      <w:tr w:rsidR="005225B5" w:rsidRPr="006263CF" w:rsidTr="001F691B">
        <w:trPr>
          <w:trHeight w:hRule="exact" w:val="413"/>
        </w:trPr>
        <w:tc>
          <w:tcPr>
            <w:tcW w:w="4066" w:type="dxa"/>
            <w:vMerge/>
            <w:tcBorders>
              <w:top w:val="nil"/>
              <w:left w:val="nil"/>
              <w:bottom w:val="single" w:sz="4" w:space="0" w:color="1F61AA"/>
              <w:right w:val="nil"/>
            </w:tcBorders>
            <w:shd w:val="clear" w:color="auto" w:fill="FFFFFF"/>
          </w:tcPr>
          <w:p w:rsidR="005225B5" w:rsidRPr="006263CF" w:rsidRDefault="005225B5" w:rsidP="000C4F1C">
            <w:pPr>
              <w:spacing w:before="40"/>
              <w:rPr>
                <w:rFonts w:asciiTheme="minorHAnsi" w:hAnsiTheme="minorHAnsi" w:cstheme="minorHAnsi"/>
                <w:sz w:val="18"/>
              </w:rPr>
            </w:pPr>
          </w:p>
          <w:p w:rsidR="005225B5" w:rsidRPr="006263CF" w:rsidRDefault="005225B5" w:rsidP="000C4F1C">
            <w:pPr>
              <w:spacing w:before="40"/>
              <w:rPr>
                <w:rFonts w:asciiTheme="minorHAnsi" w:hAnsiTheme="minorHAnsi" w:cstheme="minorHAnsi"/>
                <w:sz w:val="18"/>
              </w:rPr>
            </w:pPr>
          </w:p>
        </w:tc>
        <w:tc>
          <w:tcPr>
            <w:tcW w:w="3230" w:type="dxa"/>
            <w:tcBorders>
              <w:top w:val="single" w:sz="4" w:space="0" w:color="1F61AA"/>
              <w:left w:val="nil"/>
              <w:bottom w:val="single" w:sz="4" w:space="0" w:color="1F61AA"/>
              <w:right w:val="nil"/>
            </w:tcBorders>
            <w:shd w:val="clear" w:color="auto" w:fill="FFFFFF"/>
          </w:tcPr>
          <w:p w:rsidR="005225B5" w:rsidRPr="006263CF" w:rsidRDefault="005225B5" w:rsidP="000C4F1C">
            <w:pPr>
              <w:ind w:left="58"/>
              <w:rPr>
                <w:rFonts w:asciiTheme="minorHAnsi" w:hAnsiTheme="minorHAnsi" w:cstheme="minorHAnsi"/>
                <w:sz w:val="18"/>
              </w:rPr>
            </w:pPr>
            <w:r w:rsidRPr="006263CF">
              <w:rPr>
                <w:rFonts w:asciiTheme="minorHAnsi" w:hAnsiTheme="minorHAnsi" w:cstheme="minorHAnsi"/>
                <w:color w:val="000000"/>
                <w:szCs w:val="22"/>
              </w:rPr>
              <w:t>Лінезолід</w:t>
            </w:r>
            <w:r w:rsidRPr="006263CF">
              <w:rPr>
                <w:rFonts w:asciiTheme="minorHAnsi" w:hAnsiTheme="minorHAnsi" w:cstheme="minorHAnsi"/>
                <w:color w:val="000000"/>
                <w:szCs w:val="22"/>
                <w:vertAlign w:val="superscript"/>
              </w:rPr>
              <w:t>d</w:t>
            </w:r>
          </w:p>
        </w:tc>
        <w:tc>
          <w:tcPr>
            <w:tcW w:w="1891" w:type="dxa"/>
            <w:tcBorders>
              <w:top w:val="single" w:sz="4" w:space="0" w:color="1F61AA"/>
              <w:left w:val="nil"/>
              <w:bottom w:val="single" w:sz="4" w:space="0" w:color="1F61AA"/>
              <w:right w:val="nil"/>
            </w:tcBorders>
            <w:shd w:val="clear" w:color="auto" w:fill="FFFFFF"/>
          </w:tcPr>
          <w:p w:rsidR="005225B5" w:rsidRPr="006263CF" w:rsidRDefault="005225B5" w:rsidP="000C4F1C">
            <w:pPr>
              <w:ind w:left="58"/>
              <w:rPr>
                <w:rFonts w:asciiTheme="minorHAnsi" w:hAnsiTheme="minorHAnsi" w:cstheme="minorHAnsi"/>
                <w:sz w:val="18"/>
              </w:rPr>
            </w:pPr>
            <w:r w:rsidRPr="006263CF">
              <w:rPr>
                <w:rFonts w:asciiTheme="minorHAnsi" w:hAnsiTheme="minorHAnsi" w:cstheme="minorHAnsi"/>
                <w:color w:val="000000"/>
                <w:szCs w:val="22"/>
              </w:rPr>
              <w:t>ЛЗД</w:t>
            </w:r>
          </w:p>
        </w:tc>
      </w:tr>
      <w:tr w:rsidR="005225B5" w:rsidRPr="006263CF" w:rsidTr="001F691B">
        <w:trPr>
          <w:trHeight w:hRule="exact" w:val="432"/>
        </w:trPr>
        <w:tc>
          <w:tcPr>
            <w:tcW w:w="4066" w:type="dxa"/>
            <w:vMerge w:val="restart"/>
            <w:tcBorders>
              <w:top w:val="single" w:sz="4" w:space="0" w:color="1F61AA"/>
              <w:left w:val="nil"/>
              <w:bottom w:val="single" w:sz="4" w:space="0" w:color="1F61AA"/>
              <w:right w:val="nil"/>
            </w:tcBorders>
            <w:shd w:val="clear" w:color="auto" w:fill="FFFFFF"/>
          </w:tcPr>
          <w:p w:rsidR="005225B5" w:rsidRPr="006263CF" w:rsidRDefault="005225B5" w:rsidP="000C4F1C">
            <w:pPr>
              <w:spacing w:before="40"/>
              <w:ind w:left="58"/>
              <w:rPr>
                <w:rFonts w:asciiTheme="minorHAnsi" w:hAnsiTheme="minorHAnsi" w:cstheme="minorHAnsi"/>
                <w:sz w:val="18"/>
              </w:rPr>
            </w:pPr>
            <w:r w:rsidRPr="006263CF">
              <w:rPr>
                <w:rFonts w:asciiTheme="minorHAnsi" w:hAnsiTheme="minorHAnsi" w:cstheme="minorHAnsi"/>
                <w:b/>
                <w:bCs/>
                <w:color w:val="000000"/>
                <w:szCs w:val="22"/>
              </w:rPr>
              <w:t>Група B:</w:t>
            </w:r>
          </w:p>
          <w:p w:rsidR="005225B5" w:rsidRPr="006263CF" w:rsidRDefault="005225B5" w:rsidP="000C4F1C">
            <w:pPr>
              <w:spacing w:before="40"/>
              <w:ind w:left="58"/>
              <w:rPr>
                <w:rFonts w:asciiTheme="minorHAnsi" w:hAnsiTheme="minorHAnsi" w:cstheme="minorHAnsi"/>
                <w:sz w:val="18"/>
              </w:rPr>
            </w:pPr>
            <w:r w:rsidRPr="006263CF">
              <w:rPr>
                <w:rFonts w:asciiTheme="minorHAnsi" w:hAnsiTheme="minorHAnsi" w:cstheme="minorHAnsi"/>
                <w:b/>
                <w:bCs/>
                <w:color w:val="000000"/>
                <w:szCs w:val="22"/>
              </w:rPr>
              <w:t>Додати один або обидва лікарських препарати</w:t>
            </w:r>
          </w:p>
        </w:tc>
        <w:tc>
          <w:tcPr>
            <w:tcW w:w="3230" w:type="dxa"/>
            <w:tcBorders>
              <w:top w:val="single" w:sz="4" w:space="0" w:color="1F61AA"/>
              <w:left w:val="nil"/>
              <w:bottom w:val="single" w:sz="4" w:space="0" w:color="1F61AA"/>
              <w:right w:val="nil"/>
            </w:tcBorders>
            <w:shd w:val="clear" w:color="auto" w:fill="FFFFFF"/>
          </w:tcPr>
          <w:p w:rsidR="005225B5" w:rsidRPr="006263CF" w:rsidRDefault="005225B5" w:rsidP="000C4F1C">
            <w:pPr>
              <w:ind w:left="58"/>
              <w:rPr>
                <w:rFonts w:asciiTheme="minorHAnsi" w:hAnsiTheme="minorHAnsi" w:cstheme="minorHAnsi"/>
                <w:sz w:val="18"/>
              </w:rPr>
            </w:pPr>
            <w:r w:rsidRPr="006263CF">
              <w:rPr>
                <w:rFonts w:asciiTheme="minorHAnsi" w:hAnsiTheme="minorHAnsi" w:cstheme="minorHAnsi"/>
                <w:color w:val="000000"/>
                <w:szCs w:val="22"/>
              </w:rPr>
              <w:t>Клофазимін</w:t>
            </w:r>
          </w:p>
        </w:tc>
        <w:tc>
          <w:tcPr>
            <w:tcW w:w="1891" w:type="dxa"/>
            <w:tcBorders>
              <w:top w:val="single" w:sz="4" w:space="0" w:color="1F61AA"/>
              <w:left w:val="nil"/>
              <w:bottom w:val="single" w:sz="4" w:space="0" w:color="1F61AA"/>
              <w:right w:val="nil"/>
            </w:tcBorders>
            <w:shd w:val="clear" w:color="auto" w:fill="FFFFFF"/>
          </w:tcPr>
          <w:p w:rsidR="005225B5" w:rsidRPr="006263CF" w:rsidRDefault="005225B5" w:rsidP="000C4F1C">
            <w:pPr>
              <w:ind w:left="58"/>
              <w:rPr>
                <w:rFonts w:asciiTheme="minorHAnsi" w:hAnsiTheme="minorHAnsi" w:cstheme="minorHAnsi"/>
                <w:sz w:val="18"/>
              </w:rPr>
            </w:pPr>
            <w:r w:rsidRPr="006263CF">
              <w:rPr>
                <w:rFonts w:asciiTheme="minorHAnsi" w:hAnsiTheme="minorHAnsi" w:cstheme="minorHAnsi"/>
                <w:color w:val="000000"/>
                <w:szCs w:val="22"/>
              </w:rPr>
              <w:t>КФЗ</w:t>
            </w:r>
          </w:p>
        </w:tc>
      </w:tr>
      <w:tr w:rsidR="005225B5" w:rsidRPr="006263CF" w:rsidTr="001F691B">
        <w:trPr>
          <w:trHeight w:hRule="exact" w:val="539"/>
        </w:trPr>
        <w:tc>
          <w:tcPr>
            <w:tcW w:w="4066" w:type="dxa"/>
            <w:vMerge/>
            <w:tcBorders>
              <w:top w:val="single" w:sz="6" w:space="0" w:color="auto"/>
              <w:left w:val="nil"/>
              <w:bottom w:val="single" w:sz="4" w:space="0" w:color="1F61AA"/>
              <w:right w:val="nil"/>
            </w:tcBorders>
            <w:shd w:val="clear" w:color="auto" w:fill="FFFFFF"/>
          </w:tcPr>
          <w:p w:rsidR="005225B5" w:rsidRPr="006263CF" w:rsidRDefault="005225B5" w:rsidP="000C4F1C">
            <w:pPr>
              <w:spacing w:before="40"/>
              <w:rPr>
                <w:rFonts w:asciiTheme="minorHAnsi" w:hAnsiTheme="minorHAnsi" w:cstheme="minorHAnsi"/>
                <w:sz w:val="18"/>
              </w:rPr>
            </w:pPr>
          </w:p>
          <w:p w:rsidR="005225B5" w:rsidRPr="006263CF" w:rsidRDefault="005225B5" w:rsidP="000C4F1C">
            <w:pPr>
              <w:spacing w:before="40"/>
              <w:rPr>
                <w:rFonts w:asciiTheme="minorHAnsi" w:hAnsiTheme="minorHAnsi" w:cstheme="minorHAnsi"/>
                <w:sz w:val="18"/>
              </w:rPr>
            </w:pPr>
          </w:p>
        </w:tc>
        <w:tc>
          <w:tcPr>
            <w:tcW w:w="3230" w:type="dxa"/>
            <w:tcBorders>
              <w:top w:val="single" w:sz="4" w:space="0" w:color="1F61AA"/>
              <w:left w:val="nil"/>
              <w:bottom w:val="single" w:sz="4" w:space="0" w:color="1F61AA"/>
              <w:right w:val="nil"/>
            </w:tcBorders>
            <w:shd w:val="clear" w:color="auto" w:fill="FFFFFF"/>
          </w:tcPr>
          <w:p w:rsidR="005225B5" w:rsidRPr="006263CF" w:rsidRDefault="005225B5" w:rsidP="000C4F1C">
            <w:pPr>
              <w:ind w:left="58"/>
              <w:rPr>
                <w:rFonts w:asciiTheme="minorHAnsi" w:hAnsiTheme="minorHAnsi" w:cstheme="minorHAnsi"/>
                <w:sz w:val="18"/>
              </w:rPr>
            </w:pPr>
            <w:r w:rsidRPr="006263CF">
              <w:rPr>
                <w:rFonts w:asciiTheme="minorHAnsi" w:hAnsiTheme="minorHAnsi" w:cstheme="minorHAnsi"/>
                <w:color w:val="000000"/>
                <w:szCs w:val="22"/>
              </w:rPr>
              <w:t xml:space="preserve">Циклосерин </w:t>
            </w:r>
            <w:r w:rsidRPr="006263CF">
              <w:rPr>
                <w:rFonts w:asciiTheme="minorHAnsi" w:hAnsiTheme="minorHAnsi" w:cstheme="minorHAnsi"/>
                <w:i/>
                <w:iCs/>
                <w:color w:val="000000"/>
                <w:szCs w:val="22"/>
              </w:rPr>
              <w:t xml:space="preserve">або </w:t>
            </w:r>
            <w:r w:rsidRPr="006263CF">
              <w:rPr>
                <w:rFonts w:asciiTheme="minorHAnsi" w:hAnsiTheme="minorHAnsi" w:cstheme="minorHAnsi"/>
                <w:color w:val="000000"/>
                <w:szCs w:val="22"/>
              </w:rPr>
              <w:t>теризідон</w:t>
            </w:r>
          </w:p>
        </w:tc>
        <w:tc>
          <w:tcPr>
            <w:tcW w:w="1891" w:type="dxa"/>
            <w:tcBorders>
              <w:top w:val="single" w:sz="4" w:space="0" w:color="1F61AA"/>
              <w:left w:val="nil"/>
              <w:bottom w:val="single" w:sz="4" w:space="0" w:color="1F61AA"/>
              <w:right w:val="nil"/>
            </w:tcBorders>
            <w:shd w:val="clear" w:color="auto" w:fill="FFFFFF"/>
          </w:tcPr>
          <w:p w:rsidR="000C4F1C" w:rsidRDefault="005225B5" w:rsidP="000C4F1C">
            <w:pPr>
              <w:ind w:left="58"/>
              <w:rPr>
                <w:rFonts w:asciiTheme="minorHAnsi" w:hAnsiTheme="minorHAnsi" w:cstheme="minorHAnsi"/>
                <w:color w:val="000000"/>
                <w:sz w:val="18"/>
              </w:rPr>
            </w:pPr>
            <w:r w:rsidRPr="006263CF">
              <w:rPr>
                <w:rFonts w:asciiTheme="minorHAnsi" w:hAnsiTheme="minorHAnsi" w:cstheme="minorHAnsi"/>
                <w:color w:val="000000"/>
                <w:sz w:val="18"/>
              </w:rPr>
              <w:t xml:space="preserve">ЦС </w:t>
            </w:r>
          </w:p>
          <w:p w:rsidR="005225B5" w:rsidRPr="006263CF" w:rsidRDefault="005225B5" w:rsidP="000C4F1C">
            <w:pPr>
              <w:ind w:left="58"/>
              <w:rPr>
                <w:rFonts w:asciiTheme="minorHAnsi" w:hAnsiTheme="minorHAnsi" w:cstheme="minorHAnsi"/>
                <w:sz w:val="18"/>
              </w:rPr>
            </w:pPr>
            <w:r w:rsidRPr="006263CF">
              <w:rPr>
                <w:rFonts w:asciiTheme="minorHAnsi" w:hAnsiTheme="minorHAnsi" w:cstheme="minorHAnsi"/>
                <w:color w:val="000000"/>
                <w:sz w:val="18"/>
              </w:rPr>
              <w:t>ТЗ д</w:t>
            </w:r>
          </w:p>
        </w:tc>
      </w:tr>
      <w:tr w:rsidR="005225B5" w:rsidRPr="006263CF" w:rsidTr="001F691B">
        <w:trPr>
          <w:trHeight w:hRule="exact" w:val="432"/>
        </w:trPr>
        <w:tc>
          <w:tcPr>
            <w:tcW w:w="4066" w:type="dxa"/>
            <w:vMerge w:val="restart"/>
            <w:tcBorders>
              <w:top w:val="single" w:sz="4" w:space="0" w:color="1F61AA"/>
              <w:left w:val="nil"/>
              <w:bottom w:val="nil"/>
              <w:right w:val="nil"/>
            </w:tcBorders>
            <w:shd w:val="clear" w:color="auto" w:fill="FFFFFF"/>
          </w:tcPr>
          <w:p w:rsidR="005225B5" w:rsidRPr="006263CF" w:rsidRDefault="005225B5" w:rsidP="000C4F1C">
            <w:pPr>
              <w:spacing w:before="40"/>
              <w:ind w:left="58"/>
              <w:rPr>
                <w:rFonts w:asciiTheme="minorHAnsi" w:hAnsiTheme="minorHAnsi" w:cstheme="minorHAnsi"/>
                <w:sz w:val="18"/>
              </w:rPr>
            </w:pPr>
            <w:r w:rsidRPr="006263CF">
              <w:rPr>
                <w:rFonts w:asciiTheme="minorHAnsi" w:hAnsiTheme="minorHAnsi" w:cstheme="minorHAnsi"/>
                <w:b/>
                <w:bCs/>
                <w:color w:val="000000"/>
                <w:szCs w:val="22"/>
              </w:rPr>
              <w:t>Група C:</w:t>
            </w:r>
          </w:p>
          <w:p w:rsidR="005225B5" w:rsidRPr="006263CF" w:rsidRDefault="005225B5" w:rsidP="000C4F1C">
            <w:pPr>
              <w:spacing w:before="40"/>
              <w:ind w:left="58" w:right="14"/>
              <w:rPr>
                <w:rFonts w:asciiTheme="minorHAnsi" w:hAnsiTheme="minorHAnsi" w:cstheme="minorHAnsi"/>
                <w:sz w:val="18"/>
              </w:rPr>
            </w:pPr>
            <w:r w:rsidRPr="006263CF">
              <w:rPr>
                <w:rFonts w:asciiTheme="minorHAnsi" w:hAnsiTheme="minorHAnsi" w:cstheme="minorHAnsi"/>
                <w:b/>
                <w:bCs/>
                <w:color w:val="000000"/>
                <w:szCs w:val="22"/>
              </w:rPr>
              <w:t>Додати, щоб завершити схему лікування, і коли не можна використовувати лікарські препарати з Груп А та В</w:t>
            </w:r>
          </w:p>
        </w:tc>
        <w:tc>
          <w:tcPr>
            <w:tcW w:w="3230" w:type="dxa"/>
            <w:tcBorders>
              <w:top w:val="single" w:sz="4" w:space="0" w:color="1F61AA"/>
              <w:left w:val="nil"/>
              <w:bottom w:val="single" w:sz="4" w:space="0" w:color="1F61AA"/>
              <w:right w:val="nil"/>
            </w:tcBorders>
            <w:shd w:val="clear" w:color="auto" w:fill="FFFFFF"/>
          </w:tcPr>
          <w:p w:rsidR="005225B5" w:rsidRPr="006263CF" w:rsidRDefault="005225B5" w:rsidP="000C4F1C">
            <w:pPr>
              <w:ind w:left="58"/>
              <w:rPr>
                <w:rFonts w:asciiTheme="minorHAnsi" w:hAnsiTheme="minorHAnsi" w:cstheme="minorHAnsi"/>
                <w:sz w:val="18"/>
              </w:rPr>
            </w:pPr>
            <w:r w:rsidRPr="006263CF">
              <w:rPr>
                <w:rFonts w:asciiTheme="minorHAnsi" w:hAnsiTheme="minorHAnsi" w:cstheme="minorHAnsi"/>
                <w:color w:val="000000"/>
                <w:szCs w:val="22"/>
              </w:rPr>
              <w:t>Етамбутол</w:t>
            </w:r>
          </w:p>
        </w:tc>
        <w:tc>
          <w:tcPr>
            <w:tcW w:w="1891" w:type="dxa"/>
            <w:tcBorders>
              <w:top w:val="single" w:sz="4" w:space="0" w:color="1F61AA"/>
              <w:left w:val="nil"/>
              <w:bottom w:val="single" w:sz="4" w:space="0" w:color="1F61AA"/>
              <w:right w:val="nil"/>
            </w:tcBorders>
            <w:shd w:val="clear" w:color="auto" w:fill="FFFFFF"/>
          </w:tcPr>
          <w:p w:rsidR="005225B5" w:rsidRPr="006263CF" w:rsidRDefault="005225B5" w:rsidP="000C4F1C">
            <w:pPr>
              <w:ind w:left="58"/>
              <w:rPr>
                <w:rFonts w:asciiTheme="minorHAnsi" w:hAnsiTheme="minorHAnsi" w:cstheme="minorHAnsi"/>
                <w:sz w:val="18"/>
              </w:rPr>
            </w:pPr>
            <w:r w:rsidRPr="006263CF">
              <w:rPr>
                <w:rFonts w:asciiTheme="minorHAnsi" w:hAnsiTheme="minorHAnsi" w:cstheme="minorHAnsi"/>
                <w:color w:val="000000"/>
                <w:szCs w:val="22"/>
              </w:rPr>
              <w:t>E</w:t>
            </w:r>
          </w:p>
        </w:tc>
      </w:tr>
      <w:tr w:rsidR="005225B5" w:rsidRPr="006263CF" w:rsidTr="001F691B">
        <w:trPr>
          <w:trHeight w:hRule="exact" w:val="432"/>
        </w:trPr>
        <w:tc>
          <w:tcPr>
            <w:tcW w:w="4066" w:type="dxa"/>
            <w:vMerge/>
            <w:tcBorders>
              <w:top w:val="nil"/>
              <w:left w:val="nil"/>
              <w:bottom w:val="nil"/>
              <w:right w:val="nil"/>
            </w:tcBorders>
            <w:shd w:val="clear" w:color="auto" w:fill="FFFFFF"/>
          </w:tcPr>
          <w:p w:rsidR="005225B5" w:rsidRPr="006263CF" w:rsidRDefault="005225B5" w:rsidP="006263CF">
            <w:pPr>
              <w:rPr>
                <w:rFonts w:asciiTheme="minorHAnsi" w:hAnsiTheme="minorHAnsi" w:cstheme="minorHAnsi"/>
                <w:sz w:val="18"/>
              </w:rPr>
            </w:pPr>
          </w:p>
          <w:p w:rsidR="005225B5" w:rsidRPr="006263CF" w:rsidRDefault="005225B5" w:rsidP="006263CF">
            <w:pPr>
              <w:rPr>
                <w:rFonts w:asciiTheme="minorHAnsi" w:hAnsiTheme="minorHAnsi" w:cstheme="minorHAnsi"/>
                <w:sz w:val="18"/>
              </w:rPr>
            </w:pPr>
          </w:p>
        </w:tc>
        <w:tc>
          <w:tcPr>
            <w:tcW w:w="3230" w:type="dxa"/>
            <w:tcBorders>
              <w:top w:val="single" w:sz="4" w:space="0" w:color="1F61AA"/>
              <w:left w:val="nil"/>
              <w:bottom w:val="single" w:sz="4" w:space="0" w:color="1F61AA"/>
              <w:right w:val="nil"/>
            </w:tcBorders>
            <w:shd w:val="clear" w:color="auto" w:fill="FFFFFF"/>
          </w:tcPr>
          <w:p w:rsidR="005225B5" w:rsidRPr="006263CF" w:rsidRDefault="005225B5" w:rsidP="000C4F1C">
            <w:pPr>
              <w:ind w:left="58"/>
              <w:rPr>
                <w:rFonts w:asciiTheme="minorHAnsi" w:hAnsiTheme="minorHAnsi" w:cstheme="minorHAnsi"/>
                <w:sz w:val="18"/>
              </w:rPr>
            </w:pPr>
            <w:r w:rsidRPr="006263CF">
              <w:rPr>
                <w:rFonts w:asciiTheme="minorHAnsi" w:hAnsiTheme="minorHAnsi" w:cstheme="minorHAnsi"/>
                <w:color w:val="000000"/>
                <w:szCs w:val="22"/>
              </w:rPr>
              <w:t>Деламанід</w:t>
            </w:r>
            <w:r w:rsidRPr="006263CF">
              <w:rPr>
                <w:rFonts w:asciiTheme="minorHAnsi" w:hAnsiTheme="minorHAnsi" w:cstheme="minorHAnsi"/>
                <w:color w:val="000000"/>
                <w:szCs w:val="22"/>
                <w:vertAlign w:val="superscript"/>
              </w:rPr>
              <w:t>c,e</w:t>
            </w:r>
          </w:p>
        </w:tc>
        <w:tc>
          <w:tcPr>
            <w:tcW w:w="1891" w:type="dxa"/>
            <w:tcBorders>
              <w:top w:val="single" w:sz="4" w:space="0" w:color="1F61AA"/>
              <w:left w:val="nil"/>
              <w:bottom w:val="single" w:sz="4" w:space="0" w:color="1F61AA"/>
              <w:right w:val="nil"/>
            </w:tcBorders>
            <w:shd w:val="clear" w:color="auto" w:fill="FFFFFF"/>
          </w:tcPr>
          <w:p w:rsidR="005225B5" w:rsidRPr="006263CF" w:rsidRDefault="005225B5" w:rsidP="000C4F1C">
            <w:pPr>
              <w:ind w:left="58"/>
              <w:rPr>
                <w:rFonts w:asciiTheme="minorHAnsi" w:hAnsiTheme="minorHAnsi" w:cstheme="minorHAnsi"/>
                <w:sz w:val="18"/>
              </w:rPr>
            </w:pPr>
            <w:r w:rsidRPr="006263CF">
              <w:rPr>
                <w:rFonts w:asciiTheme="minorHAnsi" w:hAnsiTheme="minorHAnsi" w:cstheme="minorHAnsi"/>
                <w:color w:val="000000"/>
                <w:szCs w:val="22"/>
              </w:rPr>
              <w:t>ДЛМ</w:t>
            </w:r>
          </w:p>
        </w:tc>
      </w:tr>
      <w:tr w:rsidR="000C4F1C" w:rsidRPr="006263CF" w:rsidTr="001F691B">
        <w:trPr>
          <w:trHeight w:hRule="exact" w:val="432"/>
        </w:trPr>
        <w:tc>
          <w:tcPr>
            <w:tcW w:w="4066" w:type="dxa"/>
            <w:vMerge/>
            <w:tcBorders>
              <w:top w:val="nil"/>
              <w:left w:val="nil"/>
              <w:bottom w:val="nil"/>
              <w:right w:val="nil"/>
            </w:tcBorders>
            <w:shd w:val="clear" w:color="auto" w:fill="FFFFFF"/>
          </w:tcPr>
          <w:p w:rsidR="000C4F1C" w:rsidRPr="006263CF" w:rsidRDefault="000C4F1C" w:rsidP="006263CF">
            <w:pPr>
              <w:rPr>
                <w:rFonts w:asciiTheme="minorHAnsi" w:hAnsiTheme="minorHAnsi" w:cstheme="minorHAnsi"/>
                <w:sz w:val="18"/>
              </w:rPr>
            </w:pPr>
          </w:p>
        </w:tc>
        <w:tc>
          <w:tcPr>
            <w:tcW w:w="3230" w:type="dxa"/>
            <w:tcBorders>
              <w:top w:val="single" w:sz="4" w:space="0" w:color="1F61AA"/>
              <w:left w:val="nil"/>
              <w:bottom w:val="single" w:sz="4" w:space="0" w:color="1F61AA"/>
              <w:right w:val="nil"/>
            </w:tcBorders>
            <w:shd w:val="clear" w:color="auto" w:fill="FFFFFF"/>
          </w:tcPr>
          <w:p w:rsidR="000C4F1C" w:rsidRPr="006263CF" w:rsidRDefault="000C4F1C" w:rsidP="000C4F1C">
            <w:pPr>
              <w:ind w:left="58"/>
              <w:rPr>
                <w:rFonts w:asciiTheme="minorHAnsi" w:hAnsiTheme="minorHAnsi" w:cstheme="minorHAnsi"/>
                <w:color w:val="000000"/>
                <w:szCs w:val="22"/>
              </w:rPr>
            </w:pPr>
            <w:r w:rsidRPr="006263CF">
              <w:rPr>
                <w:rFonts w:asciiTheme="minorHAnsi" w:hAnsiTheme="minorHAnsi" w:cstheme="minorHAnsi"/>
                <w:color w:val="000000"/>
                <w:szCs w:val="22"/>
              </w:rPr>
              <w:t>Піразинамід</w:t>
            </w:r>
            <w:r w:rsidRPr="006263CF">
              <w:rPr>
                <w:rFonts w:asciiTheme="minorHAnsi" w:hAnsiTheme="minorHAnsi" w:cstheme="minorHAnsi"/>
                <w:color w:val="000000"/>
                <w:szCs w:val="22"/>
                <w:vertAlign w:val="superscript"/>
              </w:rPr>
              <w:t>f</w:t>
            </w:r>
          </w:p>
        </w:tc>
        <w:tc>
          <w:tcPr>
            <w:tcW w:w="1891" w:type="dxa"/>
            <w:tcBorders>
              <w:top w:val="single" w:sz="4" w:space="0" w:color="1F61AA"/>
              <w:left w:val="nil"/>
              <w:bottom w:val="single" w:sz="4" w:space="0" w:color="1F61AA"/>
              <w:right w:val="nil"/>
            </w:tcBorders>
            <w:shd w:val="clear" w:color="auto" w:fill="FFFFFF"/>
          </w:tcPr>
          <w:p w:rsidR="000C4F1C" w:rsidRPr="006263CF" w:rsidRDefault="000C4F1C" w:rsidP="000C4F1C">
            <w:pPr>
              <w:ind w:left="58"/>
              <w:rPr>
                <w:rFonts w:asciiTheme="minorHAnsi" w:hAnsiTheme="minorHAnsi" w:cstheme="minorHAnsi"/>
                <w:color w:val="000000"/>
                <w:szCs w:val="22"/>
              </w:rPr>
            </w:pPr>
            <w:r w:rsidRPr="006263CF">
              <w:rPr>
                <w:rFonts w:asciiTheme="minorHAnsi" w:hAnsiTheme="minorHAnsi" w:cstheme="minorHAnsi"/>
                <w:color w:val="000000"/>
                <w:szCs w:val="22"/>
              </w:rPr>
              <w:t>З</w:t>
            </w:r>
          </w:p>
        </w:tc>
      </w:tr>
      <w:tr w:rsidR="000C4F1C" w:rsidRPr="006263CF" w:rsidTr="001F691B">
        <w:trPr>
          <w:trHeight w:val="510"/>
        </w:trPr>
        <w:tc>
          <w:tcPr>
            <w:tcW w:w="4066" w:type="dxa"/>
            <w:vMerge/>
            <w:tcBorders>
              <w:top w:val="nil"/>
              <w:left w:val="nil"/>
              <w:bottom w:val="nil"/>
              <w:right w:val="nil"/>
            </w:tcBorders>
            <w:shd w:val="clear" w:color="auto" w:fill="FFFFFF"/>
          </w:tcPr>
          <w:p w:rsidR="000C4F1C" w:rsidRPr="006263CF" w:rsidRDefault="000C4F1C" w:rsidP="006263CF">
            <w:pPr>
              <w:rPr>
                <w:rFonts w:asciiTheme="minorHAnsi" w:hAnsiTheme="minorHAnsi" w:cstheme="minorHAnsi"/>
                <w:sz w:val="18"/>
              </w:rPr>
            </w:pPr>
          </w:p>
        </w:tc>
        <w:tc>
          <w:tcPr>
            <w:tcW w:w="3230" w:type="dxa"/>
            <w:tcBorders>
              <w:top w:val="single" w:sz="4" w:space="0" w:color="1F61AA"/>
              <w:left w:val="nil"/>
              <w:bottom w:val="single" w:sz="4" w:space="0" w:color="1F61AA"/>
              <w:right w:val="nil"/>
            </w:tcBorders>
            <w:shd w:val="clear" w:color="auto" w:fill="FFFFFF"/>
          </w:tcPr>
          <w:p w:rsidR="000C4F1C" w:rsidRPr="006263CF" w:rsidRDefault="000C4F1C" w:rsidP="000C4F1C">
            <w:pPr>
              <w:ind w:left="58"/>
              <w:rPr>
                <w:rFonts w:asciiTheme="minorHAnsi" w:hAnsiTheme="minorHAnsi" w:cstheme="minorHAnsi"/>
                <w:color w:val="000000"/>
                <w:szCs w:val="22"/>
              </w:rPr>
            </w:pPr>
            <w:r w:rsidRPr="006263CF">
              <w:rPr>
                <w:rFonts w:asciiTheme="minorHAnsi" w:hAnsiTheme="minorHAnsi" w:cstheme="minorHAnsi"/>
                <w:color w:val="000000"/>
                <w:szCs w:val="22"/>
              </w:rPr>
              <w:t>Іміпенем-циластатин чи</w:t>
            </w:r>
            <w:r>
              <w:rPr>
                <w:rFonts w:asciiTheme="minorHAnsi" w:hAnsiTheme="minorHAnsi" w:cstheme="minorHAnsi"/>
                <w:color w:val="000000"/>
                <w:szCs w:val="22"/>
              </w:rPr>
              <w:t xml:space="preserve"> </w:t>
            </w:r>
            <w:r w:rsidRPr="006263CF">
              <w:rPr>
                <w:rFonts w:asciiTheme="minorHAnsi" w:hAnsiTheme="minorHAnsi" w:cstheme="minorHAnsi"/>
                <w:color w:val="000000"/>
                <w:szCs w:val="22"/>
              </w:rPr>
              <w:t>меропенем</w:t>
            </w:r>
            <w:r w:rsidRPr="006263CF">
              <w:rPr>
                <w:rFonts w:asciiTheme="minorHAnsi" w:hAnsiTheme="minorHAnsi" w:cstheme="minorHAnsi"/>
                <w:color w:val="000000"/>
                <w:szCs w:val="22"/>
                <w:vertAlign w:val="superscript"/>
              </w:rPr>
              <w:t>g</w:t>
            </w:r>
          </w:p>
        </w:tc>
        <w:tc>
          <w:tcPr>
            <w:tcW w:w="1891" w:type="dxa"/>
            <w:tcBorders>
              <w:top w:val="single" w:sz="4" w:space="0" w:color="1F61AA"/>
              <w:left w:val="nil"/>
              <w:bottom w:val="single" w:sz="4" w:space="0" w:color="1F61AA"/>
              <w:right w:val="nil"/>
            </w:tcBorders>
            <w:shd w:val="clear" w:color="auto" w:fill="FFFFFF"/>
          </w:tcPr>
          <w:p w:rsidR="000C4F1C" w:rsidRPr="006263CF" w:rsidRDefault="000C4F1C" w:rsidP="000C4F1C">
            <w:pPr>
              <w:ind w:left="58" w:right="642"/>
              <w:rPr>
                <w:rFonts w:asciiTheme="minorHAnsi" w:hAnsiTheme="minorHAnsi" w:cstheme="minorHAnsi"/>
                <w:color w:val="000000"/>
                <w:szCs w:val="22"/>
              </w:rPr>
            </w:pPr>
            <w:r w:rsidRPr="006263CF">
              <w:rPr>
                <w:rFonts w:asciiTheme="minorHAnsi" w:hAnsiTheme="minorHAnsi" w:cstheme="minorHAnsi"/>
                <w:color w:val="000000"/>
                <w:szCs w:val="22"/>
              </w:rPr>
              <w:t>Іпм-Цлн</w:t>
            </w:r>
            <w:r>
              <w:rPr>
                <w:rFonts w:asciiTheme="minorHAnsi" w:hAnsiTheme="minorHAnsi" w:cstheme="minorHAnsi"/>
                <w:color w:val="000000"/>
                <w:szCs w:val="22"/>
              </w:rPr>
              <w:t xml:space="preserve"> </w:t>
            </w:r>
            <w:r w:rsidRPr="006263CF">
              <w:rPr>
                <w:rFonts w:asciiTheme="minorHAnsi" w:hAnsiTheme="minorHAnsi" w:cstheme="minorHAnsi"/>
                <w:color w:val="000000"/>
                <w:szCs w:val="22"/>
              </w:rPr>
              <w:t>МПМ</w:t>
            </w:r>
          </w:p>
        </w:tc>
      </w:tr>
      <w:tr w:rsidR="005225B5" w:rsidRPr="006263CF" w:rsidTr="001F691B">
        <w:trPr>
          <w:trHeight w:hRule="exact" w:val="306"/>
        </w:trPr>
        <w:tc>
          <w:tcPr>
            <w:tcW w:w="4066" w:type="dxa"/>
            <w:vMerge/>
            <w:tcBorders>
              <w:top w:val="nil"/>
              <w:left w:val="nil"/>
              <w:bottom w:val="nil"/>
              <w:right w:val="nil"/>
            </w:tcBorders>
            <w:shd w:val="clear" w:color="auto" w:fill="FFFFFF"/>
          </w:tcPr>
          <w:p w:rsidR="005225B5" w:rsidRPr="006263CF" w:rsidRDefault="005225B5" w:rsidP="006263CF">
            <w:pPr>
              <w:rPr>
                <w:rFonts w:asciiTheme="minorHAnsi" w:hAnsiTheme="minorHAnsi" w:cstheme="minorHAnsi"/>
                <w:sz w:val="18"/>
              </w:rPr>
            </w:pPr>
          </w:p>
          <w:p w:rsidR="005225B5" w:rsidRPr="006263CF" w:rsidRDefault="005225B5" w:rsidP="006263CF">
            <w:pPr>
              <w:rPr>
                <w:rFonts w:asciiTheme="minorHAnsi" w:hAnsiTheme="minorHAnsi" w:cstheme="minorHAnsi"/>
                <w:sz w:val="18"/>
              </w:rPr>
            </w:pPr>
          </w:p>
        </w:tc>
        <w:tc>
          <w:tcPr>
            <w:tcW w:w="3230" w:type="dxa"/>
            <w:tcBorders>
              <w:top w:val="single" w:sz="4" w:space="0" w:color="1F61AA"/>
              <w:left w:val="nil"/>
              <w:bottom w:val="nil"/>
              <w:right w:val="nil"/>
            </w:tcBorders>
            <w:shd w:val="clear" w:color="auto" w:fill="FFFFFF"/>
          </w:tcPr>
          <w:p w:rsidR="005225B5" w:rsidRPr="006263CF" w:rsidRDefault="005225B5" w:rsidP="000C4F1C">
            <w:pPr>
              <w:ind w:left="58"/>
              <w:rPr>
                <w:rFonts w:asciiTheme="minorHAnsi" w:hAnsiTheme="minorHAnsi" w:cstheme="minorHAnsi"/>
                <w:sz w:val="18"/>
              </w:rPr>
            </w:pPr>
            <w:r w:rsidRPr="006263CF">
              <w:rPr>
                <w:rFonts w:asciiTheme="minorHAnsi" w:hAnsiTheme="minorHAnsi" w:cstheme="minorHAnsi"/>
                <w:color w:val="000000"/>
                <w:szCs w:val="22"/>
              </w:rPr>
              <w:t>Амікацин</w:t>
            </w:r>
          </w:p>
        </w:tc>
        <w:tc>
          <w:tcPr>
            <w:tcW w:w="1891" w:type="dxa"/>
            <w:tcBorders>
              <w:top w:val="single" w:sz="4" w:space="0" w:color="1F61AA"/>
              <w:left w:val="nil"/>
              <w:bottom w:val="nil"/>
              <w:right w:val="nil"/>
            </w:tcBorders>
            <w:shd w:val="clear" w:color="auto" w:fill="FFFFFF"/>
          </w:tcPr>
          <w:p w:rsidR="005225B5" w:rsidRPr="006263CF" w:rsidRDefault="005225B5" w:rsidP="000C4F1C">
            <w:pPr>
              <w:ind w:left="58"/>
              <w:rPr>
                <w:rFonts w:asciiTheme="minorHAnsi" w:hAnsiTheme="minorHAnsi" w:cstheme="minorHAnsi"/>
                <w:sz w:val="18"/>
              </w:rPr>
            </w:pPr>
            <w:r w:rsidRPr="006263CF">
              <w:rPr>
                <w:rFonts w:asciiTheme="minorHAnsi" w:hAnsiTheme="minorHAnsi" w:cstheme="minorHAnsi"/>
                <w:color w:val="000000"/>
                <w:szCs w:val="22"/>
              </w:rPr>
              <w:t>Ам</w:t>
            </w:r>
          </w:p>
        </w:tc>
      </w:tr>
      <w:tr w:rsidR="005225B5" w:rsidRPr="006263CF" w:rsidTr="001F691B">
        <w:trPr>
          <w:trHeight w:hRule="exact" w:val="360"/>
        </w:trPr>
        <w:tc>
          <w:tcPr>
            <w:tcW w:w="4066" w:type="dxa"/>
            <w:vMerge/>
            <w:tcBorders>
              <w:top w:val="nil"/>
              <w:left w:val="nil"/>
              <w:bottom w:val="nil"/>
              <w:right w:val="nil"/>
            </w:tcBorders>
            <w:shd w:val="clear" w:color="auto" w:fill="FFFFFF"/>
          </w:tcPr>
          <w:p w:rsidR="005225B5" w:rsidRPr="006263CF" w:rsidRDefault="005225B5" w:rsidP="006263CF">
            <w:pPr>
              <w:rPr>
                <w:rFonts w:asciiTheme="minorHAnsi" w:hAnsiTheme="minorHAnsi" w:cstheme="minorHAnsi"/>
                <w:sz w:val="18"/>
              </w:rPr>
            </w:pPr>
          </w:p>
          <w:p w:rsidR="005225B5" w:rsidRPr="006263CF" w:rsidRDefault="005225B5" w:rsidP="006263CF">
            <w:pPr>
              <w:rPr>
                <w:rFonts w:asciiTheme="minorHAnsi" w:hAnsiTheme="minorHAnsi" w:cstheme="minorHAnsi"/>
                <w:sz w:val="18"/>
              </w:rPr>
            </w:pPr>
          </w:p>
        </w:tc>
        <w:tc>
          <w:tcPr>
            <w:tcW w:w="3230" w:type="dxa"/>
            <w:tcBorders>
              <w:top w:val="nil"/>
              <w:left w:val="nil"/>
              <w:bottom w:val="single" w:sz="4" w:space="0" w:color="1F61AA"/>
              <w:right w:val="nil"/>
            </w:tcBorders>
            <w:shd w:val="clear" w:color="auto" w:fill="FFFFFF"/>
          </w:tcPr>
          <w:p w:rsidR="005225B5" w:rsidRPr="006263CF" w:rsidRDefault="005225B5" w:rsidP="000C4F1C">
            <w:pPr>
              <w:ind w:left="58"/>
              <w:rPr>
                <w:rFonts w:asciiTheme="minorHAnsi" w:hAnsiTheme="minorHAnsi" w:cstheme="minorHAnsi"/>
                <w:sz w:val="18"/>
              </w:rPr>
            </w:pPr>
            <w:r w:rsidRPr="006263CF">
              <w:rPr>
                <w:rFonts w:asciiTheme="minorHAnsi" w:hAnsiTheme="minorHAnsi" w:cstheme="minorHAnsi"/>
                <w:color w:val="000000"/>
                <w:szCs w:val="22"/>
              </w:rPr>
              <w:t>(чи Стрептоміцин)</w:t>
            </w:r>
            <w:r w:rsidRPr="006263CF">
              <w:rPr>
                <w:rFonts w:asciiTheme="minorHAnsi" w:hAnsiTheme="minorHAnsi" w:cstheme="minorHAnsi"/>
                <w:color w:val="000000"/>
                <w:szCs w:val="22"/>
                <w:vertAlign w:val="superscript"/>
              </w:rPr>
              <w:t>h</w:t>
            </w:r>
          </w:p>
        </w:tc>
        <w:tc>
          <w:tcPr>
            <w:tcW w:w="1891" w:type="dxa"/>
            <w:tcBorders>
              <w:top w:val="nil"/>
              <w:left w:val="nil"/>
              <w:bottom w:val="single" w:sz="4" w:space="0" w:color="1F61AA"/>
              <w:right w:val="nil"/>
            </w:tcBorders>
            <w:shd w:val="clear" w:color="auto" w:fill="FFFFFF"/>
          </w:tcPr>
          <w:p w:rsidR="005225B5" w:rsidRPr="006263CF" w:rsidRDefault="005225B5" w:rsidP="000C4F1C">
            <w:pPr>
              <w:ind w:left="58"/>
              <w:rPr>
                <w:rFonts w:asciiTheme="minorHAnsi" w:hAnsiTheme="minorHAnsi" w:cstheme="minorHAnsi"/>
                <w:sz w:val="18"/>
              </w:rPr>
            </w:pPr>
            <w:r w:rsidRPr="006263CF">
              <w:rPr>
                <w:rFonts w:asciiTheme="minorHAnsi" w:hAnsiTheme="minorHAnsi" w:cstheme="minorHAnsi"/>
                <w:color w:val="000000"/>
                <w:szCs w:val="22"/>
              </w:rPr>
              <w:t>(С)</w:t>
            </w:r>
          </w:p>
        </w:tc>
      </w:tr>
      <w:tr w:rsidR="005225B5" w:rsidRPr="006263CF" w:rsidTr="001F691B">
        <w:trPr>
          <w:trHeight w:hRule="exact" w:val="614"/>
        </w:trPr>
        <w:tc>
          <w:tcPr>
            <w:tcW w:w="4066" w:type="dxa"/>
            <w:vMerge/>
            <w:tcBorders>
              <w:top w:val="nil"/>
              <w:left w:val="nil"/>
              <w:bottom w:val="nil"/>
              <w:right w:val="nil"/>
            </w:tcBorders>
            <w:shd w:val="clear" w:color="auto" w:fill="FFFFFF"/>
          </w:tcPr>
          <w:p w:rsidR="005225B5" w:rsidRPr="006263CF" w:rsidRDefault="005225B5" w:rsidP="006263CF">
            <w:pPr>
              <w:rPr>
                <w:rFonts w:asciiTheme="minorHAnsi" w:hAnsiTheme="minorHAnsi" w:cstheme="minorHAnsi"/>
                <w:sz w:val="18"/>
              </w:rPr>
            </w:pPr>
          </w:p>
          <w:p w:rsidR="005225B5" w:rsidRPr="006263CF" w:rsidRDefault="005225B5" w:rsidP="006263CF">
            <w:pPr>
              <w:rPr>
                <w:rFonts w:asciiTheme="minorHAnsi" w:hAnsiTheme="minorHAnsi" w:cstheme="minorHAnsi"/>
                <w:sz w:val="18"/>
              </w:rPr>
            </w:pPr>
          </w:p>
        </w:tc>
        <w:tc>
          <w:tcPr>
            <w:tcW w:w="3230" w:type="dxa"/>
            <w:tcBorders>
              <w:top w:val="single" w:sz="4" w:space="0" w:color="1F61AA"/>
              <w:left w:val="nil"/>
              <w:bottom w:val="single" w:sz="4" w:space="0" w:color="1F61AA"/>
              <w:right w:val="nil"/>
            </w:tcBorders>
            <w:shd w:val="clear" w:color="auto" w:fill="FFFFFF"/>
          </w:tcPr>
          <w:p w:rsidR="000C4F1C" w:rsidRDefault="005225B5" w:rsidP="000C4F1C">
            <w:pPr>
              <w:ind w:left="58"/>
              <w:rPr>
                <w:rFonts w:asciiTheme="minorHAnsi" w:hAnsiTheme="minorHAnsi" w:cstheme="minorHAnsi"/>
                <w:i/>
                <w:iCs/>
                <w:color w:val="000000"/>
                <w:szCs w:val="22"/>
              </w:rPr>
            </w:pPr>
            <w:r w:rsidRPr="006263CF">
              <w:rPr>
                <w:rFonts w:asciiTheme="minorHAnsi" w:hAnsiTheme="minorHAnsi" w:cstheme="minorHAnsi"/>
                <w:color w:val="000000"/>
                <w:szCs w:val="22"/>
              </w:rPr>
              <w:t xml:space="preserve">Етіонамід </w:t>
            </w:r>
            <w:r w:rsidRPr="006263CF">
              <w:rPr>
                <w:rFonts w:asciiTheme="minorHAnsi" w:hAnsiTheme="minorHAnsi" w:cstheme="minorHAnsi"/>
                <w:i/>
                <w:iCs/>
                <w:color w:val="000000"/>
                <w:szCs w:val="22"/>
              </w:rPr>
              <w:t>чи</w:t>
            </w:r>
            <w:r w:rsidR="000C4F1C">
              <w:rPr>
                <w:rFonts w:asciiTheme="minorHAnsi" w:hAnsiTheme="minorHAnsi" w:cstheme="minorHAnsi"/>
                <w:i/>
                <w:iCs/>
                <w:color w:val="000000"/>
                <w:szCs w:val="22"/>
              </w:rPr>
              <w:t xml:space="preserve"> </w:t>
            </w:r>
          </w:p>
          <w:p w:rsidR="005225B5" w:rsidRPr="006263CF" w:rsidRDefault="005225B5" w:rsidP="000C4F1C">
            <w:pPr>
              <w:ind w:left="58"/>
              <w:rPr>
                <w:rFonts w:asciiTheme="minorHAnsi" w:hAnsiTheme="minorHAnsi" w:cstheme="minorHAnsi"/>
                <w:sz w:val="18"/>
              </w:rPr>
            </w:pPr>
            <w:r w:rsidRPr="006263CF">
              <w:rPr>
                <w:rFonts w:asciiTheme="minorHAnsi" w:hAnsiTheme="minorHAnsi" w:cstheme="minorHAnsi"/>
                <w:color w:val="000000"/>
                <w:szCs w:val="22"/>
              </w:rPr>
              <w:t>Протіонамід</w:t>
            </w:r>
            <w:r w:rsidRPr="006263CF">
              <w:rPr>
                <w:rFonts w:asciiTheme="minorHAnsi" w:hAnsiTheme="minorHAnsi" w:cstheme="minorHAnsi"/>
                <w:color w:val="000000"/>
                <w:szCs w:val="22"/>
                <w:vertAlign w:val="superscript"/>
              </w:rPr>
              <w:t>i</w:t>
            </w:r>
          </w:p>
        </w:tc>
        <w:tc>
          <w:tcPr>
            <w:tcW w:w="1891" w:type="dxa"/>
            <w:tcBorders>
              <w:top w:val="single" w:sz="4" w:space="0" w:color="1F61AA"/>
              <w:left w:val="nil"/>
              <w:bottom w:val="single" w:sz="4" w:space="0" w:color="1F61AA"/>
              <w:right w:val="nil"/>
            </w:tcBorders>
            <w:shd w:val="clear" w:color="auto" w:fill="FFFFFF"/>
          </w:tcPr>
          <w:p w:rsidR="005225B5" w:rsidRPr="006263CF" w:rsidRDefault="005225B5" w:rsidP="000C4F1C">
            <w:pPr>
              <w:ind w:left="58"/>
              <w:rPr>
                <w:rFonts w:asciiTheme="minorHAnsi" w:hAnsiTheme="minorHAnsi" w:cstheme="minorHAnsi"/>
                <w:sz w:val="18"/>
              </w:rPr>
            </w:pPr>
            <w:r w:rsidRPr="006263CF">
              <w:rPr>
                <w:rFonts w:asciiTheme="minorHAnsi" w:hAnsiTheme="minorHAnsi" w:cstheme="minorHAnsi"/>
                <w:color w:val="000000"/>
                <w:szCs w:val="22"/>
              </w:rPr>
              <w:t>Ето/Пто</w:t>
            </w:r>
          </w:p>
        </w:tc>
      </w:tr>
      <w:tr w:rsidR="005225B5" w:rsidRPr="006263CF" w:rsidTr="001F691B">
        <w:trPr>
          <w:trHeight w:hRule="exact" w:val="432"/>
        </w:trPr>
        <w:tc>
          <w:tcPr>
            <w:tcW w:w="4066" w:type="dxa"/>
            <w:vMerge/>
            <w:tcBorders>
              <w:top w:val="nil"/>
              <w:left w:val="nil"/>
              <w:bottom w:val="single" w:sz="4" w:space="0" w:color="1F61AA"/>
              <w:right w:val="nil"/>
            </w:tcBorders>
            <w:shd w:val="clear" w:color="auto" w:fill="FFFFFF"/>
          </w:tcPr>
          <w:p w:rsidR="005225B5" w:rsidRPr="006263CF" w:rsidRDefault="005225B5" w:rsidP="006263CF">
            <w:pPr>
              <w:rPr>
                <w:rFonts w:asciiTheme="minorHAnsi" w:hAnsiTheme="minorHAnsi" w:cstheme="minorHAnsi"/>
                <w:sz w:val="18"/>
              </w:rPr>
            </w:pPr>
          </w:p>
          <w:p w:rsidR="005225B5" w:rsidRPr="006263CF" w:rsidRDefault="005225B5" w:rsidP="006263CF">
            <w:pPr>
              <w:rPr>
                <w:rFonts w:asciiTheme="minorHAnsi" w:hAnsiTheme="minorHAnsi" w:cstheme="minorHAnsi"/>
                <w:sz w:val="18"/>
              </w:rPr>
            </w:pPr>
          </w:p>
        </w:tc>
        <w:tc>
          <w:tcPr>
            <w:tcW w:w="3230" w:type="dxa"/>
            <w:tcBorders>
              <w:top w:val="single" w:sz="4" w:space="0" w:color="1F61AA"/>
              <w:left w:val="nil"/>
              <w:bottom w:val="single" w:sz="4" w:space="0" w:color="1F61AA"/>
              <w:right w:val="nil"/>
            </w:tcBorders>
            <w:shd w:val="clear" w:color="auto" w:fill="FFFFFF"/>
          </w:tcPr>
          <w:p w:rsidR="005225B5" w:rsidRPr="006263CF" w:rsidRDefault="005225B5" w:rsidP="000C4F1C">
            <w:pPr>
              <w:ind w:left="58"/>
              <w:rPr>
                <w:rFonts w:asciiTheme="minorHAnsi" w:hAnsiTheme="minorHAnsi" w:cstheme="minorHAnsi"/>
                <w:sz w:val="18"/>
              </w:rPr>
            </w:pPr>
            <w:r w:rsidRPr="006263CF">
              <w:rPr>
                <w:rFonts w:asciiTheme="minorHAnsi" w:hAnsiTheme="minorHAnsi" w:cstheme="minorHAnsi"/>
                <w:i/>
                <w:iCs/>
                <w:color w:val="000000"/>
                <w:szCs w:val="22"/>
              </w:rPr>
              <w:t>П</w:t>
            </w:r>
            <w:r w:rsidRPr="006263CF">
              <w:rPr>
                <w:rFonts w:asciiTheme="minorHAnsi" w:hAnsiTheme="minorHAnsi" w:cstheme="minorHAnsi"/>
                <w:color w:val="000000"/>
                <w:szCs w:val="22"/>
              </w:rPr>
              <w:t>-аміносаліцилова кислота</w:t>
            </w:r>
            <w:r w:rsidRPr="006263CF">
              <w:rPr>
                <w:rFonts w:asciiTheme="minorHAnsi" w:hAnsiTheme="minorHAnsi" w:cstheme="minorHAnsi"/>
                <w:color w:val="000000"/>
                <w:szCs w:val="22"/>
                <w:vertAlign w:val="superscript"/>
              </w:rPr>
              <w:t>i</w:t>
            </w:r>
          </w:p>
        </w:tc>
        <w:tc>
          <w:tcPr>
            <w:tcW w:w="1891" w:type="dxa"/>
            <w:tcBorders>
              <w:top w:val="single" w:sz="4" w:space="0" w:color="1F61AA"/>
              <w:left w:val="nil"/>
              <w:bottom w:val="single" w:sz="4" w:space="0" w:color="1F61AA"/>
              <w:right w:val="nil"/>
            </w:tcBorders>
            <w:shd w:val="clear" w:color="auto" w:fill="FFFFFF"/>
          </w:tcPr>
          <w:p w:rsidR="005225B5" w:rsidRPr="006263CF" w:rsidRDefault="005225B5" w:rsidP="000C4F1C">
            <w:pPr>
              <w:ind w:left="58"/>
              <w:rPr>
                <w:rFonts w:asciiTheme="minorHAnsi" w:hAnsiTheme="minorHAnsi" w:cstheme="minorHAnsi"/>
                <w:sz w:val="18"/>
              </w:rPr>
            </w:pPr>
            <w:r w:rsidRPr="006263CF">
              <w:rPr>
                <w:rFonts w:asciiTheme="minorHAnsi" w:hAnsiTheme="minorHAnsi" w:cstheme="minorHAnsi"/>
                <w:color w:val="000000"/>
                <w:sz w:val="18"/>
              </w:rPr>
              <w:t>ПАС-кислота</w:t>
            </w:r>
          </w:p>
        </w:tc>
      </w:tr>
      <w:tr w:rsidR="005225B5" w:rsidRPr="000C4F1C" w:rsidTr="001F691B">
        <w:trPr>
          <w:trHeight w:hRule="exact" w:val="1104"/>
        </w:trPr>
        <w:tc>
          <w:tcPr>
            <w:tcW w:w="9187" w:type="dxa"/>
            <w:gridSpan w:val="3"/>
            <w:tcBorders>
              <w:top w:val="single" w:sz="4" w:space="0" w:color="1F61AA"/>
              <w:left w:val="nil"/>
              <w:bottom w:val="nil"/>
              <w:right w:val="nil"/>
            </w:tcBorders>
            <w:shd w:val="clear" w:color="auto" w:fill="FFFFFF"/>
          </w:tcPr>
          <w:p w:rsidR="005225B5" w:rsidRPr="000C4F1C" w:rsidRDefault="005225B5" w:rsidP="001F691B">
            <w:pPr>
              <w:spacing w:before="40"/>
              <w:rPr>
                <w:rFonts w:asciiTheme="minorHAnsi" w:hAnsiTheme="minorHAnsi" w:cstheme="minorHAnsi"/>
                <w:sz w:val="14"/>
                <w:szCs w:val="14"/>
              </w:rPr>
            </w:pPr>
            <w:r w:rsidRPr="000C4F1C">
              <w:rPr>
                <w:rFonts w:asciiTheme="minorHAnsi" w:hAnsiTheme="minorHAnsi" w:cstheme="minorHAnsi"/>
                <w:color w:val="000000"/>
                <w:sz w:val="14"/>
                <w:szCs w:val="14"/>
              </w:rPr>
              <w:t>ТМЧ: тест медикаментозної чутливості; ЕКГ: електрокардіографія; ГРК: група з розробки керівництва; МА ІДП: метааналіз індивідуальних даних пацієнтів; МР-ТБ: мультирезистентний туберкульоз.</w:t>
            </w:r>
          </w:p>
          <w:p w:rsidR="005225B5" w:rsidRPr="000C4F1C" w:rsidRDefault="005225B5" w:rsidP="000C4F1C">
            <w:pPr>
              <w:ind w:left="102" w:hanging="102"/>
              <w:rPr>
                <w:rFonts w:asciiTheme="minorHAnsi" w:hAnsiTheme="minorHAnsi" w:cstheme="minorHAnsi"/>
                <w:sz w:val="14"/>
                <w:szCs w:val="14"/>
              </w:rPr>
            </w:pPr>
            <w:r w:rsidRPr="000C4F1C">
              <w:rPr>
                <w:rFonts w:asciiTheme="minorHAnsi" w:hAnsiTheme="minorHAnsi" w:cstheme="minorHAnsi"/>
                <w:color w:val="000000"/>
                <w:sz w:val="14"/>
                <w:szCs w:val="14"/>
                <w:vertAlign w:val="superscript"/>
              </w:rPr>
              <w:t>a</w:t>
            </w:r>
            <w:r w:rsidR="000C4F1C">
              <w:rPr>
                <w:rFonts w:asciiTheme="minorHAnsi" w:hAnsiTheme="minorHAnsi" w:cstheme="minorHAnsi"/>
                <w:color w:val="000000"/>
                <w:sz w:val="14"/>
                <w:szCs w:val="14"/>
                <w:vertAlign w:val="superscript"/>
              </w:rPr>
              <w:tab/>
            </w:r>
            <w:r w:rsidRPr="000C4F1C">
              <w:rPr>
                <w:rFonts w:asciiTheme="minorHAnsi" w:hAnsiTheme="minorHAnsi" w:cstheme="minorHAnsi"/>
                <w:sz w:val="14"/>
                <w:szCs w:val="14"/>
              </w:rPr>
              <w:t xml:space="preserve">Ця таблиця призначена для використання в якості настанови по розробці довгострокових схем лікування МР-ТБ (склад рекомендованих короткострокових схем лікування МР-ТБ в значній мірі стандартизований, як про це докладно сказано в </w:t>
            </w:r>
            <w:r w:rsidRPr="000C4F1C">
              <w:rPr>
                <w:rFonts w:asciiTheme="minorHAnsi" w:hAnsiTheme="minorHAnsi" w:cstheme="minorHAnsi"/>
                <w:color w:val="1F61AA"/>
                <w:sz w:val="14"/>
                <w:szCs w:val="14"/>
              </w:rPr>
              <w:t>Розділі 5</w:t>
            </w:r>
            <w:r w:rsidRPr="000C4F1C">
              <w:rPr>
                <w:rFonts w:asciiTheme="minorHAnsi" w:hAnsiTheme="minorHAnsi" w:cstheme="minorHAnsi"/>
                <w:color w:val="000000"/>
                <w:sz w:val="14"/>
                <w:szCs w:val="14"/>
              </w:rPr>
              <w:t>). Лікарські препарати в групі С розподіляються в порядку убування звичайних переваг при використанні</w:t>
            </w:r>
          </w:p>
        </w:tc>
      </w:tr>
    </w:tbl>
    <w:p w:rsidR="005225B5" w:rsidRPr="006263CF" w:rsidRDefault="005225B5" w:rsidP="006263CF">
      <w:pPr>
        <w:rPr>
          <w:rFonts w:asciiTheme="minorHAnsi" w:hAnsiTheme="minorHAnsi" w:cstheme="minorHAnsi"/>
          <w:sz w:val="18"/>
        </w:rPr>
        <w:sectPr w:rsidR="005225B5" w:rsidRPr="006263CF" w:rsidSect="000C4F1C">
          <w:pgSz w:w="11904" w:h="16838"/>
          <w:pgMar w:top="1332" w:right="1298" w:bottom="55" w:left="1361" w:header="709" w:footer="709" w:gutter="0"/>
          <w:cols w:space="720"/>
          <w:noEndnote/>
        </w:sectPr>
      </w:pPr>
    </w:p>
    <w:p w:rsidR="005225B5" w:rsidRPr="001F691B" w:rsidRDefault="005225B5" w:rsidP="006263CF">
      <w:pPr>
        <w:ind w:left="120" w:right="5"/>
        <w:jc w:val="both"/>
        <w:rPr>
          <w:rFonts w:asciiTheme="minorHAnsi" w:hAnsiTheme="minorHAnsi" w:cstheme="minorHAnsi"/>
          <w:sz w:val="14"/>
          <w:szCs w:val="14"/>
        </w:rPr>
      </w:pPr>
      <w:r w:rsidRPr="001F691B">
        <w:rPr>
          <w:rFonts w:asciiTheme="minorHAnsi" w:hAnsiTheme="minorHAnsi" w:cstheme="minorHAnsi"/>
          <w:color w:val="000000"/>
          <w:sz w:val="14"/>
          <w:szCs w:val="14"/>
        </w:rPr>
        <w:lastRenderedPageBreak/>
        <w:t xml:space="preserve">з урахуванням інших міркувань. У 2018 роках МА ІДП для довгострокових схем лікування не включала пацієнтів з тіоацетазон (Т) і дуже небагато пацієнтів, що приймають гатифлоксацин (ГФЦ) та високодозований ізоніазид, для проведення інформативного аналізу. Рекомендації щодо перхлозону, гамма-інтерферону або сутезоліду не були надані через відсутність даних про остаточні результати лікування пацієнтів, отриманих в ході відповідних досліджень (див. онлайновий додаток 8 консолідованих настанов ВООЗ) </w:t>
      </w:r>
      <w:r w:rsidRPr="001F691B">
        <w:rPr>
          <w:rFonts w:asciiTheme="minorHAnsi" w:hAnsiTheme="minorHAnsi" w:cstheme="minorHAnsi"/>
          <w:i/>
          <w:iCs/>
          <w:color w:val="000000"/>
          <w:sz w:val="14"/>
          <w:szCs w:val="14"/>
        </w:rPr>
        <w:t>(1)</w:t>
      </w:r>
      <w:r w:rsidRPr="001F691B">
        <w:rPr>
          <w:rFonts w:asciiTheme="minorHAnsi" w:hAnsiTheme="minorHAnsi" w:cstheme="minorHAnsi"/>
          <w:color w:val="000000"/>
          <w:sz w:val="14"/>
          <w:szCs w:val="14"/>
        </w:rPr>
        <w:t>.</w:t>
      </w:r>
    </w:p>
    <w:p w:rsidR="005225B5" w:rsidRPr="001F691B" w:rsidRDefault="005225B5" w:rsidP="006263CF">
      <w:pPr>
        <w:spacing w:before="62"/>
        <w:ind w:left="120" w:right="5" w:hanging="120"/>
        <w:jc w:val="both"/>
        <w:rPr>
          <w:rFonts w:asciiTheme="minorHAnsi" w:hAnsiTheme="minorHAnsi" w:cstheme="minorHAnsi"/>
          <w:sz w:val="14"/>
          <w:szCs w:val="14"/>
        </w:rPr>
      </w:pPr>
      <w:r w:rsidRPr="001F691B">
        <w:rPr>
          <w:rFonts w:asciiTheme="minorHAnsi" w:hAnsiTheme="minorHAnsi" w:cstheme="minorHAnsi"/>
          <w:color w:val="000000"/>
          <w:sz w:val="14"/>
          <w:szCs w:val="14"/>
          <w:vertAlign w:val="superscript"/>
        </w:rPr>
        <w:t>b</w:t>
      </w:r>
      <w:r w:rsidR="001F691B" w:rsidRPr="001F691B">
        <w:rPr>
          <w:rFonts w:asciiTheme="minorHAnsi" w:hAnsiTheme="minorHAnsi" w:cstheme="minorHAnsi"/>
          <w:color w:val="000000"/>
          <w:sz w:val="14"/>
          <w:szCs w:val="14"/>
          <w:vertAlign w:val="superscript"/>
        </w:rPr>
        <w:tab/>
      </w:r>
      <w:r w:rsidRPr="001F691B">
        <w:rPr>
          <w:rFonts w:asciiTheme="minorHAnsi" w:hAnsiTheme="minorHAnsi" w:cstheme="minorHAnsi"/>
          <w:color w:val="000000"/>
          <w:sz w:val="14"/>
          <w:szCs w:val="14"/>
        </w:rPr>
        <w:t>Бедаквілін зазвичай застосовують у дозі 400 мг перорально один раз на день протягом перших 2 тижнів, потім 200 мг перорально тричі на тиждень протягом 22 тижнів (загальна тривалість 24 тижнів). У 2018 році свідчення про безпеку та ефективність застосування бедаквіліну більше 6 місяців і у пацієнтів у віці до 6 років були недостатні для розгляду. Таким чином, застосування бедаквіліну після 6 місяців було застосовано відповідно до кращих практик застосування за показаннями, не зазначеними в інструкції для медичного застосування (37). У 2019 році група з розробки керівництва отримала нові докази щодо безпечності використання бедаквіліну через 6 місяців. Через обмеженість даних і потенційної остаточної неясності в даних група з розробки керівництва не оцінила вплив ефективності тривалого використання бедаквіліну. Проте, наявні дані підтверджують безпечне використання бедаквіліну через 6 місяців у пацієнтів, які отримують відповідно графікам базового і подальшого моніторингу. Застосування бедаквіліну протягом більше 6 місяців за показаннями, не зазначеними в інструкції для медичного застосування, є причиною застосування передової практики щодо застосування не за затвердженими показаннями.</w:t>
      </w:r>
    </w:p>
    <w:p w:rsidR="005225B5" w:rsidRPr="001F691B" w:rsidRDefault="001F691B" w:rsidP="006263CF">
      <w:pPr>
        <w:spacing w:before="58"/>
        <w:ind w:left="120" w:right="5" w:hanging="120"/>
        <w:jc w:val="both"/>
        <w:rPr>
          <w:rFonts w:asciiTheme="minorHAnsi" w:hAnsiTheme="minorHAnsi" w:cstheme="minorHAnsi"/>
          <w:sz w:val="14"/>
          <w:szCs w:val="14"/>
        </w:rPr>
      </w:pPr>
      <w:r w:rsidRPr="001F691B">
        <w:rPr>
          <w:rFonts w:asciiTheme="minorHAnsi" w:hAnsiTheme="minorHAnsi" w:cstheme="minorHAnsi"/>
          <w:color w:val="000000"/>
          <w:sz w:val="14"/>
          <w:szCs w:val="14"/>
          <w:vertAlign w:val="superscript"/>
        </w:rPr>
        <w:t>c</w:t>
      </w:r>
      <w:r w:rsidRPr="001F691B">
        <w:rPr>
          <w:rFonts w:asciiTheme="minorHAnsi" w:hAnsiTheme="minorHAnsi" w:cstheme="minorHAnsi"/>
          <w:color w:val="000000"/>
          <w:sz w:val="14"/>
          <w:szCs w:val="14"/>
        </w:rPr>
        <w:tab/>
      </w:r>
      <w:r w:rsidR="005225B5" w:rsidRPr="001F691B">
        <w:rPr>
          <w:rFonts w:asciiTheme="minorHAnsi" w:hAnsiTheme="minorHAnsi" w:cstheme="minorHAnsi"/>
          <w:color w:val="000000"/>
          <w:sz w:val="14"/>
          <w:szCs w:val="14"/>
        </w:rPr>
        <w:t xml:space="preserve">У 2018 році доказів для перегляду про одночасне використання бедаквіліну та деламаніду було недостатньо. У 2019 року у розпорядження групи з розробки керівництва були надані нові дані як про безпечність, так і про ефективність одночасного використання бедаквіліну і деламаніду.  Що стосується безпеки, то групи з розробки керівництва дійшла до висновку про те, що ці дані не дають підстав для додаткової стурбованості з приводу безпечності в зв'язку з одночасним використанням бедаквіліну і деламаніду. Обидва лікарських препарати можуть одночасно використовуватися пацієнтами, у яких обмежені інші доступні їм можливості лікування, а також при наявності достатнього моніторингу (включаючи базовий і подальший моніторинг ЕКГ і рівня електролітів). Дані про ефективність одночасного використання бедаквіліну і деламаніду були розглянуті групою з розробки керівництва, однак через обмеженість даних і потенційної неточності в них, група з розробки керівництва не може надати рекомендацію про ефективність </w:t>
      </w:r>
      <w:r w:rsidR="005225B5" w:rsidRPr="001F691B">
        <w:rPr>
          <w:rFonts w:asciiTheme="minorHAnsi" w:hAnsiTheme="minorHAnsi" w:cstheme="minorHAnsi"/>
          <w:i/>
          <w:iCs/>
          <w:color w:val="000000"/>
          <w:sz w:val="14"/>
          <w:szCs w:val="14"/>
        </w:rPr>
        <w:t>(1)</w:t>
      </w:r>
      <w:r w:rsidR="005225B5" w:rsidRPr="001F691B">
        <w:rPr>
          <w:rFonts w:asciiTheme="minorHAnsi" w:hAnsiTheme="minorHAnsi" w:cstheme="minorHAnsi"/>
          <w:color w:val="000000"/>
          <w:sz w:val="14"/>
          <w:szCs w:val="14"/>
        </w:rPr>
        <w:t>.</w:t>
      </w:r>
    </w:p>
    <w:p w:rsidR="005225B5" w:rsidRPr="001F691B" w:rsidRDefault="001F691B" w:rsidP="006263CF">
      <w:pPr>
        <w:spacing w:before="62"/>
        <w:ind w:left="120" w:right="5" w:hanging="120"/>
        <w:jc w:val="both"/>
        <w:rPr>
          <w:rFonts w:asciiTheme="minorHAnsi" w:hAnsiTheme="minorHAnsi" w:cstheme="minorHAnsi"/>
          <w:sz w:val="14"/>
          <w:szCs w:val="14"/>
        </w:rPr>
      </w:pPr>
      <w:r w:rsidRPr="001F691B">
        <w:rPr>
          <w:rFonts w:asciiTheme="minorHAnsi" w:hAnsiTheme="minorHAnsi" w:cstheme="minorHAnsi"/>
          <w:color w:val="000000"/>
          <w:sz w:val="14"/>
          <w:szCs w:val="14"/>
          <w:vertAlign w:val="superscript"/>
        </w:rPr>
        <w:t>d</w:t>
      </w:r>
      <w:r w:rsidRPr="001F691B">
        <w:rPr>
          <w:rFonts w:asciiTheme="minorHAnsi" w:hAnsiTheme="minorHAnsi" w:cstheme="minorHAnsi"/>
          <w:color w:val="000000"/>
          <w:sz w:val="14"/>
          <w:szCs w:val="14"/>
        </w:rPr>
        <w:tab/>
      </w:r>
      <w:r w:rsidR="005225B5" w:rsidRPr="001F691B">
        <w:rPr>
          <w:rFonts w:asciiTheme="minorHAnsi" w:hAnsiTheme="minorHAnsi" w:cstheme="minorHAnsi"/>
          <w:color w:val="000000"/>
          <w:sz w:val="14"/>
          <w:szCs w:val="14"/>
        </w:rPr>
        <w:t>Було показано, що використання ЛЗД протягом як мінімум 6 місяців підвищує ефективність, хоча його використання може бути обмежено через токсичність. Аналіз припускав, що використання ЛЗД на весь період лікування дозволить оптимізувати його ефект (близько 70% пацієнтів на ЛЗД з даними, отриманими за більш ніж 6 місяців, а 30% протягом 18 місяців або всієї тривалості лікування). Із субаналізів ІДП не можна спрогнозувати передчасне припинення прийому ЛЗД пацієнтом.</w:t>
      </w:r>
    </w:p>
    <w:p w:rsidR="001F691B" w:rsidRDefault="001F691B" w:rsidP="001F691B">
      <w:pPr>
        <w:tabs>
          <w:tab w:val="left" w:pos="142"/>
        </w:tabs>
        <w:spacing w:before="67"/>
        <w:ind w:left="142" w:hanging="142"/>
        <w:rPr>
          <w:rFonts w:asciiTheme="minorHAnsi" w:hAnsiTheme="minorHAnsi" w:cstheme="minorHAnsi"/>
          <w:color w:val="000000"/>
          <w:sz w:val="14"/>
          <w:szCs w:val="14"/>
        </w:rPr>
      </w:pPr>
      <w:r w:rsidRPr="001F691B">
        <w:rPr>
          <w:rFonts w:asciiTheme="minorHAnsi" w:hAnsiTheme="minorHAnsi" w:cstheme="minorHAnsi"/>
          <w:color w:val="000000"/>
          <w:sz w:val="14"/>
          <w:szCs w:val="14"/>
          <w:vertAlign w:val="superscript"/>
        </w:rPr>
        <w:t>e</w:t>
      </w:r>
      <w:r w:rsidRPr="001F691B">
        <w:rPr>
          <w:rFonts w:asciiTheme="minorHAnsi" w:hAnsiTheme="minorHAnsi" w:cstheme="minorHAnsi"/>
          <w:color w:val="000000"/>
          <w:sz w:val="14"/>
          <w:szCs w:val="14"/>
        </w:rPr>
        <w:tab/>
      </w:r>
      <w:r w:rsidR="005225B5" w:rsidRPr="001F691B">
        <w:rPr>
          <w:rFonts w:asciiTheme="minorHAnsi" w:hAnsiTheme="minorHAnsi" w:cstheme="minorHAnsi"/>
          <w:color w:val="000000"/>
          <w:sz w:val="14"/>
          <w:szCs w:val="14"/>
        </w:rPr>
        <w:t>Доказів щодо безпечності та ефективності ДЛМ після 6 місяців прийому та у пацієнтів віком до 3 років було недостатньо для огляду.</w:t>
      </w:r>
      <w:r>
        <w:rPr>
          <w:rFonts w:asciiTheme="minorHAnsi" w:hAnsiTheme="minorHAnsi" w:cstheme="minorHAnsi"/>
          <w:color w:val="000000"/>
          <w:sz w:val="14"/>
          <w:szCs w:val="14"/>
        </w:rPr>
        <w:t xml:space="preserve"> </w:t>
      </w:r>
      <w:r w:rsidR="005225B5" w:rsidRPr="001F691B">
        <w:rPr>
          <w:rFonts w:asciiTheme="minorHAnsi" w:hAnsiTheme="minorHAnsi" w:cstheme="minorHAnsi"/>
          <w:sz w:val="14"/>
          <w:szCs w:val="14"/>
        </w:rPr>
        <w:t>Використання ДЛМ за межами цих обмежень має слідувати кращій методиці у використанні «</w:t>
      </w:r>
      <w:r w:rsidR="005225B5" w:rsidRPr="001F691B">
        <w:rPr>
          <w:rFonts w:asciiTheme="minorHAnsi" w:hAnsiTheme="minorHAnsi" w:cstheme="minorHAnsi"/>
          <w:color w:val="0066CC"/>
          <w:sz w:val="14"/>
          <w:szCs w:val="14"/>
          <w:u w:val="single"/>
        </w:rPr>
        <w:t>не за прямим призначенням»</w:t>
      </w:r>
      <w:r w:rsidR="005225B5" w:rsidRPr="001F691B">
        <w:rPr>
          <w:rFonts w:asciiTheme="minorHAnsi" w:hAnsiTheme="minorHAnsi" w:cstheme="minorHAnsi"/>
          <w:sz w:val="14"/>
          <w:szCs w:val="14"/>
        </w:rPr>
        <w:t xml:space="preserve"> (8).</w:t>
      </w:r>
      <w:r w:rsidR="005225B5" w:rsidRPr="001F691B">
        <w:rPr>
          <w:rFonts w:asciiTheme="minorHAnsi" w:hAnsiTheme="minorHAnsi" w:cstheme="minorHAnsi"/>
          <w:color w:val="000000"/>
          <w:sz w:val="14"/>
          <w:szCs w:val="14"/>
        </w:rPr>
        <w:t xml:space="preserve"> </w:t>
      </w:r>
    </w:p>
    <w:p w:rsidR="005225B5" w:rsidRPr="001F691B" w:rsidRDefault="001F691B" w:rsidP="001F691B">
      <w:pPr>
        <w:tabs>
          <w:tab w:val="left" w:pos="142"/>
        </w:tabs>
        <w:spacing w:before="67"/>
        <w:ind w:left="142" w:hanging="142"/>
        <w:rPr>
          <w:rFonts w:asciiTheme="minorHAnsi" w:hAnsiTheme="minorHAnsi" w:cstheme="minorHAnsi"/>
          <w:sz w:val="14"/>
          <w:szCs w:val="14"/>
        </w:rPr>
      </w:pPr>
      <w:r w:rsidRPr="001F691B">
        <w:rPr>
          <w:rFonts w:asciiTheme="minorHAnsi" w:hAnsiTheme="minorHAnsi" w:cstheme="minorHAnsi"/>
          <w:color w:val="000000"/>
          <w:sz w:val="14"/>
          <w:szCs w:val="14"/>
          <w:vertAlign w:val="superscript"/>
        </w:rPr>
        <w:t>f</w:t>
      </w:r>
      <w:r w:rsidR="005225B5" w:rsidRPr="001F691B">
        <w:rPr>
          <w:rFonts w:asciiTheme="minorHAnsi" w:hAnsiTheme="minorHAnsi" w:cstheme="minorHAnsi"/>
          <w:color w:val="000000"/>
          <w:sz w:val="14"/>
          <w:szCs w:val="14"/>
        </w:rPr>
        <w:t xml:space="preserve"> Ефективним препаратом З вважається тільки тоді, коли результати ТМЧ підтверджують сприйнятливість.</w:t>
      </w:r>
    </w:p>
    <w:p w:rsidR="005225B5" w:rsidRPr="001F691B" w:rsidRDefault="001F691B" w:rsidP="006263CF">
      <w:pPr>
        <w:spacing w:before="43"/>
        <w:ind w:left="120" w:right="5" w:hanging="120"/>
        <w:jc w:val="both"/>
        <w:rPr>
          <w:rFonts w:asciiTheme="minorHAnsi" w:hAnsiTheme="minorHAnsi" w:cstheme="minorHAnsi"/>
          <w:sz w:val="14"/>
          <w:szCs w:val="14"/>
        </w:rPr>
      </w:pPr>
      <w:r w:rsidRPr="001F691B">
        <w:rPr>
          <w:rFonts w:asciiTheme="minorHAnsi" w:hAnsiTheme="minorHAnsi" w:cstheme="minorHAnsi"/>
          <w:color w:val="000000"/>
          <w:sz w:val="14"/>
          <w:szCs w:val="14"/>
          <w:vertAlign w:val="superscript"/>
        </w:rPr>
        <w:t>g</w:t>
      </w:r>
      <w:r w:rsidR="005225B5" w:rsidRPr="001F691B">
        <w:rPr>
          <w:rFonts w:asciiTheme="minorHAnsi" w:hAnsiTheme="minorHAnsi" w:cstheme="minorHAnsi"/>
          <w:color w:val="000000"/>
          <w:sz w:val="14"/>
          <w:szCs w:val="14"/>
        </w:rPr>
        <w:t xml:space="preserve"> Кожна доза ІМП-КЛВ і МПМ застосовується з оральною клавулановою кислотою, яка доступна тільки в рецептурах в поєднанні з амоксициліном (АМЦ-КЛВ). АМЦ-КЛВ не вважається додатковою ефективним протитуберкульозним препаратом і не повинна вживатись без Імп-Цлн або МПМ.</w:t>
      </w:r>
    </w:p>
    <w:p w:rsidR="005225B5" w:rsidRPr="001F691B" w:rsidRDefault="005225B5" w:rsidP="006263CF">
      <w:pPr>
        <w:spacing w:before="58"/>
        <w:ind w:left="120" w:hanging="120"/>
        <w:jc w:val="both"/>
        <w:rPr>
          <w:rFonts w:asciiTheme="minorHAnsi" w:hAnsiTheme="minorHAnsi" w:cstheme="minorHAnsi"/>
          <w:sz w:val="14"/>
          <w:szCs w:val="14"/>
        </w:rPr>
      </w:pPr>
      <w:r w:rsidRPr="001F691B">
        <w:rPr>
          <w:rFonts w:asciiTheme="minorHAnsi" w:hAnsiTheme="minorHAnsi" w:cstheme="minorHAnsi"/>
          <w:color w:val="000000"/>
          <w:sz w:val="14"/>
          <w:szCs w:val="14"/>
          <w:vertAlign w:val="superscript"/>
        </w:rPr>
        <w:t>h</w:t>
      </w:r>
      <w:r w:rsidRPr="001F691B">
        <w:rPr>
          <w:rFonts w:asciiTheme="minorHAnsi" w:hAnsiTheme="minorHAnsi" w:cstheme="minorHAnsi"/>
          <w:color w:val="000000"/>
          <w:sz w:val="14"/>
          <w:szCs w:val="14"/>
        </w:rPr>
        <w:t xml:space="preserve"> АМ і С слід розглядати тільки в тому випадку, якщо результати ТМЧ підтверджують сприйнятливість і можуть забезпечити високоякісний аудіологічний моніторинг втрати слуху. С слід розглядати тільки в тому випадку, якщо АМ не може бути використаний (недоступна або документально підтверджена стійкість) і якщо результати ТМЧ підтверджують сприйнятливість (опір С не виявляється при аналізі олігонуклеотидними зондами і потрібен фенотиповий ТМЧ). Канаміцин (КМ) і капреоміцин (КПМ) більше не рекомендуються для використання в схемах лікування МР-ТБ.</w:t>
      </w:r>
    </w:p>
    <w:p w:rsidR="005225B5" w:rsidRPr="001F691B" w:rsidRDefault="005225B5" w:rsidP="006263CF">
      <w:pPr>
        <w:spacing w:before="58"/>
        <w:ind w:left="120" w:right="5" w:hanging="120"/>
        <w:jc w:val="both"/>
        <w:rPr>
          <w:rFonts w:asciiTheme="minorHAnsi" w:hAnsiTheme="minorHAnsi" w:cstheme="minorHAnsi"/>
          <w:sz w:val="14"/>
          <w:szCs w:val="14"/>
        </w:rPr>
      </w:pPr>
      <w:r w:rsidRPr="001F691B">
        <w:rPr>
          <w:rFonts w:asciiTheme="minorHAnsi" w:hAnsiTheme="minorHAnsi" w:cstheme="minorHAnsi"/>
          <w:color w:val="000000"/>
          <w:sz w:val="14"/>
          <w:szCs w:val="14"/>
          <w:vertAlign w:val="superscript"/>
        </w:rPr>
        <w:t>I</w:t>
      </w:r>
      <w:r w:rsidRPr="001F691B">
        <w:rPr>
          <w:rFonts w:asciiTheme="minorHAnsi" w:hAnsiTheme="minorHAnsi" w:cstheme="minorHAnsi"/>
          <w:color w:val="000000"/>
          <w:sz w:val="14"/>
          <w:szCs w:val="14"/>
        </w:rPr>
        <w:t xml:space="preserve"> </w:t>
      </w:r>
      <w:r w:rsidR="001F691B">
        <w:rPr>
          <w:rFonts w:asciiTheme="minorHAnsi" w:hAnsiTheme="minorHAnsi" w:cstheme="minorHAnsi"/>
          <w:color w:val="000000"/>
          <w:sz w:val="14"/>
          <w:szCs w:val="14"/>
        </w:rPr>
        <w:tab/>
      </w:r>
      <w:r w:rsidRPr="001F691B">
        <w:rPr>
          <w:rFonts w:asciiTheme="minorHAnsi" w:hAnsiTheme="minorHAnsi" w:cstheme="minorHAnsi"/>
          <w:color w:val="000000"/>
          <w:sz w:val="14"/>
          <w:szCs w:val="14"/>
        </w:rPr>
        <w:t>Ці препарати продемонстрували ефективність тільки в схемах лікування без БДК, ЛЗД, ЦФЗ або ДЛМ, і тому пропонуються тільки тоді, коли інші варіанти складання схеми лікування неможливі.</w:t>
      </w:r>
    </w:p>
    <w:p w:rsidR="005225B5" w:rsidRPr="006263CF" w:rsidRDefault="005225B5" w:rsidP="006263CF">
      <w:pPr>
        <w:spacing w:before="437"/>
        <w:ind w:right="5"/>
        <w:jc w:val="both"/>
        <w:rPr>
          <w:rFonts w:asciiTheme="minorHAnsi" w:hAnsiTheme="minorHAnsi" w:cstheme="minorHAnsi"/>
          <w:sz w:val="18"/>
        </w:rPr>
      </w:pPr>
      <w:r w:rsidRPr="006263CF">
        <w:rPr>
          <w:rFonts w:asciiTheme="minorHAnsi" w:hAnsiTheme="minorHAnsi" w:cstheme="minorHAnsi"/>
          <w:color w:val="000000"/>
          <w:szCs w:val="22"/>
        </w:rPr>
        <w:t>Найбільш помітними відмінностями між нинішньою і попередньою класифікацією компонентів з довгостроковою схемою лікування є підвищення пріоритету бедаквіліну, лінезоліду, клофазиміну і циклосерину/теризідону; розміщення деламаніду в Групі С; і зниження пріоритету піразинаміду, амікацину, стрептоміцину, етіонаміду/протіонаміду і ПАС кислоти в порівнянні з іншими варіантами лікування. Ряд препаратів, які раніше були представлені в цих групах, більше не включені, тому що вони:</w:t>
      </w:r>
    </w:p>
    <w:p w:rsidR="005225B5" w:rsidRPr="006263CF" w:rsidRDefault="005225B5" w:rsidP="006263CF">
      <w:pPr>
        <w:numPr>
          <w:ilvl w:val="0"/>
          <w:numId w:val="9"/>
        </w:numPr>
        <w:tabs>
          <w:tab w:val="left" w:pos="240"/>
        </w:tabs>
        <w:spacing w:before="149"/>
        <w:rPr>
          <w:rFonts w:asciiTheme="minorHAnsi" w:eastAsia="Times New Roman" w:hAnsiTheme="minorHAnsi" w:cstheme="minorHAnsi"/>
          <w:color w:val="1F61AA"/>
          <w:szCs w:val="22"/>
        </w:rPr>
      </w:pPr>
      <w:r w:rsidRPr="006263CF">
        <w:rPr>
          <w:rFonts w:asciiTheme="minorHAnsi" w:hAnsiTheme="minorHAnsi" w:cstheme="minorHAnsi"/>
          <w:color w:val="000000"/>
          <w:szCs w:val="22"/>
        </w:rPr>
        <w:t>більше не рекомендуються (наприклад, офлоксацин, капреоміцин та канаміцин);</w:t>
      </w:r>
    </w:p>
    <w:p w:rsidR="005225B5" w:rsidRPr="006263CF" w:rsidRDefault="005225B5" w:rsidP="006263CF">
      <w:pPr>
        <w:numPr>
          <w:ilvl w:val="0"/>
          <w:numId w:val="9"/>
        </w:numPr>
        <w:tabs>
          <w:tab w:val="left" w:pos="240"/>
        </w:tabs>
        <w:ind w:left="240" w:hanging="240"/>
        <w:rPr>
          <w:rFonts w:asciiTheme="minorHAnsi" w:eastAsia="Times New Roman" w:hAnsiTheme="minorHAnsi" w:cstheme="minorHAnsi"/>
          <w:color w:val="1F61AA"/>
          <w:szCs w:val="22"/>
        </w:rPr>
      </w:pPr>
      <w:r w:rsidRPr="006263CF">
        <w:rPr>
          <w:rFonts w:asciiTheme="minorHAnsi" w:hAnsiTheme="minorHAnsi" w:cstheme="minorHAnsi"/>
          <w:color w:val="000000"/>
          <w:szCs w:val="22"/>
        </w:rPr>
        <w:t>рідко застосовуються в довгострокових схемах лікування або недоступні на ринку (наприклад, високі дози ізоніазиду та гатифлоксацину); або</w:t>
      </w:r>
    </w:p>
    <w:p w:rsidR="005225B5" w:rsidRPr="006263CF" w:rsidRDefault="005225B5" w:rsidP="006263CF">
      <w:pPr>
        <w:numPr>
          <w:ilvl w:val="0"/>
          <w:numId w:val="9"/>
        </w:numPr>
        <w:tabs>
          <w:tab w:val="left" w:pos="240"/>
        </w:tabs>
        <w:ind w:left="240" w:hanging="240"/>
        <w:rPr>
          <w:rFonts w:asciiTheme="minorHAnsi" w:eastAsia="Times New Roman" w:hAnsiTheme="minorHAnsi" w:cstheme="minorHAnsi"/>
          <w:color w:val="1F61AA"/>
          <w:szCs w:val="22"/>
        </w:rPr>
      </w:pPr>
      <w:r w:rsidRPr="006263CF">
        <w:rPr>
          <w:rFonts w:asciiTheme="minorHAnsi" w:hAnsiTheme="minorHAnsi" w:cstheme="minorHAnsi"/>
          <w:color w:val="000000"/>
          <w:szCs w:val="22"/>
        </w:rPr>
        <w:t>це допоміжний препарат і не призначений для використання окремо (наприклад, клавуланова кислота використовується тільки в комбінації з карбапенемами).</w:t>
      </w:r>
    </w:p>
    <w:p w:rsidR="005225B5" w:rsidRPr="006263CF" w:rsidRDefault="005225B5" w:rsidP="006263CF">
      <w:pPr>
        <w:spacing w:before="144"/>
        <w:ind w:right="5"/>
        <w:jc w:val="both"/>
        <w:rPr>
          <w:rFonts w:asciiTheme="minorHAnsi" w:hAnsiTheme="minorHAnsi" w:cstheme="minorHAnsi"/>
          <w:sz w:val="18"/>
        </w:rPr>
      </w:pPr>
      <w:r w:rsidRPr="006263CF">
        <w:rPr>
          <w:rFonts w:asciiTheme="minorHAnsi" w:hAnsiTheme="minorHAnsi" w:cstheme="minorHAnsi"/>
          <w:color w:val="000000"/>
          <w:szCs w:val="22"/>
        </w:rPr>
        <w:t xml:space="preserve">Нова класифікація спрощує розробку схеми лікування для пацієнтів з лікарсько-стійким туберкульозом, які мають право на повну довгострокову пероральну схему лікування.  </w:t>
      </w:r>
      <w:r w:rsidRPr="006263CF">
        <w:rPr>
          <w:rFonts w:asciiTheme="minorHAnsi" w:hAnsiTheme="minorHAnsi" w:cstheme="minorHAnsi"/>
          <w:color w:val="1F61AA"/>
          <w:szCs w:val="22"/>
        </w:rPr>
        <w:t xml:space="preserve">Таблиця 6.1 </w:t>
      </w:r>
      <w:r w:rsidRPr="006263CF">
        <w:rPr>
          <w:rFonts w:asciiTheme="minorHAnsi" w:hAnsiTheme="minorHAnsi" w:cstheme="minorHAnsi"/>
          <w:color w:val="000000"/>
          <w:szCs w:val="22"/>
        </w:rPr>
        <w:t xml:space="preserve">підсумовує загальні кроки з включення препаратів для довгострокової схеми лікування МР-ТБ відповідно з останніми настановами ВООЗ, яка представлена більш детально в </w:t>
      </w:r>
      <w:r w:rsidRPr="006263CF">
        <w:rPr>
          <w:rFonts w:asciiTheme="minorHAnsi" w:hAnsiTheme="minorHAnsi" w:cstheme="minorHAnsi"/>
          <w:color w:val="1F61AA"/>
          <w:szCs w:val="22"/>
        </w:rPr>
        <w:t xml:space="preserve">Таблиці 6.5 </w:t>
      </w:r>
      <w:r w:rsidRPr="006263CF">
        <w:rPr>
          <w:rFonts w:asciiTheme="minorHAnsi" w:hAnsiTheme="minorHAnsi" w:cstheme="minorHAnsi"/>
          <w:color w:val="000000"/>
          <w:szCs w:val="22"/>
        </w:rPr>
        <w:t xml:space="preserve">для деяких найпоширеніших ситуацій та підгруп пацієнтів, з якими можуть зіткнутися лікарі та національна програма боротьби з туберкульозом (НПБТ). У наведеному нижче розділі представлена деяка довідкова інформація про окремі препарати; наявні технічні листи з інформацією про лікарські препарати надають лікарю більш детальну інформацію по кожному лікарському препарату (5). </w:t>
      </w:r>
      <w:r w:rsidRPr="006263CF">
        <w:rPr>
          <w:rFonts w:asciiTheme="minorHAnsi" w:hAnsiTheme="minorHAnsi" w:cstheme="minorHAnsi"/>
          <w:sz w:val="18"/>
        </w:rPr>
        <w:t xml:space="preserve">Оновлені дозування в залежності від ваги дорослих і дітей наводяться в </w:t>
      </w:r>
      <w:r w:rsidRPr="006263CF">
        <w:rPr>
          <w:rFonts w:asciiTheme="minorHAnsi" w:hAnsiTheme="minorHAnsi" w:cstheme="minorHAnsi"/>
          <w:color w:val="1F61AA"/>
          <w:szCs w:val="22"/>
        </w:rPr>
        <w:t>Додатку I.</w:t>
      </w:r>
    </w:p>
    <w:p w:rsidR="005225B5" w:rsidRPr="006263CF" w:rsidRDefault="005225B5" w:rsidP="006263CF">
      <w:pPr>
        <w:spacing w:before="144"/>
        <w:ind w:right="5"/>
        <w:jc w:val="both"/>
        <w:rPr>
          <w:rFonts w:asciiTheme="minorHAnsi" w:hAnsiTheme="minorHAnsi" w:cstheme="minorHAnsi"/>
          <w:sz w:val="18"/>
        </w:rPr>
        <w:sectPr w:rsidR="005225B5" w:rsidRPr="006263CF">
          <w:pgSz w:w="11904" w:h="16838"/>
          <w:pgMar w:top="1363" w:right="1411" w:bottom="1963" w:left="1416" w:header="708" w:footer="708" w:gutter="0"/>
          <w:cols w:space="60"/>
          <w:noEndnote/>
        </w:sectPr>
      </w:pPr>
    </w:p>
    <w:p w:rsidR="005225B5" w:rsidRPr="006263CF" w:rsidRDefault="005225B5" w:rsidP="006263CF">
      <w:pPr>
        <w:rPr>
          <w:rFonts w:asciiTheme="minorHAnsi" w:hAnsiTheme="minorHAnsi" w:cstheme="minorHAnsi"/>
          <w:sz w:val="18"/>
        </w:rPr>
      </w:pPr>
      <w:r w:rsidRPr="006263CF">
        <w:rPr>
          <w:rFonts w:asciiTheme="minorHAnsi" w:hAnsiTheme="minorHAnsi" w:cstheme="minorHAnsi"/>
          <w:b/>
          <w:bCs/>
          <w:color w:val="1F61AA"/>
          <w:sz w:val="28"/>
          <w:szCs w:val="32"/>
        </w:rPr>
        <w:lastRenderedPageBreak/>
        <w:t>Група А</w:t>
      </w:r>
    </w:p>
    <w:p w:rsidR="005225B5" w:rsidRPr="006263CF" w:rsidRDefault="005225B5" w:rsidP="006263CF">
      <w:pPr>
        <w:spacing w:before="120"/>
        <w:ind w:right="5"/>
        <w:jc w:val="both"/>
        <w:rPr>
          <w:rFonts w:asciiTheme="minorHAnsi" w:hAnsiTheme="minorHAnsi" w:cstheme="minorHAnsi"/>
          <w:sz w:val="18"/>
        </w:rPr>
      </w:pPr>
      <w:r w:rsidRPr="006263CF">
        <w:rPr>
          <w:rFonts w:asciiTheme="minorHAnsi" w:hAnsiTheme="minorHAnsi" w:cstheme="minorHAnsi"/>
          <w:color w:val="000000"/>
          <w:szCs w:val="22"/>
        </w:rPr>
        <w:t>Ця група включає фторхінолони (левофлоксацин і моксифлоксацин), бедаквілін і лінезолід. Ці лікарські препарати були визнані високоефективними для поліпшення результатів лікування і зниження смертності на основі фактичних даних, розглянутих в 2018 році відповідно до настанов ВООЗ (1), і наполегливо рекомендується включити їх в усі довгострокові схеми лікування МР-ТБ і використовувати для всіх пацієнтів з МР/Риф-ТБ, які мають право на довгострокові схеми лікування, за винятком випадків, коли є проблеми з токсичністю або медикаментозною резистентністю.</w:t>
      </w:r>
    </w:p>
    <w:p w:rsidR="005225B5" w:rsidRPr="006263CF" w:rsidRDefault="005225B5" w:rsidP="001F691B">
      <w:pPr>
        <w:spacing w:before="100"/>
        <w:ind w:right="5"/>
        <w:jc w:val="both"/>
        <w:rPr>
          <w:rFonts w:asciiTheme="minorHAnsi" w:hAnsiTheme="minorHAnsi" w:cstheme="minorHAnsi"/>
          <w:sz w:val="18"/>
        </w:rPr>
      </w:pPr>
      <w:r w:rsidRPr="006263CF">
        <w:rPr>
          <w:rFonts w:asciiTheme="minorHAnsi" w:hAnsiTheme="minorHAnsi" w:cstheme="minorHAnsi"/>
          <w:b/>
          <w:bCs/>
          <w:i/>
          <w:iCs/>
          <w:color w:val="000000"/>
          <w:szCs w:val="22"/>
        </w:rPr>
        <w:t xml:space="preserve">Левофлоксацин </w:t>
      </w:r>
      <w:r w:rsidRPr="006263CF">
        <w:rPr>
          <w:rFonts w:asciiTheme="minorHAnsi" w:hAnsiTheme="minorHAnsi" w:cstheme="minorHAnsi"/>
          <w:color w:val="000000"/>
          <w:szCs w:val="22"/>
        </w:rPr>
        <w:t xml:space="preserve">та </w:t>
      </w:r>
      <w:r w:rsidRPr="006263CF">
        <w:rPr>
          <w:rFonts w:asciiTheme="minorHAnsi" w:hAnsiTheme="minorHAnsi" w:cstheme="minorHAnsi"/>
          <w:b/>
          <w:bCs/>
          <w:i/>
          <w:iCs/>
          <w:color w:val="000000"/>
          <w:szCs w:val="22"/>
        </w:rPr>
        <w:t xml:space="preserve">моксифлоксацин </w:t>
      </w:r>
      <w:r w:rsidRPr="006263CF">
        <w:rPr>
          <w:rFonts w:asciiTheme="minorHAnsi" w:hAnsiTheme="minorHAnsi" w:cstheme="minorHAnsi"/>
          <w:color w:val="000000"/>
          <w:szCs w:val="22"/>
        </w:rPr>
        <w:t xml:space="preserve">є фторхінолонами пізнішого покоління, і їх використання в метааналізі, який ліг в основу настанов ВООЗ (оновлення до 2018 року), призвело до значного зниження ризику неефективності лікування або рецидиву і смерті </w:t>
      </w:r>
      <w:r w:rsidRPr="006263CF">
        <w:rPr>
          <w:rFonts w:asciiTheme="minorHAnsi" w:hAnsiTheme="minorHAnsi" w:cstheme="minorHAnsi"/>
          <w:i/>
          <w:iCs/>
          <w:color w:val="000000"/>
          <w:szCs w:val="22"/>
        </w:rPr>
        <w:t>(1, 15, 38, 39)</w:t>
      </w:r>
      <w:r w:rsidRPr="006263CF">
        <w:rPr>
          <w:rFonts w:asciiTheme="minorHAnsi" w:hAnsiTheme="minorHAnsi" w:cstheme="minorHAnsi"/>
          <w:color w:val="000000"/>
          <w:szCs w:val="22"/>
        </w:rPr>
        <w:t xml:space="preserve">. Левофлоксацин і моксифлоксацин однаково ефективні у фторхінолон-чутливих пацієнтів, і будь-який з них може бути розглянутий для лікування МР-ТБ. Ципрофлоксацин і офлоксацин менш ефективні при лікуванні МР-ТБ і більше не рекомендуються. Не було комерційно доступних препаратів гатифлоксацину, оскільки лікарський засіб був вилучений з ринку, коли в ході наглядового дослідження з міркувань безпечності були виявлені проблеми, пов'язані з дисглікемією у пацієнтів віком від 65 років </w:t>
      </w:r>
      <w:r w:rsidRPr="006263CF">
        <w:rPr>
          <w:rFonts w:asciiTheme="minorHAnsi" w:hAnsiTheme="minorHAnsi" w:cstheme="minorHAnsi"/>
          <w:i/>
          <w:iCs/>
          <w:color w:val="000000"/>
          <w:szCs w:val="22"/>
        </w:rPr>
        <w:t>(40)</w:t>
      </w:r>
      <w:r w:rsidRPr="006263CF">
        <w:rPr>
          <w:rFonts w:asciiTheme="minorHAnsi" w:hAnsiTheme="minorHAnsi" w:cstheme="minorHAnsi"/>
          <w:color w:val="000000"/>
          <w:szCs w:val="22"/>
        </w:rPr>
        <w:t>.</w:t>
      </w:r>
    </w:p>
    <w:p w:rsidR="005225B5" w:rsidRPr="006263CF" w:rsidRDefault="005225B5" w:rsidP="001F691B">
      <w:pPr>
        <w:spacing w:before="100"/>
        <w:ind w:right="5"/>
        <w:jc w:val="both"/>
        <w:rPr>
          <w:rFonts w:asciiTheme="minorHAnsi" w:hAnsiTheme="minorHAnsi" w:cstheme="minorHAnsi"/>
          <w:sz w:val="18"/>
        </w:rPr>
      </w:pPr>
      <w:r w:rsidRPr="006263CF">
        <w:rPr>
          <w:rFonts w:asciiTheme="minorHAnsi" w:hAnsiTheme="minorHAnsi" w:cstheme="minorHAnsi"/>
          <w:color w:val="000000"/>
          <w:szCs w:val="22"/>
        </w:rPr>
        <w:t xml:space="preserve">Відомо, що фторхінолони подовжують інтервал QT; це може викликати у деяких пацієнтів шлуночкову тахікардію по типу </w:t>
      </w:r>
      <w:r w:rsidRPr="006263CF">
        <w:rPr>
          <w:rFonts w:asciiTheme="minorHAnsi" w:hAnsiTheme="minorHAnsi" w:cstheme="minorHAnsi"/>
          <w:i/>
          <w:iCs/>
          <w:color w:val="000000"/>
          <w:szCs w:val="22"/>
        </w:rPr>
        <w:t>torsades de pointes</w:t>
      </w:r>
      <w:r w:rsidRPr="006263CF">
        <w:rPr>
          <w:rFonts w:asciiTheme="minorHAnsi" w:hAnsiTheme="minorHAnsi" w:cstheme="minorHAnsi"/>
          <w:color w:val="000000"/>
          <w:szCs w:val="22"/>
        </w:rPr>
        <w:t xml:space="preserve">, що може призвести до раптової смерті. Існує варіативність між фторхінолонами в цьому ефекті; однак у цілому подовження вважається мінімальним або помірним (для моксифлоксацину). Серцевий моніторинг необхідний при застосуванні лікарських засобів, що подовжують інтервал QT (5). Моксифлоксацин має більш виражений ефект на подовження QT, ніж левофлоксацин. Левофлоксацин і моксифлоксацин також асоціюються з метаболічними порушеннями при дисглікемії </w:t>
      </w:r>
      <w:r w:rsidRPr="006263CF">
        <w:rPr>
          <w:rFonts w:asciiTheme="minorHAnsi" w:hAnsiTheme="minorHAnsi" w:cstheme="minorHAnsi"/>
          <w:i/>
          <w:iCs/>
          <w:color w:val="000000"/>
          <w:szCs w:val="22"/>
        </w:rPr>
        <w:t>(41, 42)</w:t>
      </w:r>
      <w:r w:rsidRPr="006263CF">
        <w:rPr>
          <w:rFonts w:asciiTheme="minorHAnsi" w:hAnsiTheme="minorHAnsi" w:cstheme="minorHAnsi"/>
          <w:color w:val="000000"/>
          <w:szCs w:val="22"/>
        </w:rPr>
        <w:t>. Тим паче, більшість цих повідомлень надійшло від пацієнтів, які лікувалися від інших захворювань, крім МР/Риф-ТБ, і очікується, що співвідношення користь/ризик буде вище при використанні фторхінолонів при МР/Риф-ТБ (що виходить за рамки їх звичайних показань), враховуючи обмежені альтернативи лікування цього серйозного захворювання.</w:t>
      </w:r>
    </w:p>
    <w:p w:rsidR="005225B5" w:rsidRPr="006263CF" w:rsidRDefault="005225B5" w:rsidP="001F691B">
      <w:pPr>
        <w:spacing w:before="100"/>
        <w:jc w:val="both"/>
        <w:rPr>
          <w:rFonts w:asciiTheme="minorHAnsi" w:hAnsiTheme="minorHAnsi" w:cstheme="minorHAnsi"/>
          <w:sz w:val="18"/>
        </w:rPr>
      </w:pPr>
      <w:r w:rsidRPr="006263CF">
        <w:rPr>
          <w:rFonts w:asciiTheme="minorHAnsi" w:hAnsiTheme="minorHAnsi" w:cstheme="minorHAnsi"/>
          <w:color w:val="000000"/>
          <w:szCs w:val="22"/>
        </w:rPr>
        <w:t>Швидкомолекулярний ТМЧ доступний та надійний для левофлоксацину та моксифлоксацину. Якщо ТМЧ до моксифлоксацину підтверджує стійкість, або якщо в анамнезі виявлено, що він не був ефективний (наприклад, при тривалому застосуванні в разі порушення схеми лікування), його не слід використовувати. В таких умовах левофлоксацин також навряд чи буде ефективним, і фторхінолони треба було б у схемі лікування замінити. Високі дози моксифлоксацину можна застосовувати у разі стійкості до левофлоксацину та низької стійкості до моксифлоксацину.</w:t>
      </w:r>
    </w:p>
    <w:p w:rsidR="005225B5" w:rsidRPr="006263CF" w:rsidRDefault="005225B5" w:rsidP="001F691B">
      <w:pPr>
        <w:spacing w:before="100"/>
        <w:ind w:right="5"/>
        <w:jc w:val="both"/>
        <w:rPr>
          <w:rFonts w:asciiTheme="minorHAnsi" w:hAnsiTheme="minorHAnsi" w:cstheme="minorHAnsi"/>
          <w:sz w:val="18"/>
        </w:rPr>
      </w:pPr>
      <w:r w:rsidRPr="006263CF">
        <w:rPr>
          <w:rFonts w:asciiTheme="minorHAnsi" w:hAnsiTheme="minorHAnsi" w:cstheme="minorHAnsi"/>
          <w:b/>
          <w:bCs/>
          <w:i/>
          <w:iCs/>
          <w:color w:val="000000"/>
          <w:szCs w:val="22"/>
        </w:rPr>
        <w:t xml:space="preserve">Бедаквілін. </w:t>
      </w:r>
      <w:r w:rsidRPr="006263CF">
        <w:rPr>
          <w:rFonts w:asciiTheme="minorHAnsi" w:hAnsiTheme="minorHAnsi" w:cstheme="minorHAnsi"/>
          <w:color w:val="000000"/>
          <w:szCs w:val="22"/>
        </w:rPr>
        <w:t>У метааналізі даних індивідуальних пацієнтів, який використовувався в якості доказових даних для настанов ВООЗ</w:t>
      </w:r>
      <w:r w:rsidRPr="006263CF">
        <w:rPr>
          <w:rFonts w:asciiTheme="minorHAnsi" w:hAnsiTheme="minorHAnsi" w:cstheme="minorHAnsi"/>
          <w:i/>
          <w:iCs/>
          <w:color w:val="000000"/>
          <w:szCs w:val="22"/>
        </w:rPr>
        <w:t xml:space="preserve">, </w:t>
      </w:r>
      <w:r w:rsidRPr="006263CF">
        <w:rPr>
          <w:rFonts w:asciiTheme="minorHAnsi" w:hAnsiTheme="minorHAnsi" w:cstheme="minorHAnsi"/>
          <w:color w:val="000000"/>
          <w:szCs w:val="22"/>
        </w:rPr>
        <w:t xml:space="preserve">застосування бедаквіліну призвело до зменшення епізодів неефективного лікування, рецидиву і смерті </w:t>
      </w:r>
      <w:r w:rsidRPr="006263CF">
        <w:rPr>
          <w:rFonts w:asciiTheme="minorHAnsi" w:hAnsiTheme="minorHAnsi" w:cstheme="minorHAnsi"/>
          <w:i/>
          <w:iCs/>
          <w:color w:val="000000"/>
          <w:szCs w:val="22"/>
        </w:rPr>
        <w:t>(3)</w:t>
      </w:r>
      <w:r w:rsidRPr="006263CF">
        <w:rPr>
          <w:rFonts w:asciiTheme="minorHAnsi" w:hAnsiTheme="minorHAnsi" w:cstheme="minorHAnsi"/>
          <w:color w:val="000000"/>
          <w:szCs w:val="22"/>
        </w:rPr>
        <w:t xml:space="preserve">. Досвід застосування бедаквіліну у дітей у віці до 6 років обмежений, але зростає досвід його застосування у підлітків і людей похилого віку, пацієнтів з позалегеневим туберкульозом і, зокрема, ВІЛ-інфікованих. У ранньому дослідженні підвищений ризик смерті спостерігався у пацієнтів, які лікуються по схемам, що містять бедаквілін (9/79; 11,4%), в порівнянні з групою плацебо (2/81; 2,5%), хоча не всі смертельні випадки були безпосередньо пов'язані з бедаквіліном </w:t>
      </w:r>
      <w:r w:rsidRPr="006263CF">
        <w:rPr>
          <w:rFonts w:asciiTheme="minorHAnsi" w:hAnsiTheme="minorHAnsi" w:cstheme="minorHAnsi"/>
          <w:i/>
          <w:iCs/>
          <w:color w:val="000000"/>
          <w:szCs w:val="22"/>
        </w:rPr>
        <w:t>(43, 44)</w:t>
      </w:r>
      <w:r w:rsidRPr="006263CF">
        <w:rPr>
          <w:rFonts w:asciiTheme="minorHAnsi" w:hAnsiTheme="minorHAnsi" w:cstheme="minorHAnsi"/>
          <w:color w:val="000000"/>
          <w:szCs w:val="22"/>
        </w:rPr>
        <w:t xml:space="preserve">. Цей ризик не був однозначно обумовлений бедаквіліном або будь-якими відомими токсичними властивостями (наприклад, подовження інтервалу QT). Додатковий аналіз даних спостережних досліджень не підтвердив цей факт, а, скоріше, вказав на поліпшення виживання пацієнтів, які лікувалися по схемам, що містять бедаквілін </w:t>
      </w:r>
      <w:r w:rsidRPr="006263CF">
        <w:rPr>
          <w:rFonts w:asciiTheme="minorHAnsi" w:hAnsiTheme="minorHAnsi" w:cstheme="minorHAnsi"/>
          <w:i/>
          <w:iCs/>
          <w:color w:val="000000"/>
          <w:szCs w:val="22"/>
        </w:rPr>
        <w:t xml:space="preserve">(45) </w:t>
      </w:r>
      <w:r w:rsidRPr="006263CF">
        <w:rPr>
          <w:rFonts w:asciiTheme="minorHAnsi" w:hAnsiTheme="minorHAnsi" w:cstheme="minorHAnsi"/>
          <w:color w:val="000000"/>
          <w:szCs w:val="22"/>
        </w:rPr>
        <w:t xml:space="preserve">і сприятливий рівень безпечності в разі використання бедаквіліну разом з іншими протитуберкульозними препаратами, в тому числі з лікарськими препаратами, які викликають аналогічне подовженням QT (наприклад, моксифлоксацин, клофазимін і деламанід) </w:t>
      </w:r>
      <w:r w:rsidRPr="006263CF">
        <w:rPr>
          <w:rFonts w:asciiTheme="minorHAnsi" w:hAnsiTheme="minorHAnsi" w:cstheme="minorHAnsi"/>
          <w:i/>
          <w:iCs/>
          <w:color w:val="000000"/>
          <w:szCs w:val="22"/>
        </w:rPr>
        <w:t>(46–51)</w:t>
      </w:r>
      <w:r w:rsidRPr="006263CF">
        <w:rPr>
          <w:rFonts w:asciiTheme="minorHAnsi" w:hAnsiTheme="minorHAnsi" w:cstheme="minorHAnsi"/>
          <w:color w:val="000000"/>
          <w:szCs w:val="22"/>
        </w:rPr>
        <w:t xml:space="preserve">. Проведений нещодавно огляд даних для консолідованих настанов ВООЗ </w:t>
      </w:r>
      <w:r w:rsidRPr="006263CF">
        <w:rPr>
          <w:rFonts w:asciiTheme="minorHAnsi" w:hAnsiTheme="minorHAnsi" w:cstheme="minorHAnsi"/>
          <w:i/>
          <w:iCs/>
          <w:color w:val="000000"/>
          <w:szCs w:val="22"/>
        </w:rPr>
        <w:t xml:space="preserve">(1) </w:t>
      </w:r>
      <w:r w:rsidRPr="006263CF">
        <w:rPr>
          <w:rFonts w:asciiTheme="minorHAnsi" w:hAnsiTheme="minorHAnsi" w:cstheme="minorHAnsi"/>
          <w:color w:val="000000"/>
          <w:szCs w:val="22"/>
        </w:rPr>
        <w:t xml:space="preserve">показав, що не існує ніяких додаткових проблем з точки зору безпечності в разі використання бедаквіліну після 6 місяців використання одночасно з вживанням деламаніду або у період вагітності </w:t>
      </w:r>
      <w:r w:rsidRPr="006263CF">
        <w:rPr>
          <w:rFonts w:asciiTheme="minorHAnsi" w:hAnsiTheme="minorHAnsi" w:cstheme="minorHAnsi"/>
          <w:i/>
          <w:iCs/>
          <w:color w:val="000000"/>
          <w:szCs w:val="22"/>
        </w:rPr>
        <w:t xml:space="preserve">(1, 48, 93) </w:t>
      </w:r>
      <w:r w:rsidRPr="006263CF">
        <w:rPr>
          <w:rFonts w:asciiTheme="minorHAnsi" w:hAnsiTheme="minorHAnsi" w:cstheme="minorHAnsi"/>
          <w:color w:val="000000"/>
          <w:szCs w:val="22"/>
        </w:rPr>
        <w:t xml:space="preserve">(див. </w:t>
      </w:r>
      <w:r w:rsidRPr="006263CF">
        <w:rPr>
          <w:rFonts w:asciiTheme="minorHAnsi" w:hAnsiTheme="minorHAnsi" w:cstheme="minorHAnsi"/>
          <w:color w:val="1F61AA"/>
          <w:szCs w:val="22"/>
        </w:rPr>
        <w:t xml:space="preserve">Розділ 6.1 </w:t>
      </w:r>
      <w:r w:rsidRPr="006263CF">
        <w:rPr>
          <w:rFonts w:asciiTheme="minorHAnsi" w:hAnsiTheme="minorHAnsi" w:cstheme="minorHAnsi"/>
          <w:color w:val="000000"/>
          <w:szCs w:val="22"/>
        </w:rPr>
        <w:t xml:space="preserve">та </w:t>
      </w:r>
      <w:r w:rsidRPr="006263CF">
        <w:rPr>
          <w:rFonts w:asciiTheme="minorHAnsi" w:hAnsiTheme="minorHAnsi" w:cstheme="minorHAnsi"/>
          <w:color w:val="1F61AA"/>
          <w:szCs w:val="22"/>
        </w:rPr>
        <w:t>6.2</w:t>
      </w:r>
      <w:r w:rsidRPr="006263CF">
        <w:rPr>
          <w:rFonts w:asciiTheme="minorHAnsi" w:hAnsiTheme="minorHAnsi" w:cstheme="minorHAnsi"/>
          <w:color w:val="000000"/>
          <w:szCs w:val="22"/>
        </w:rPr>
        <w:t>). Наявні дані дозволяють припустити, що одночасне застосування бедаквіліну та деламаніду не збільшує ризик клінічно значущого подовження QT. Виникнення стійкості бедаквіліну слід контролювати в умовах, де він використовується.</w:t>
      </w:r>
    </w:p>
    <w:p w:rsidR="005225B5" w:rsidRPr="006263CF" w:rsidRDefault="005225B5" w:rsidP="001F691B">
      <w:pPr>
        <w:spacing w:before="100"/>
        <w:ind w:right="5"/>
        <w:jc w:val="both"/>
        <w:rPr>
          <w:rFonts w:asciiTheme="minorHAnsi" w:hAnsiTheme="minorHAnsi" w:cstheme="minorHAnsi"/>
          <w:sz w:val="18"/>
        </w:rPr>
      </w:pPr>
      <w:r w:rsidRPr="006263CF">
        <w:rPr>
          <w:rFonts w:asciiTheme="minorHAnsi" w:hAnsiTheme="minorHAnsi" w:cstheme="minorHAnsi"/>
          <w:color w:val="000000"/>
          <w:szCs w:val="22"/>
        </w:rPr>
        <w:t>Бедаквілін метаболізується ферментами цитохрому Р450 в печінці. Лікарські засоби, які індукують або пригнічують цю систему ферментів, приведуть до взаємодії лікарських засобів, що може вплинути на рівень бедаквіліну в крові. Індуктори цитохрому Р450 знижують рівень бедаквіліну в крові, що призводить до виникнення недостатнього рівня бедаквіліну в організмі для усунення туберкульозної інфекції. І навпаки,</w:t>
      </w:r>
    </w:p>
    <w:p w:rsidR="005225B5" w:rsidRPr="006263CF" w:rsidRDefault="005225B5" w:rsidP="006263CF">
      <w:pPr>
        <w:spacing w:before="149"/>
        <w:ind w:right="5"/>
        <w:jc w:val="both"/>
        <w:rPr>
          <w:rFonts w:asciiTheme="minorHAnsi" w:hAnsiTheme="minorHAnsi" w:cstheme="minorHAnsi"/>
          <w:sz w:val="18"/>
        </w:rPr>
        <w:sectPr w:rsidR="005225B5" w:rsidRPr="006263CF" w:rsidSect="001F691B">
          <w:pgSz w:w="11904" w:h="16838"/>
          <w:pgMar w:top="1315" w:right="1411" w:bottom="142" w:left="1416"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453"/>
        <w:gridCol w:w="2064"/>
        <w:gridCol w:w="4781"/>
      </w:tblGrid>
      <w:tr w:rsidR="005225B5" w:rsidRPr="006263CF">
        <w:trPr>
          <w:trHeight w:hRule="exact" w:val="960"/>
        </w:trPr>
        <w:tc>
          <w:tcPr>
            <w:tcW w:w="9298" w:type="dxa"/>
            <w:gridSpan w:val="3"/>
            <w:tcBorders>
              <w:top w:val="nil"/>
              <w:left w:val="nil"/>
              <w:bottom w:val="nil"/>
              <w:right w:val="nil"/>
            </w:tcBorders>
            <w:shd w:val="clear" w:color="auto" w:fill="FFFFFF"/>
          </w:tcPr>
          <w:p w:rsidR="005225B5" w:rsidRPr="006263CF" w:rsidRDefault="005225B5" w:rsidP="001F691B">
            <w:pPr>
              <w:ind w:left="29"/>
              <w:jc w:val="both"/>
              <w:rPr>
                <w:rFonts w:asciiTheme="minorHAnsi" w:hAnsiTheme="minorHAnsi" w:cstheme="minorHAnsi"/>
                <w:sz w:val="18"/>
              </w:rPr>
            </w:pPr>
            <w:r w:rsidRPr="006263CF">
              <w:rPr>
                <w:rFonts w:asciiTheme="minorHAnsi" w:hAnsiTheme="minorHAnsi" w:cstheme="minorHAnsi"/>
                <w:color w:val="000000"/>
                <w:szCs w:val="22"/>
              </w:rPr>
              <w:lastRenderedPageBreak/>
              <w:t>інгібітори цитохрому Р450 підвищують рівень бедаквіліну в крові, що призводить до можливості підвищеного ризику токсичності. У таблиці 6.2 наведені приклади лікарських засобів, яких слід уникати при використанні бедаквіліну.</w:t>
            </w:r>
          </w:p>
        </w:tc>
      </w:tr>
      <w:tr w:rsidR="005225B5" w:rsidRPr="006263CF" w:rsidTr="001F691B">
        <w:trPr>
          <w:trHeight w:hRule="exact" w:val="740"/>
        </w:trPr>
        <w:tc>
          <w:tcPr>
            <w:tcW w:w="9298" w:type="dxa"/>
            <w:gridSpan w:val="3"/>
            <w:tcBorders>
              <w:top w:val="nil"/>
              <w:left w:val="nil"/>
              <w:right w:val="nil"/>
            </w:tcBorders>
            <w:shd w:val="clear" w:color="auto" w:fill="FFFFFF"/>
          </w:tcPr>
          <w:p w:rsidR="005225B5" w:rsidRPr="006263CF" w:rsidRDefault="005225B5" w:rsidP="006263CF">
            <w:pPr>
              <w:ind w:left="29"/>
              <w:rPr>
                <w:rFonts w:asciiTheme="minorHAnsi" w:hAnsiTheme="minorHAnsi" w:cstheme="minorHAnsi"/>
                <w:sz w:val="18"/>
              </w:rPr>
            </w:pPr>
            <w:bookmarkStart w:id="23" w:name="bookmark22"/>
            <w:r w:rsidRPr="006263CF">
              <w:rPr>
                <w:rFonts w:asciiTheme="minorHAnsi" w:hAnsiTheme="minorHAnsi" w:cstheme="minorHAnsi"/>
                <w:sz w:val="18"/>
              </w:rPr>
              <w:t>Т</w:t>
            </w:r>
            <w:bookmarkEnd w:id="23"/>
            <w:r w:rsidRPr="006263CF">
              <w:rPr>
                <w:rFonts w:asciiTheme="minorHAnsi" w:hAnsiTheme="minorHAnsi" w:cstheme="minorHAnsi"/>
                <w:b/>
                <w:bCs/>
                <w:color w:val="636466"/>
                <w:sz w:val="22"/>
                <w:szCs w:val="24"/>
              </w:rPr>
              <w:t>аблиця 6.2. Можлива взаємодія бедаквіліну з іншими лікарськими препаратами</w:t>
            </w:r>
          </w:p>
          <w:p w:rsidR="005225B5" w:rsidRPr="006263CF" w:rsidRDefault="005225B5" w:rsidP="006263CF">
            <w:pPr>
              <w:ind w:left="29"/>
              <w:rPr>
                <w:rFonts w:asciiTheme="minorHAnsi" w:hAnsiTheme="minorHAnsi" w:cstheme="minorHAnsi"/>
                <w:sz w:val="18"/>
              </w:rPr>
            </w:pPr>
            <w:r w:rsidRPr="006263CF">
              <w:rPr>
                <w:rFonts w:asciiTheme="minorHAnsi" w:hAnsiTheme="minorHAnsi" w:cstheme="minorHAnsi"/>
                <w:i/>
                <w:iCs/>
                <w:color w:val="636466"/>
                <w:sz w:val="22"/>
                <w:szCs w:val="24"/>
              </w:rPr>
              <w:t>(52-54)</w:t>
            </w:r>
          </w:p>
        </w:tc>
      </w:tr>
      <w:tr w:rsidR="005225B5" w:rsidRPr="006263CF" w:rsidTr="001F691B">
        <w:trPr>
          <w:trHeight w:hRule="exact" w:val="565"/>
        </w:trPr>
        <w:tc>
          <w:tcPr>
            <w:tcW w:w="2453" w:type="dxa"/>
            <w:tcBorders>
              <w:left w:val="nil"/>
              <w:bottom w:val="nil"/>
              <w:right w:val="nil"/>
            </w:tcBorders>
            <w:shd w:val="clear" w:color="auto" w:fill="C1C8E4"/>
            <w:vAlign w:val="center"/>
          </w:tcPr>
          <w:p w:rsidR="005225B5" w:rsidRPr="006263CF" w:rsidRDefault="005225B5" w:rsidP="001F691B">
            <w:pPr>
              <w:ind w:left="102" w:right="3"/>
              <w:rPr>
                <w:rFonts w:asciiTheme="minorHAnsi" w:hAnsiTheme="minorHAnsi" w:cstheme="minorHAnsi"/>
                <w:sz w:val="18"/>
              </w:rPr>
            </w:pPr>
            <w:r w:rsidRPr="006263CF">
              <w:rPr>
                <w:rFonts w:asciiTheme="minorHAnsi" w:hAnsiTheme="minorHAnsi" w:cstheme="minorHAnsi"/>
                <w:b/>
                <w:bCs/>
                <w:color w:val="000000"/>
                <w:szCs w:val="22"/>
              </w:rPr>
              <w:t>Взаємодія лікарських засобів</w:t>
            </w:r>
          </w:p>
        </w:tc>
        <w:tc>
          <w:tcPr>
            <w:tcW w:w="2064" w:type="dxa"/>
            <w:tcBorders>
              <w:left w:val="nil"/>
              <w:bottom w:val="nil"/>
              <w:right w:val="nil"/>
            </w:tcBorders>
            <w:shd w:val="clear" w:color="auto" w:fill="C1C8E4"/>
            <w:vAlign w:val="center"/>
          </w:tcPr>
          <w:p w:rsidR="005225B5" w:rsidRPr="006263CF" w:rsidRDefault="005225B5" w:rsidP="001F691B">
            <w:pPr>
              <w:ind w:left="102" w:right="3"/>
              <w:rPr>
                <w:rFonts w:asciiTheme="minorHAnsi" w:hAnsiTheme="minorHAnsi" w:cstheme="minorHAnsi"/>
                <w:sz w:val="18"/>
              </w:rPr>
            </w:pPr>
            <w:r w:rsidRPr="006263CF">
              <w:rPr>
                <w:rFonts w:asciiTheme="minorHAnsi" w:hAnsiTheme="minorHAnsi" w:cstheme="minorHAnsi"/>
                <w:b/>
                <w:bCs/>
                <w:color w:val="000000"/>
                <w:szCs w:val="22"/>
              </w:rPr>
              <w:t>Лікарські препарати</w:t>
            </w:r>
          </w:p>
        </w:tc>
        <w:tc>
          <w:tcPr>
            <w:tcW w:w="4781" w:type="dxa"/>
            <w:tcBorders>
              <w:left w:val="nil"/>
              <w:bottom w:val="nil"/>
              <w:right w:val="nil"/>
            </w:tcBorders>
            <w:shd w:val="clear" w:color="auto" w:fill="C1C8E4"/>
            <w:vAlign w:val="center"/>
          </w:tcPr>
          <w:p w:rsidR="005225B5" w:rsidRPr="006263CF" w:rsidRDefault="005225B5" w:rsidP="001F691B">
            <w:pPr>
              <w:ind w:left="102" w:right="3"/>
              <w:rPr>
                <w:rFonts w:asciiTheme="minorHAnsi" w:hAnsiTheme="minorHAnsi" w:cstheme="minorHAnsi"/>
                <w:sz w:val="18"/>
              </w:rPr>
            </w:pPr>
            <w:r w:rsidRPr="006263CF">
              <w:rPr>
                <w:rFonts w:asciiTheme="minorHAnsi" w:hAnsiTheme="minorHAnsi" w:cstheme="minorHAnsi"/>
                <w:b/>
                <w:bCs/>
                <w:color w:val="000000"/>
                <w:szCs w:val="22"/>
              </w:rPr>
              <w:t>Примітки та інструкції</w:t>
            </w:r>
          </w:p>
        </w:tc>
      </w:tr>
      <w:tr w:rsidR="005225B5" w:rsidRPr="006263CF" w:rsidTr="001F691B">
        <w:trPr>
          <w:trHeight w:hRule="exact" w:val="2259"/>
        </w:trPr>
        <w:tc>
          <w:tcPr>
            <w:tcW w:w="2453" w:type="dxa"/>
            <w:tcBorders>
              <w:top w:val="nil"/>
              <w:left w:val="nil"/>
              <w:bottom w:val="single" w:sz="6" w:space="0" w:color="auto"/>
              <w:right w:val="nil"/>
            </w:tcBorders>
            <w:shd w:val="clear" w:color="auto" w:fill="FFFFFF"/>
          </w:tcPr>
          <w:p w:rsidR="005225B5" w:rsidRPr="006263CF" w:rsidRDefault="005225B5" w:rsidP="001F691B">
            <w:pPr>
              <w:ind w:left="102" w:right="3"/>
              <w:rPr>
                <w:rFonts w:asciiTheme="minorHAnsi" w:hAnsiTheme="minorHAnsi" w:cstheme="minorHAnsi"/>
                <w:sz w:val="18"/>
              </w:rPr>
            </w:pPr>
            <w:r w:rsidRPr="006263CF">
              <w:rPr>
                <w:rFonts w:asciiTheme="minorHAnsi" w:hAnsiTheme="minorHAnsi" w:cstheme="minorHAnsi"/>
                <w:color w:val="000000"/>
                <w:szCs w:val="22"/>
              </w:rPr>
              <w:t>Сильні/помірні індуктори цитохрому P450</w:t>
            </w:r>
            <w:r w:rsidRPr="006263CF">
              <w:rPr>
                <w:rFonts w:asciiTheme="minorHAnsi" w:hAnsiTheme="minorHAnsi" w:cstheme="minorHAnsi"/>
                <w:color w:val="000000"/>
                <w:szCs w:val="22"/>
                <w:vertAlign w:val="superscript"/>
              </w:rPr>
              <w:t xml:space="preserve">2 </w:t>
            </w:r>
            <w:r w:rsidRPr="006263CF">
              <w:rPr>
                <w:rFonts w:asciiTheme="minorHAnsi" w:hAnsiTheme="minorHAnsi" w:cstheme="minorHAnsi"/>
                <w:color w:val="000000"/>
                <w:szCs w:val="22"/>
              </w:rPr>
              <w:t>можуть знижувати рівень бедаквіліну в крові</w:t>
            </w:r>
          </w:p>
        </w:tc>
        <w:tc>
          <w:tcPr>
            <w:tcW w:w="2064" w:type="dxa"/>
            <w:tcBorders>
              <w:top w:val="nil"/>
              <w:left w:val="nil"/>
              <w:bottom w:val="single" w:sz="6" w:space="0" w:color="auto"/>
              <w:right w:val="nil"/>
            </w:tcBorders>
            <w:shd w:val="clear" w:color="auto" w:fill="FFFFFF"/>
          </w:tcPr>
          <w:p w:rsidR="005225B5" w:rsidRPr="006263CF" w:rsidRDefault="005225B5" w:rsidP="001F691B">
            <w:pPr>
              <w:ind w:left="102" w:right="3"/>
              <w:rPr>
                <w:rFonts w:asciiTheme="minorHAnsi" w:hAnsiTheme="minorHAnsi" w:cstheme="minorHAnsi"/>
                <w:sz w:val="18"/>
              </w:rPr>
            </w:pPr>
            <w:r w:rsidRPr="006263CF">
              <w:rPr>
                <w:rFonts w:asciiTheme="minorHAnsi" w:hAnsiTheme="minorHAnsi" w:cstheme="minorHAnsi"/>
                <w:color w:val="000000"/>
                <w:szCs w:val="22"/>
              </w:rPr>
              <w:t>Ефавіренц</w:t>
            </w:r>
            <w:r w:rsidRPr="006263CF">
              <w:rPr>
                <w:rFonts w:asciiTheme="minorHAnsi" w:hAnsiTheme="minorHAnsi" w:cstheme="minorHAnsi"/>
                <w:color w:val="000000"/>
                <w:szCs w:val="22"/>
                <w:vertAlign w:val="superscript"/>
              </w:rPr>
              <w:t>a</w:t>
            </w:r>
          </w:p>
          <w:p w:rsidR="005225B5" w:rsidRPr="006263CF" w:rsidRDefault="005225B5" w:rsidP="001F691B">
            <w:pPr>
              <w:ind w:left="102" w:right="3"/>
              <w:rPr>
                <w:rFonts w:asciiTheme="minorHAnsi" w:hAnsiTheme="minorHAnsi" w:cstheme="minorHAnsi"/>
                <w:sz w:val="18"/>
              </w:rPr>
            </w:pPr>
            <w:r w:rsidRPr="006263CF">
              <w:rPr>
                <w:rFonts w:asciiTheme="minorHAnsi" w:hAnsiTheme="minorHAnsi" w:cstheme="minorHAnsi"/>
                <w:color w:val="000000"/>
                <w:szCs w:val="22"/>
              </w:rPr>
              <w:t>Рифаміцини: Рифампіцин Рифапентин Рифабутин Фенітоїн Карбамазепін Фенобарбітал Звіробій</w:t>
            </w:r>
          </w:p>
        </w:tc>
        <w:tc>
          <w:tcPr>
            <w:tcW w:w="4781" w:type="dxa"/>
            <w:tcBorders>
              <w:top w:val="nil"/>
              <w:left w:val="nil"/>
              <w:bottom w:val="single" w:sz="6" w:space="0" w:color="auto"/>
              <w:right w:val="nil"/>
            </w:tcBorders>
            <w:shd w:val="clear" w:color="auto" w:fill="FFFFFF"/>
          </w:tcPr>
          <w:p w:rsidR="005225B5" w:rsidRPr="001F691B" w:rsidRDefault="005225B5" w:rsidP="001F691B">
            <w:pPr>
              <w:ind w:left="263" w:right="3" w:hanging="161"/>
              <w:rPr>
                <w:rFonts w:asciiTheme="minorHAnsi" w:hAnsiTheme="minorHAnsi" w:cstheme="minorHAnsi"/>
              </w:rPr>
            </w:pPr>
            <w:r w:rsidRPr="001F691B">
              <w:rPr>
                <w:rFonts w:asciiTheme="minorHAnsi" w:hAnsiTheme="minorHAnsi" w:cstheme="minorHAnsi"/>
                <w:color w:val="000000"/>
                <w:vertAlign w:val="superscript"/>
              </w:rPr>
              <w:t>a</w:t>
            </w:r>
            <w:r w:rsidRPr="001F691B">
              <w:rPr>
                <w:rFonts w:asciiTheme="minorHAnsi" w:hAnsiTheme="minorHAnsi" w:cstheme="minorHAnsi"/>
                <w:color w:val="000000"/>
              </w:rPr>
              <w:t xml:space="preserve"> Ефавіренц (ЕФВ) знизить рівень бедаквіліну в крові. Тому рекомендується замінити невірапін (НВП) або інгібітор інтегрази на ЕФВ при застосуванні з бедаквіліном.</w:t>
            </w:r>
          </w:p>
          <w:p w:rsidR="005225B5" w:rsidRPr="001F691B" w:rsidRDefault="005225B5" w:rsidP="001F691B">
            <w:pPr>
              <w:ind w:left="263" w:right="3" w:hanging="161"/>
              <w:rPr>
                <w:rFonts w:asciiTheme="minorHAnsi" w:hAnsiTheme="minorHAnsi" w:cstheme="minorHAnsi"/>
              </w:rPr>
            </w:pPr>
            <w:r w:rsidRPr="001F691B">
              <w:rPr>
                <w:rFonts w:asciiTheme="minorHAnsi" w:hAnsiTheme="minorHAnsi" w:cstheme="minorHAnsi"/>
                <w:color w:val="000000"/>
                <w:vertAlign w:val="superscript"/>
              </w:rPr>
              <w:t>b</w:t>
            </w:r>
            <w:r w:rsidRPr="001F691B">
              <w:rPr>
                <w:rFonts w:asciiTheme="minorHAnsi" w:hAnsiTheme="minorHAnsi" w:cstheme="minorHAnsi"/>
                <w:color w:val="000000"/>
              </w:rPr>
              <w:t xml:space="preserve"> Більш повний перелік лікарських засобів, які впливають на систему цитохрому Р450 і схильні до його впливу, див на веб-сторінках "Взаємодія лікарських засобів" медичного факультету Університету Індіани (52).</w:t>
            </w:r>
          </w:p>
        </w:tc>
      </w:tr>
      <w:tr w:rsidR="005225B5" w:rsidRPr="006263CF" w:rsidTr="001F691B">
        <w:trPr>
          <w:trHeight w:hRule="exact" w:val="4135"/>
        </w:trPr>
        <w:tc>
          <w:tcPr>
            <w:tcW w:w="2453" w:type="dxa"/>
            <w:tcBorders>
              <w:top w:val="single" w:sz="6" w:space="0" w:color="auto"/>
              <w:left w:val="nil"/>
              <w:bottom w:val="single" w:sz="6" w:space="0" w:color="auto"/>
              <w:right w:val="nil"/>
            </w:tcBorders>
            <w:shd w:val="clear" w:color="auto" w:fill="FFFFFF"/>
          </w:tcPr>
          <w:p w:rsidR="005225B5" w:rsidRPr="006263CF" w:rsidRDefault="005225B5" w:rsidP="001F691B">
            <w:pPr>
              <w:ind w:left="102" w:right="3"/>
              <w:rPr>
                <w:rFonts w:asciiTheme="minorHAnsi" w:hAnsiTheme="minorHAnsi" w:cstheme="minorHAnsi"/>
                <w:sz w:val="18"/>
              </w:rPr>
            </w:pPr>
            <w:r w:rsidRPr="006263CF">
              <w:rPr>
                <w:rFonts w:asciiTheme="minorHAnsi" w:hAnsiTheme="minorHAnsi" w:cstheme="minorHAnsi"/>
                <w:color w:val="000000"/>
                <w:szCs w:val="22"/>
              </w:rPr>
              <w:t>Сильні/помірні інгібітори цитохрому Р450 можуть підвищити рівень бедаквіліну в крові</w:t>
            </w:r>
          </w:p>
        </w:tc>
        <w:tc>
          <w:tcPr>
            <w:tcW w:w="2064" w:type="dxa"/>
            <w:tcBorders>
              <w:top w:val="single" w:sz="6" w:space="0" w:color="auto"/>
              <w:left w:val="nil"/>
              <w:bottom w:val="single" w:sz="6" w:space="0" w:color="auto"/>
              <w:right w:val="nil"/>
            </w:tcBorders>
            <w:shd w:val="clear" w:color="auto" w:fill="FFFFFF"/>
          </w:tcPr>
          <w:p w:rsidR="005225B5" w:rsidRPr="006263CF" w:rsidRDefault="005225B5" w:rsidP="001F691B">
            <w:pPr>
              <w:ind w:left="102" w:right="3"/>
              <w:rPr>
                <w:rFonts w:asciiTheme="minorHAnsi" w:hAnsiTheme="minorHAnsi" w:cstheme="minorHAnsi"/>
                <w:sz w:val="18"/>
              </w:rPr>
            </w:pPr>
            <w:r w:rsidRPr="006263CF">
              <w:rPr>
                <w:rFonts w:asciiTheme="minorHAnsi" w:hAnsiTheme="minorHAnsi" w:cstheme="minorHAnsi"/>
                <w:color w:val="000000"/>
                <w:szCs w:val="22"/>
              </w:rPr>
              <w:t>Інгібітор протеази</w:t>
            </w:r>
          </w:p>
          <w:p w:rsidR="005225B5" w:rsidRPr="006263CF" w:rsidRDefault="005225B5" w:rsidP="001F691B">
            <w:pPr>
              <w:ind w:left="102" w:right="3"/>
              <w:rPr>
                <w:rFonts w:asciiTheme="minorHAnsi" w:hAnsiTheme="minorHAnsi" w:cstheme="minorHAnsi"/>
                <w:sz w:val="18"/>
              </w:rPr>
            </w:pPr>
            <w:r w:rsidRPr="006263CF">
              <w:rPr>
                <w:rFonts w:asciiTheme="minorHAnsi" w:hAnsiTheme="minorHAnsi" w:cstheme="minorHAnsi"/>
                <w:color w:val="000000"/>
                <w:szCs w:val="22"/>
              </w:rPr>
              <w:t>посилений ритонавіром</w:t>
            </w:r>
            <w:r w:rsidRPr="006263CF">
              <w:rPr>
                <w:rFonts w:asciiTheme="minorHAnsi" w:hAnsiTheme="minorHAnsi" w:cstheme="minorHAnsi"/>
                <w:color w:val="000000"/>
                <w:szCs w:val="22"/>
                <w:vertAlign w:val="superscript"/>
              </w:rPr>
              <w:t>c</w:t>
            </w:r>
          </w:p>
          <w:p w:rsidR="005225B5" w:rsidRPr="006263CF" w:rsidRDefault="005225B5" w:rsidP="001F691B">
            <w:pPr>
              <w:ind w:left="102" w:right="3"/>
              <w:rPr>
                <w:rFonts w:asciiTheme="minorHAnsi" w:hAnsiTheme="minorHAnsi" w:cstheme="minorHAnsi"/>
                <w:sz w:val="18"/>
              </w:rPr>
            </w:pPr>
            <w:r w:rsidRPr="006263CF">
              <w:rPr>
                <w:rFonts w:asciiTheme="minorHAnsi" w:hAnsiTheme="minorHAnsi" w:cstheme="minorHAnsi"/>
                <w:color w:val="000000"/>
                <w:szCs w:val="22"/>
              </w:rPr>
              <w:t>Оральні протигрибкові засоби, похідні азолів (можна використовувати до 2 тижнів):</w:t>
            </w:r>
          </w:p>
          <w:p w:rsidR="005225B5" w:rsidRPr="006263CF" w:rsidRDefault="005225B5" w:rsidP="001F691B">
            <w:pPr>
              <w:ind w:left="102" w:right="3"/>
              <w:rPr>
                <w:rFonts w:asciiTheme="minorHAnsi" w:hAnsiTheme="minorHAnsi" w:cstheme="minorHAnsi"/>
                <w:sz w:val="18"/>
              </w:rPr>
            </w:pPr>
            <w:r w:rsidRPr="006263CF">
              <w:rPr>
                <w:rFonts w:asciiTheme="minorHAnsi" w:hAnsiTheme="minorHAnsi" w:cstheme="minorHAnsi"/>
                <w:color w:val="000000"/>
                <w:szCs w:val="22"/>
              </w:rPr>
              <w:t>Ітракорназол</w:t>
            </w:r>
          </w:p>
          <w:p w:rsidR="005225B5" w:rsidRPr="006263CF" w:rsidRDefault="005225B5" w:rsidP="001F691B">
            <w:pPr>
              <w:ind w:left="102" w:right="3"/>
              <w:rPr>
                <w:rFonts w:asciiTheme="minorHAnsi" w:hAnsiTheme="minorHAnsi" w:cstheme="minorHAnsi"/>
                <w:sz w:val="18"/>
              </w:rPr>
            </w:pPr>
            <w:r w:rsidRPr="006263CF">
              <w:rPr>
                <w:rFonts w:asciiTheme="minorHAnsi" w:hAnsiTheme="minorHAnsi" w:cstheme="minorHAnsi"/>
                <w:color w:val="000000"/>
                <w:szCs w:val="22"/>
              </w:rPr>
              <w:t>Флюконазол</w:t>
            </w:r>
            <w:r w:rsidRPr="006263CF">
              <w:rPr>
                <w:rFonts w:asciiTheme="minorHAnsi" w:hAnsiTheme="minorHAnsi" w:cstheme="minorHAnsi"/>
                <w:color w:val="000000"/>
                <w:szCs w:val="22"/>
                <w:vertAlign w:val="superscript"/>
              </w:rPr>
              <w:t>d</w:t>
            </w:r>
          </w:p>
          <w:p w:rsidR="005225B5" w:rsidRPr="006263CF" w:rsidRDefault="005225B5" w:rsidP="001F691B">
            <w:pPr>
              <w:ind w:left="102" w:right="3"/>
              <w:rPr>
                <w:rFonts w:asciiTheme="minorHAnsi" w:hAnsiTheme="minorHAnsi" w:cstheme="minorHAnsi"/>
                <w:sz w:val="18"/>
              </w:rPr>
            </w:pPr>
            <w:r w:rsidRPr="006263CF">
              <w:rPr>
                <w:rFonts w:asciiTheme="minorHAnsi" w:hAnsiTheme="minorHAnsi" w:cstheme="minorHAnsi"/>
                <w:color w:val="000000"/>
                <w:szCs w:val="22"/>
              </w:rPr>
              <w:t>Макролідні антибіотики крім азитроміцину</w:t>
            </w:r>
            <w:r w:rsidRPr="006263CF">
              <w:rPr>
                <w:rFonts w:asciiTheme="minorHAnsi" w:hAnsiTheme="minorHAnsi" w:cstheme="minorHAnsi"/>
                <w:color w:val="000000"/>
                <w:szCs w:val="22"/>
                <w:vertAlign w:val="superscript"/>
              </w:rPr>
              <w:t>e</w:t>
            </w:r>
            <w:r w:rsidRPr="006263CF">
              <w:rPr>
                <w:rFonts w:asciiTheme="minorHAnsi" w:hAnsiTheme="minorHAnsi" w:cstheme="minorHAnsi"/>
                <w:color w:val="000000"/>
                <w:szCs w:val="22"/>
              </w:rPr>
              <w:t>:</w:t>
            </w:r>
          </w:p>
          <w:p w:rsidR="005225B5" w:rsidRPr="006263CF" w:rsidRDefault="005225B5" w:rsidP="001F691B">
            <w:pPr>
              <w:ind w:left="102" w:right="3"/>
              <w:rPr>
                <w:rFonts w:asciiTheme="minorHAnsi" w:hAnsiTheme="minorHAnsi" w:cstheme="minorHAnsi"/>
                <w:sz w:val="18"/>
              </w:rPr>
            </w:pPr>
            <w:r w:rsidRPr="006263CF">
              <w:rPr>
                <w:rFonts w:asciiTheme="minorHAnsi" w:hAnsiTheme="minorHAnsi" w:cstheme="minorHAnsi"/>
                <w:color w:val="000000"/>
                <w:szCs w:val="22"/>
              </w:rPr>
              <w:t>Кларітроміцин Еритроміцин</w:t>
            </w:r>
          </w:p>
        </w:tc>
        <w:tc>
          <w:tcPr>
            <w:tcW w:w="4781" w:type="dxa"/>
            <w:tcBorders>
              <w:top w:val="single" w:sz="6" w:space="0" w:color="auto"/>
              <w:left w:val="nil"/>
              <w:bottom w:val="single" w:sz="6" w:space="0" w:color="auto"/>
              <w:right w:val="nil"/>
            </w:tcBorders>
            <w:shd w:val="clear" w:color="auto" w:fill="FFFFFF"/>
          </w:tcPr>
          <w:p w:rsidR="005225B5" w:rsidRPr="001F691B" w:rsidRDefault="005225B5" w:rsidP="001F691B">
            <w:pPr>
              <w:ind w:left="263" w:right="3" w:hanging="161"/>
              <w:rPr>
                <w:rFonts w:asciiTheme="minorHAnsi" w:hAnsiTheme="minorHAnsi" w:cstheme="minorHAnsi"/>
              </w:rPr>
            </w:pPr>
            <w:r w:rsidRPr="001F691B">
              <w:rPr>
                <w:rFonts w:asciiTheme="minorHAnsi" w:hAnsiTheme="minorHAnsi" w:cstheme="minorHAnsi"/>
                <w:color w:val="000000"/>
                <w:vertAlign w:val="superscript"/>
              </w:rPr>
              <w:t>c</w:t>
            </w:r>
            <w:r w:rsidRPr="001F691B">
              <w:rPr>
                <w:rFonts w:asciiTheme="minorHAnsi" w:hAnsiTheme="minorHAnsi" w:cstheme="minorHAnsi"/>
                <w:color w:val="000000"/>
              </w:rPr>
              <w:t xml:space="preserve"> Інгібітори протеази( (ІП) за допомогою підвищення ритонавіру приведуть до підвищення рівня бедаквіліну в крові. Пропонується замінити ІП з інгібітором інтегрази (ІІПЛ), наприклад, долутегравіром (ДТГ) або ралтегравіром (РТГ). Якщо необхідно використовувати ІП, посилені ритонавіром, то ЕКГ слід робити кожні 2 тижні протягом перших 8 тижнів.</w:t>
            </w:r>
          </w:p>
          <w:p w:rsidR="005225B5" w:rsidRPr="001F691B" w:rsidRDefault="005225B5" w:rsidP="001F691B">
            <w:pPr>
              <w:ind w:left="263" w:right="3" w:hanging="161"/>
              <w:rPr>
                <w:rFonts w:asciiTheme="minorHAnsi" w:hAnsiTheme="minorHAnsi" w:cstheme="minorHAnsi"/>
              </w:rPr>
            </w:pPr>
            <w:r w:rsidRPr="001F691B">
              <w:rPr>
                <w:rFonts w:asciiTheme="minorHAnsi" w:hAnsiTheme="minorHAnsi" w:cstheme="minorHAnsi"/>
                <w:color w:val="000000"/>
                <w:vertAlign w:val="superscript"/>
              </w:rPr>
              <w:t>d</w:t>
            </w:r>
            <w:r w:rsidRPr="001F691B">
              <w:rPr>
                <w:rFonts w:asciiTheme="minorHAnsi" w:hAnsiTheme="minorHAnsi" w:cstheme="minorHAnsi"/>
                <w:color w:val="000000"/>
              </w:rPr>
              <w:t xml:space="preserve"> Усі чотири пероральних азоли інгібують CYP3A4; ітраконазол і позаконазол є більш потужними інгібіторами, ніж флуконазол або воріконазол (55).</w:t>
            </w:r>
          </w:p>
          <w:p w:rsidR="005225B5" w:rsidRPr="001F691B" w:rsidRDefault="005225B5" w:rsidP="001F691B">
            <w:pPr>
              <w:ind w:left="263" w:right="3" w:hanging="161"/>
              <w:rPr>
                <w:rFonts w:asciiTheme="minorHAnsi" w:hAnsiTheme="minorHAnsi" w:cstheme="minorHAnsi"/>
              </w:rPr>
            </w:pPr>
            <w:r w:rsidRPr="001F691B">
              <w:rPr>
                <w:rFonts w:asciiTheme="minorHAnsi" w:hAnsiTheme="minorHAnsi" w:cstheme="minorHAnsi"/>
                <w:color w:val="000000"/>
                <w:vertAlign w:val="superscript"/>
              </w:rPr>
              <w:t>e</w:t>
            </w:r>
            <w:r w:rsidRPr="001F691B">
              <w:rPr>
                <w:rFonts w:asciiTheme="minorHAnsi" w:hAnsiTheme="minorHAnsi" w:cstheme="minorHAnsi"/>
                <w:color w:val="000000"/>
              </w:rPr>
              <w:t xml:space="preserve"> Азитроміцин не пригнічує ізоферменти CYP, але подовжує інтервал QT, тому цей препарат можна уникнути.</w:t>
            </w:r>
          </w:p>
        </w:tc>
      </w:tr>
      <w:tr w:rsidR="005225B5" w:rsidRPr="006263CF" w:rsidTr="001F691B">
        <w:trPr>
          <w:trHeight w:hRule="exact" w:val="2124"/>
        </w:trPr>
        <w:tc>
          <w:tcPr>
            <w:tcW w:w="2453" w:type="dxa"/>
            <w:tcBorders>
              <w:top w:val="single" w:sz="6" w:space="0" w:color="auto"/>
              <w:left w:val="nil"/>
              <w:bottom w:val="single" w:sz="6" w:space="0" w:color="auto"/>
              <w:right w:val="nil"/>
            </w:tcBorders>
            <w:shd w:val="clear" w:color="auto" w:fill="FFFFFF"/>
          </w:tcPr>
          <w:p w:rsidR="005225B5" w:rsidRPr="006263CF" w:rsidRDefault="005225B5" w:rsidP="001F691B">
            <w:pPr>
              <w:ind w:left="102" w:right="3"/>
              <w:rPr>
                <w:rFonts w:asciiTheme="minorHAnsi" w:hAnsiTheme="minorHAnsi" w:cstheme="minorHAnsi"/>
                <w:sz w:val="18"/>
              </w:rPr>
            </w:pPr>
            <w:r w:rsidRPr="006263CF">
              <w:rPr>
                <w:rFonts w:asciiTheme="minorHAnsi" w:hAnsiTheme="minorHAnsi" w:cstheme="minorHAnsi"/>
                <w:color w:val="000000"/>
                <w:szCs w:val="22"/>
              </w:rPr>
              <w:t>Можливі взаємодії: лікарські препарати, метаболізовані CYP3A4, можуть збільшити експозицію бедаквіліну</w:t>
            </w:r>
          </w:p>
        </w:tc>
        <w:tc>
          <w:tcPr>
            <w:tcW w:w="2064" w:type="dxa"/>
            <w:tcBorders>
              <w:top w:val="single" w:sz="6" w:space="0" w:color="auto"/>
              <w:left w:val="nil"/>
              <w:bottom w:val="single" w:sz="6" w:space="0" w:color="auto"/>
              <w:right w:val="nil"/>
            </w:tcBorders>
            <w:shd w:val="clear" w:color="auto" w:fill="FFFFFF"/>
          </w:tcPr>
          <w:p w:rsidR="005225B5" w:rsidRPr="006263CF" w:rsidRDefault="005225B5" w:rsidP="001F691B">
            <w:pPr>
              <w:ind w:left="102" w:right="3"/>
              <w:rPr>
                <w:rFonts w:asciiTheme="minorHAnsi" w:hAnsiTheme="minorHAnsi" w:cstheme="minorHAnsi"/>
                <w:sz w:val="18"/>
              </w:rPr>
            </w:pPr>
            <w:r w:rsidRPr="006263CF">
              <w:rPr>
                <w:rFonts w:asciiTheme="minorHAnsi" w:hAnsiTheme="minorHAnsi" w:cstheme="minorHAnsi"/>
                <w:color w:val="000000"/>
                <w:szCs w:val="22"/>
              </w:rPr>
              <w:t>Елвітегравір</w:t>
            </w:r>
            <w:r w:rsidRPr="006263CF">
              <w:rPr>
                <w:rFonts w:asciiTheme="minorHAnsi" w:hAnsiTheme="minorHAnsi" w:cstheme="minorHAnsi"/>
                <w:color w:val="000000"/>
                <w:szCs w:val="22"/>
                <w:vertAlign w:val="superscript"/>
              </w:rPr>
              <w:t>f</w:t>
            </w:r>
          </w:p>
          <w:p w:rsidR="005225B5" w:rsidRPr="006263CF" w:rsidRDefault="005225B5" w:rsidP="001F691B">
            <w:pPr>
              <w:ind w:left="102" w:right="3"/>
              <w:rPr>
                <w:rFonts w:asciiTheme="minorHAnsi" w:hAnsiTheme="minorHAnsi" w:cstheme="minorHAnsi"/>
                <w:sz w:val="18"/>
              </w:rPr>
            </w:pPr>
            <w:r w:rsidRPr="006263CF">
              <w:rPr>
                <w:rFonts w:asciiTheme="minorHAnsi" w:hAnsiTheme="minorHAnsi" w:cstheme="minorHAnsi"/>
                <w:color w:val="000000"/>
                <w:szCs w:val="22"/>
              </w:rPr>
              <w:t>Комбіцистат</w:t>
            </w:r>
            <w:r w:rsidRPr="006263CF">
              <w:rPr>
                <w:rFonts w:asciiTheme="minorHAnsi" w:hAnsiTheme="minorHAnsi" w:cstheme="minorHAnsi"/>
                <w:color w:val="000000"/>
                <w:szCs w:val="22"/>
                <w:vertAlign w:val="superscript"/>
              </w:rPr>
              <w:t>f</w:t>
            </w:r>
          </w:p>
          <w:p w:rsidR="005225B5" w:rsidRPr="006263CF" w:rsidRDefault="005225B5" w:rsidP="001F691B">
            <w:pPr>
              <w:ind w:left="102" w:right="3"/>
              <w:rPr>
                <w:rFonts w:asciiTheme="minorHAnsi" w:hAnsiTheme="minorHAnsi" w:cstheme="minorHAnsi"/>
                <w:sz w:val="18"/>
              </w:rPr>
            </w:pPr>
            <w:r w:rsidRPr="006263CF">
              <w:rPr>
                <w:rFonts w:asciiTheme="minorHAnsi" w:hAnsiTheme="minorHAnsi" w:cstheme="minorHAnsi"/>
                <w:color w:val="000000"/>
                <w:szCs w:val="22"/>
              </w:rPr>
              <w:t>Емтрицитабін</w:t>
            </w:r>
            <w:r w:rsidRPr="006263CF">
              <w:rPr>
                <w:rFonts w:asciiTheme="minorHAnsi" w:hAnsiTheme="minorHAnsi" w:cstheme="minorHAnsi"/>
                <w:color w:val="000000"/>
                <w:szCs w:val="22"/>
                <w:vertAlign w:val="superscript"/>
              </w:rPr>
              <w:t>f</w:t>
            </w:r>
          </w:p>
          <w:p w:rsidR="005225B5" w:rsidRPr="006263CF" w:rsidRDefault="005225B5" w:rsidP="001F691B">
            <w:pPr>
              <w:ind w:left="102" w:right="3"/>
              <w:rPr>
                <w:rFonts w:asciiTheme="minorHAnsi" w:hAnsiTheme="minorHAnsi" w:cstheme="minorHAnsi"/>
                <w:sz w:val="18"/>
              </w:rPr>
            </w:pPr>
            <w:r w:rsidRPr="006263CF">
              <w:rPr>
                <w:rFonts w:asciiTheme="minorHAnsi" w:hAnsiTheme="minorHAnsi" w:cstheme="minorHAnsi"/>
                <w:color w:val="000000"/>
                <w:szCs w:val="22"/>
              </w:rPr>
              <w:t>Тенофовір алафенамід</w:t>
            </w:r>
            <w:r w:rsidRPr="006263CF">
              <w:rPr>
                <w:rFonts w:asciiTheme="minorHAnsi" w:hAnsiTheme="minorHAnsi" w:cstheme="minorHAnsi"/>
                <w:color w:val="000000"/>
                <w:szCs w:val="22"/>
                <w:vertAlign w:val="superscript"/>
              </w:rPr>
              <w:t>f</w:t>
            </w:r>
          </w:p>
        </w:tc>
        <w:tc>
          <w:tcPr>
            <w:tcW w:w="4781" w:type="dxa"/>
            <w:tcBorders>
              <w:top w:val="single" w:sz="6" w:space="0" w:color="auto"/>
              <w:left w:val="nil"/>
              <w:bottom w:val="single" w:sz="6" w:space="0" w:color="auto"/>
              <w:right w:val="nil"/>
            </w:tcBorders>
            <w:shd w:val="clear" w:color="auto" w:fill="FFFFFF"/>
          </w:tcPr>
          <w:p w:rsidR="005225B5" w:rsidRPr="001F691B" w:rsidRDefault="005225B5" w:rsidP="001F691B">
            <w:pPr>
              <w:ind w:left="263" w:right="3" w:hanging="161"/>
              <w:rPr>
                <w:rFonts w:asciiTheme="minorHAnsi" w:hAnsiTheme="minorHAnsi" w:cstheme="minorHAnsi"/>
              </w:rPr>
            </w:pPr>
            <w:r w:rsidRPr="001F691B">
              <w:rPr>
                <w:rFonts w:asciiTheme="minorHAnsi" w:hAnsiTheme="minorHAnsi" w:cstheme="minorHAnsi"/>
                <w:color w:val="000000"/>
                <w:vertAlign w:val="superscript"/>
              </w:rPr>
              <w:t>f</w:t>
            </w:r>
            <w:r w:rsidRPr="001F691B">
              <w:rPr>
                <w:rFonts w:asciiTheme="minorHAnsi" w:hAnsiTheme="minorHAnsi" w:cstheme="minorHAnsi"/>
                <w:color w:val="000000"/>
              </w:rPr>
              <w:t xml:space="preserve"> Одночасне застосування бедаквіліну з цими лікарськими засобами не було добре вивчено; проте слід уникати їх одночасного застосування протягом більше 14 днів поспіль. Оскільки бедаквілін також метаболізується CYP3A4, ці лікарські засоби можуть посилити вплив бедаквіліну, що потенційно може збільшити ризик виникнення небажаних явищ.</w:t>
            </w:r>
          </w:p>
        </w:tc>
      </w:tr>
      <w:tr w:rsidR="005225B5" w:rsidRPr="006263CF">
        <w:trPr>
          <w:trHeight w:hRule="exact" w:val="2966"/>
        </w:trPr>
        <w:tc>
          <w:tcPr>
            <w:tcW w:w="9298" w:type="dxa"/>
            <w:gridSpan w:val="3"/>
            <w:tcBorders>
              <w:top w:val="single" w:sz="6" w:space="0" w:color="auto"/>
              <w:left w:val="nil"/>
              <w:bottom w:val="nil"/>
              <w:right w:val="nil"/>
            </w:tcBorders>
            <w:shd w:val="clear" w:color="auto" w:fill="FFFFFF"/>
          </w:tcPr>
          <w:p w:rsidR="005225B5" w:rsidRPr="006263CF" w:rsidRDefault="005225B5" w:rsidP="001F691B">
            <w:pPr>
              <w:ind w:left="29"/>
              <w:jc w:val="both"/>
              <w:rPr>
                <w:rFonts w:asciiTheme="minorHAnsi" w:hAnsiTheme="minorHAnsi" w:cstheme="minorHAnsi"/>
                <w:sz w:val="18"/>
              </w:rPr>
            </w:pPr>
            <w:r w:rsidRPr="006263CF">
              <w:rPr>
                <w:rFonts w:asciiTheme="minorHAnsi" w:hAnsiTheme="minorHAnsi" w:cstheme="minorHAnsi"/>
                <w:b/>
                <w:bCs/>
                <w:i/>
                <w:iCs/>
                <w:color w:val="000000"/>
                <w:szCs w:val="22"/>
              </w:rPr>
              <w:t xml:space="preserve">Лінезолід </w:t>
            </w:r>
            <w:r w:rsidRPr="006263CF">
              <w:rPr>
                <w:rFonts w:asciiTheme="minorHAnsi" w:hAnsiTheme="minorHAnsi" w:cstheme="minorHAnsi"/>
                <w:color w:val="000000"/>
                <w:szCs w:val="22"/>
              </w:rPr>
              <w:t>продемонстрував протитуберкульозну активність in vitro і в дослідах на тваринах, а його ефективність для людей була продемонстрована в метааналізі, у відповідності з настановами ВООЗ</w:t>
            </w:r>
            <w:r w:rsidRPr="006263CF">
              <w:rPr>
                <w:rFonts w:asciiTheme="minorHAnsi" w:hAnsiTheme="minorHAnsi" w:cstheme="minorHAnsi"/>
                <w:i/>
                <w:iCs/>
                <w:color w:val="000000"/>
                <w:szCs w:val="22"/>
              </w:rPr>
              <w:t xml:space="preserve">, </w:t>
            </w:r>
            <w:r w:rsidRPr="006263CF">
              <w:rPr>
                <w:rFonts w:asciiTheme="minorHAnsi" w:hAnsiTheme="minorHAnsi" w:cstheme="minorHAnsi"/>
                <w:color w:val="000000"/>
                <w:szCs w:val="22"/>
              </w:rPr>
              <w:t xml:space="preserve">а також в недавніх дослідженнях за участю хворих з лікарсько-стійким туберкульозом (ЛС-ТБ) </w:t>
            </w:r>
            <w:r w:rsidRPr="006263CF">
              <w:rPr>
                <w:rFonts w:asciiTheme="minorHAnsi" w:hAnsiTheme="minorHAnsi" w:cstheme="minorHAnsi"/>
                <w:i/>
                <w:iCs/>
                <w:color w:val="000000"/>
                <w:szCs w:val="22"/>
              </w:rPr>
              <w:t>(1, 56-60)</w:t>
            </w:r>
            <w:r w:rsidRPr="006263CF">
              <w:rPr>
                <w:rFonts w:asciiTheme="minorHAnsi" w:hAnsiTheme="minorHAnsi" w:cstheme="minorHAnsi"/>
                <w:color w:val="000000"/>
                <w:szCs w:val="22"/>
              </w:rPr>
              <w:t xml:space="preserve">. Зниження дози з 600 мг на добу до 300 мг на добу може знизити токсичність, але його вплив на ефективність лікування невідомий (хоча дослідження ранньої бактерицидної активності [РБА] дозволяє припустити, що більш висока доза є більш ефективною) (61). При виникненні серйозних небажаних явищ, можливо, доведеться зупинити прийом лінезоліду. метааналіз ІДП, який інформує про настанови ВООЗ (проведені в 2018 р.), включав інформацію про більш ніж 300 пацієнтах, які лікувалися лінезолідом протягом як мінімум 1 місяця, в основному по 600 мг в день. Близько 30% пацієнтів отримували лінезолід протягом 1-6 місяців, але більше 30% отримували його протягом більше 18 місяців, причому у цих пацієнтів була найнижча частота </w:t>
            </w:r>
          </w:p>
        </w:tc>
      </w:tr>
    </w:tbl>
    <w:p w:rsidR="005225B5" w:rsidRPr="006263CF" w:rsidRDefault="005225B5" w:rsidP="006263CF">
      <w:pPr>
        <w:rPr>
          <w:rFonts w:asciiTheme="minorHAnsi" w:hAnsiTheme="minorHAnsi" w:cstheme="minorHAnsi"/>
          <w:sz w:val="18"/>
        </w:rPr>
        <w:sectPr w:rsidR="005225B5" w:rsidRPr="006263CF" w:rsidSect="00445738">
          <w:pgSz w:w="11904" w:h="16838"/>
          <w:pgMar w:top="1382" w:right="1334" w:bottom="5" w:left="1272"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266"/>
        <w:gridCol w:w="3230"/>
        <w:gridCol w:w="3778"/>
      </w:tblGrid>
      <w:tr w:rsidR="005225B5" w:rsidRPr="006263CF">
        <w:trPr>
          <w:trHeight w:hRule="exact" w:val="5386"/>
        </w:trPr>
        <w:tc>
          <w:tcPr>
            <w:tcW w:w="9274" w:type="dxa"/>
            <w:gridSpan w:val="3"/>
            <w:tcBorders>
              <w:top w:val="nil"/>
              <w:left w:val="nil"/>
              <w:bottom w:val="nil"/>
              <w:right w:val="nil"/>
            </w:tcBorders>
            <w:shd w:val="clear" w:color="auto" w:fill="FFFFFF"/>
          </w:tcPr>
          <w:p w:rsidR="005225B5" w:rsidRPr="006263CF" w:rsidRDefault="005225B5" w:rsidP="001F691B">
            <w:pPr>
              <w:jc w:val="both"/>
              <w:rPr>
                <w:rFonts w:asciiTheme="minorHAnsi" w:hAnsiTheme="minorHAnsi" w:cstheme="minorHAnsi"/>
                <w:sz w:val="18"/>
              </w:rPr>
            </w:pPr>
            <w:r w:rsidRPr="006263CF">
              <w:rPr>
                <w:rFonts w:asciiTheme="minorHAnsi" w:hAnsiTheme="minorHAnsi" w:cstheme="minorHAnsi"/>
                <w:color w:val="000000"/>
                <w:szCs w:val="22"/>
              </w:rPr>
              <w:lastRenderedPageBreak/>
              <w:t>неефективності лікування, втрат при подальшому спостереженні і смертельних випадків. Цей аналіз також дозволяє припустити, що оптимальна тривалість використання становить близько 20 місяців, що відповідає звичайній загальній тривалості довгострокової схеми для МР-ТБ; однак, такий аналіз не враховує упередженість щодо виживання (це означає, що ті, хто проходить повний курс лікування, з більшою ймовірністю будуть мати успішний результат, враховуючи, що смерть і втрати, пов'язані з подальшим спостереженням, відбуваються раніше) (1).</w:t>
            </w:r>
          </w:p>
          <w:p w:rsidR="005225B5" w:rsidRPr="006263CF" w:rsidRDefault="005225B5" w:rsidP="001F691B">
            <w:pPr>
              <w:jc w:val="both"/>
              <w:rPr>
                <w:rFonts w:asciiTheme="minorHAnsi" w:hAnsiTheme="minorHAnsi" w:cstheme="minorHAnsi"/>
                <w:sz w:val="18"/>
              </w:rPr>
            </w:pPr>
            <w:r w:rsidRPr="006263CF">
              <w:rPr>
                <w:rFonts w:asciiTheme="minorHAnsi" w:hAnsiTheme="minorHAnsi" w:cstheme="minorHAnsi"/>
                <w:color w:val="000000"/>
                <w:szCs w:val="22"/>
              </w:rPr>
              <w:t xml:space="preserve">Дані, отримані з консолідованих настанов ВООЗ </w:t>
            </w:r>
            <w:r w:rsidRPr="006263CF">
              <w:rPr>
                <w:rFonts w:asciiTheme="minorHAnsi" w:hAnsiTheme="minorHAnsi" w:cstheme="minorHAnsi"/>
                <w:i/>
                <w:iCs/>
                <w:color w:val="000000"/>
                <w:szCs w:val="22"/>
              </w:rPr>
              <w:t xml:space="preserve">(1) </w:t>
            </w:r>
            <w:r w:rsidRPr="006263CF">
              <w:rPr>
                <w:rFonts w:asciiTheme="minorHAnsi" w:hAnsiTheme="minorHAnsi" w:cstheme="minorHAnsi"/>
                <w:color w:val="000000"/>
                <w:szCs w:val="22"/>
              </w:rPr>
              <w:t xml:space="preserve">свідчать про те, що лінезолід слід використовувати до тих пір, поки він переноситься. Якщо розвивається токсичність, дозування препарату повинно бути знижено, або припинено (5). Можуть бути досягнуті кращі результати при використанні лінезоліду протягом всього курсу лікування. Проте лінезолід має найбільший додатковий ефект (включаючи захист інших лікарських засобів другого ряду від розвитку медикаментозної резистентності) протягом перших місяців лікування при найбільшому бактеріальному навантаженні </w:t>
            </w:r>
            <w:r w:rsidRPr="006263CF">
              <w:rPr>
                <w:rFonts w:asciiTheme="minorHAnsi" w:hAnsiTheme="minorHAnsi" w:cstheme="minorHAnsi"/>
                <w:i/>
                <w:iCs/>
                <w:color w:val="000000"/>
                <w:szCs w:val="22"/>
              </w:rPr>
              <w:t>(61)</w:t>
            </w:r>
            <w:r w:rsidRPr="006263CF">
              <w:rPr>
                <w:rFonts w:asciiTheme="minorHAnsi" w:hAnsiTheme="minorHAnsi" w:cstheme="minorHAnsi"/>
                <w:color w:val="000000"/>
                <w:szCs w:val="22"/>
              </w:rPr>
              <w:t>.</w:t>
            </w:r>
          </w:p>
          <w:p w:rsidR="005225B5" w:rsidRPr="006263CF" w:rsidRDefault="005225B5" w:rsidP="001F691B">
            <w:pPr>
              <w:jc w:val="both"/>
              <w:rPr>
                <w:rFonts w:asciiTheme="minorHAnsi" w:hAnsiTheme="minorHAnsi" w:cstheme="minorHAnsi"/>
                <w:sz w:val="18"/>
              </w:rPr>
            </w:pPr>
            <w:r w:rsidRPr="006263CF">
              <w:rPr>
                <w:rFonts w:asciiTheme="minorHAnsi" w:hAnsiTheme="minorHAnsi" w:cstheme="minorHAnsi"/>
                <w:color w:val="000000"/>
                <w:szCs w:val="22"/>
              </w:rPr>
              <w:t>Основні небажані явища, пов'язані з лінезолідом, включають анемію, периферичну нейропатію, шлунково-кишкові розлади, неврит зорового нерва та тромбоцитопенію. Ці небажані явища, які залежать від дози, добре задокументовані. Небажані явища значно частіші, коли добова доза лінезоліду перевищує 600 мг (62). Чим довше пацієнт використовує лінезолід, тим вище ризик виникнення серйозних небажаних явищ.</w:t>
            </w:r>
          </w:p>
          <w:p w:rsidR="005225B5" w:rsidRPr="006263CF" w:rsidRDefault="005225B5" w:rsidP="001F691B">
            <w:pPr>
              <w:jc w:val="both"/>
              <w:rPr>
                <w:rFonts w:asciiTheme="minorHAnsi" w:hAnsiTheme="minorHAnsi" w:cstheme="minorHAnsi"/>
                <w:sz w:val="18"/>
              </w:rPr>
            </w:pPr>
            <w:r w:rsidRPr="006263CF">
              <w:rPr>
                <w:rFonts w:asciiTheme="minorHAnsi" w:hAnsiTheme="minorHAnsi" w:cstheme="minorHAnsi"/>
                <w:color w:val="000000"/>
                <w:szCs w:val="22"/>
              </w:rPr>
              <w:t>Лінезолід може взаємодіяти з лікарськими засобами, які впливають на рівень серотоніну в організмі. Серотонінергічний синдром, який може бути серйозним і загрозливим для життя, може виникнути, коли лінезолід приймається одночасно з певними класами лікарських засобів.</w:t>
            </w:r>
          </w:p>
        </w:tc>
      </w:tr>
      <w:tr w:rsidR="005225B5" w:rsidRPr="006263CF" w:rsidTr="001F691B">
        <w:trPr>
          <w:trHeight w:hRule="exact" w:val="590"/>
        </w:trPr>
        <w:tc>
          <w:tcPr>
            <w:tcW w:w="9274" w:type="dxa"/>
            <w:gridSpan w:val="3"/>
            <w:tcBorders>
              <w:top w:val="nil"/>
              <w:left w:val="nil"/>
              <w:right w:val="nil"/>
            </w:tcBorders>
            <w:shd w:val="clear" w:color="auto" w:fill="FFFFFF"/>
          </w:tcPr>
          <w:p w:rsidR="005225B5" w:rsidRPr="006263CF" w:rsidRDefault="005225B5" w:rsidP="001F691B">
            <w:pPr>
              <w:rPr>
                <w:rFonts w:asciiTheme="minorHAnsi" w:hAnsiTheme="minorHAnsi" w:cstheme="minorHAnsi"/>
                <w:sz w:val="18"/>
              </w:rPr>
            </w:pPr>
            <w:r w:rsidRPr="006263CF">
              <w:rPr>
                <w:rFonts w:asciiTheme="minorHAnsi" w:hAnsiTheme="minorHAnsi" w:cstheme="minorHAnsi"/>
                <w:b/>
                <w:bCs/>
                <w:color w:val="636466"/>
                <w:sz w:val="22"/>
                <w:szCs w:val="24"/>
              </w:rPr>
              <w:t xml:space="preserve">Таблиця 6.3. Можлива взаємодія лікарського засобу лінезоліду з іншими лікарськими препаратами </w:t>
            </w:r>
            <w:r w:rsidRPr="006263CF">
              <w:rPr>
                <w:rFonts w:asciiTheme="minorHAnsi" w:hAnsiTheme="minorHAnsi" w:cstheme="minorHAnsi"/>
                <w:i/>
                <w:iCs/>
                <w:color w:val="636466"/>
                <w:sz w:val="22"/>
                <w:szCs w:val="24"/>
              </w:rPr>
              <w:t>(53)</w:t>
            </w:r>
          </w:p>
        </w:tc>
      </w:tr>
      <w:tr w:rsidR="005225B5" w:rsidRPr="006263CF" w:rsidTr="001F691B">
        <w:trPr>
          <w:trHeight w:hRule="exact" w:val="720"/>
        </w:trPr>
        <w:tc>
          <w:tcPr>
            <w:tcW w:w="2266" w:type="dxa"/>
            <w:tcBorders>
              <w:left w:val="nil"/>
              <w:right w:val="nil"/>
            </w:tcBorders>
            <w:shd w:val="clear" w:color="auto" w:fill="C1C8E4"/>
            <w:vAlign w:val="center"/>
          </w:tcPr>
          <w:p w:rsidR="005225B5" w:rsidRPr="006263CF" w:rsidRDefault="005225B5" w:rsidP="001F691B">
            <w:pPr>
              <w:ind w:left="102"/>
              <w:rPr>
                <w:rFonts w:asciiTheme="minorHAnsi" w:hAnsiTheme="minorHAnsi" w:cstheme="minorHAnsi"/>
                <w:sz w:val="18"/>
              </w:rPr>
            </w:pPr>
            <w:r w:rsidRPr="006263CF">
              <w:rPr>
                <w:rFonts w:asciiTheme="minorHAnsi" w:hAnsiTheme="minorHAnsi" w:cstheme="minorHAnsi"/>
                <w:b/>
                <w:bCs/>
                <w:color w:val="000000"/>
                <w:szCs w:val="22"/>
              </w:rPr>
              <w:t>Взаємодія лікарських засобів</w:t>
            </w:r>
          </w:p>
        </w:tc>
        <w:tc>
          <w:tcPr>
            <w:tcW w:w="3230" w:type="dxa"/>
            <w:tcBorders>
              <w:left w:val="nil"/>
              <w:right w:val="nil"/>
            </w:tcBorders>
            <w:shd w:val="clear" w:color="auto" w:fill="C1C8E4"/>
            <w:vAlign w:val="center"/>
          </w:tcPr>
          <w:p w:rsidR="005225B5" w:rsidRPr="006263CF" w:rsidRDefault="005225B5" w:rsidP="001F691B">
            <w:pPr>
              <w:ind w:left="102"/>
              <w:rPr>
                <w:rFonts w:asciiTheme="minorHAnsi" w:hAnsiTheme="minorHAnsi" w:cstheme="minorHAnsi"/>
                <w:sz w:val="18"/>
              </w:rPr>
            </w:pPr>
            <w:r w:rsidRPr="006263CF">
              <w:rPr>
                <w:rFonts w:asciiTheme="minorHAnsi" w:hAnsiTheme="minorHAnsi" w:cstheme="minorHAnsi"/>
                <w:b/>
                <w:bCs/>
                <w:color w:val="000000"/>
                <w:szCs w:val="22"/>
              </w:rPr>
              <w:t>Лікарські препарати</w:t>
            </w:r>
          </w:p>
        </w:tc>
        <w:tc>
          <w:tcPr>
            <w:tcW w:w="3778" w:type="dxa"/>
            <w:tcBorders>
              <w:left w:val="nil"/>
              <w:right w:val="nil"/>
            </w:tcBorders>
            <w:shd w:val="clear" w:color="auto" w:fill="C1C8E4"/>
            <w:vAlign w:val="center"/>
          </w:tcPr>
          <w:p w:rsidR="005225B5" w:rsidRPr="006263CF" w:rsidRDefault="005225B5" w:rsidP="001F691B">
            <w:pPr>
              <w:ind w:left="102"/>
              <w:rPr>
                <w:rFonts w:asciiTheme="minorHAnsi" w:hAnsiTheme="minorHAnsi" w:cstheme="minorHAnsi"/>
                <w:sz w:val="18"/>
              </w:rPr>
            </w:pPr>
            <w:r w:rsidRPr="006263CF">
              <w:rPr>
                <w:rFonts w:asciiTheme="minorHAnsi" w:hAnsiTheme="minorHAnsi" w:cstheme="minorHAnsi"/>
                <w:b/>
                <w:bCs/>
                <w:color w:val="000000"/>
                <w:szCs w:val="22"/>
              </w:rPr>
              <w:t>Примітки та інструкції</w:t>
            </w:r>
          </w:p>
        </w:tc>
      </w:tr>
      <w:tr w:rsidR="005225B5" w:rsidRPr="006263CF" w:rsidTr="001F691B">
        <w:trPr>
          <w:trHeight w:hRule="exact" w:val="3925"/>
        </w:trPr>
        <w:tc>
          <w:tcPr>
            <w:tcW w:w="2266" w:type="dxa"/>
            <w:tcBorders>
              <w:top w:val="nil"/>
              <w:left w:val="nil"/>
              <w:bottom w:val="single" w:sz="4" w:space="0" w:color="1F61AA"/>
              <w:right w:val="nil"/>
            </w:tcBorders>
            <w:shd w:val="clear" w:color="auto" w:fill="FFFFFF"/>
          </w:tcPr>
          <w:p w:rsidR="005225B5" w:rsidRPr="006263CF" w:rsidRDefault="005225B5" w:rsidP="001F691B">
            <w:pPr>
              <w:ind w:left="130" w:right="241"/>
              <w:rPr>
                <w:rFonts w:asciiTheme="minorHAnsi" w:hAnsiTheme="minorHAnsi" w:cstheme="minorHAnsi"/>
                <w:sz w:val="18"/>
              </w:rPr>
            </w:pPr>
            <w:r w:rsidRPr="006263CF">
              <w:rPr>
                <w:rFonts w:asciiTheme="minorHAnsi" w:hAnsiTheme="minorHAnsi" w:cstheme="minorHAnsi"/>
                <w:color w:val="000000"/>
                <w:szCs w:val="22"/>
              </w:rPr>
              <w:t>Підвищення рівня серотоніну, що може спричинити за собою серотонінергічний синдром</w:t>
            </w:r>
          </w:p>
        </w:tc>
        <w:tc>
          <w:tcPr>
            <w:tcW w:w="3230" w:type="dxa"/>
            <w:tcBorders>
              <w:top w:val="nil"/>
              <w:left w:val="nil"/>
              <w:bottom w:val="single" w:sz="4" w:space="0" w:color="1F61AA"/>
              <w:right w:val="nil"/>
            </w:tcBorders>
            <w:shd w:val="clear" w:color="auto" w:fill="FFFFFF"/>
          </w:tcPr>
          <w:p w:rsidR="005225B5" w:rsidRPr="006263CF" w:rsidRDefault="005225B5" w:rsidP="001F691B">
            <w:pPr>
              <w:ind w:left="246" w:right="139" w:hanging="142"/>
              <w:rPr>
                <w:rFonts w:asciiTheme="minorHAnsi" w:hAnsiTheme="minorHAnsi" w:cstheme="minorHAnsi"/>
                <w:sz w:val="18"/>
              </w:rPr>
            </w:pPr>
            <w:r w:rsidRPr="006263CF">
              <w:rPr>
                <w:rFonts w:asciiTheme="minorHAnsi" w:hAnsiTheme="minorHAnsi" w:cstheme="minorHAnsi"/>
                <w:color w:val="000000"/>
                <w:szCs w:val="22"/>
              </w:rPr>
              <w:t>• Інгібітори зворотного захоплення серотоніну (ІЗЗС): флуоксетин та пароксетин</w:t>
            </w:r>
          </w:p>
          <w:p w:rsidR="005225B5" w:rsidRPr="006263CF" w:rsidRDefault="005225B5" w:rsidP="001F691B">
            <w:pPr>
              <w:ind w:left="246" w:right="139" w:hanging="142"/>
              <w:rPr>
                <w:rFonts w:asciiTheme="minorHAnsi" w:hAnsiTheme="minorHAnsi" w:cstheme="minorHAnsi"/>
                <w:sz w:val="18"/>
              </w:rPr>
            </w:pPr>
            <w:r w:rsidRPr="006263CF">
              <w:rPr>
                <w:rFonts w:asciiTheme="minorHAnsi" w:hAnsiTheme="minorHAnsi" w:cstheme="minorHAnsi"/>
                <w:color w:val="000000"/>
                <w:szCs w:val="22"/>
              </w:rPr>
              <w:t>• Трициклічні антидепресанти: амітриптилін та нортриптилін</w:t>
            </w:r>
          </w:p>
          <w:p w:rsidR="005225B5" w:rsidRPr="006263CF" w:rsidRDefault="005225B5" w:rsidP="001F691B">
            <w:pPr>
              <w:ind w:left="246" w:right="139" w:hanging="142"/>
              <w:rPr>
                <w:rFonts w:asciiTheme="minorHAnsi" w:hAnsiTheme="minorHAnsi" w:cstheme="minorHAnsi"/>
                <w:sz w:val="18"/>
              </w:rPr>
            </w:pPr>
            <w:r w:rsidRPr="006263CF">
              <w:rPr>
                <w:rFonts w:asciiTheme="minorHAnsi" w:hAnsiTheme="minorHAnsi" w:cstheme="minorHAnsi"/>
                <w:color w:val="000000"/>
                <w:szCs w:val="22"/>
              </w:rPr>
              <w:t>• Агоністи рецепторів серотоніну 5-HT1</w:t>
            </w:r>
          </w:p>
          <w:p w:rsidR="005225B5" w:rsidRPr="006263CF" w:rsidRDefault="001F691B" w:rsidP="001F691B">
            <w:pPr>
              <w:ind w:left="246" w:right="139" w:hanging="142"/>
              <w:rPr>
                <w:rFonts w:asciiTheme="minorHAnsi" w:hAnsiTheme="minorHAnsi" w:cstheme="minorHAnsi"/>
                <w:sz w:val="18"/>
              </w:rPr>
            </w:pPr>
            <w:r w:rsidRPr="006263CF">
              <w:rPr>
                <w:rFonts w:asciiTheme="minorHAnsi" w:hAnsiTheme="minorHAnsi" w:cstheme="minorHAnsi"/>
                <w:color w:val="000000"/>
                <w:szCs w:val="22"/>
              </w:rPr>
              <w:t xml:space="preserve">• </w:t>
            </w:r>
            <w:r w:rsidR="005225B5" w:rsidRPr="006263CF">
              <w:rPr>
                <w:rFonts w:asciiTheme="minorHAnsi" w:hAnsiTheme="minorHAnsi" w:cstheme="minorHAnsi"/>
                <w:color w:val="000000"/>
                <w:szCs w:val="22"/>
              </w:rPr>
              <w:t>Інгібітори моноаміноксидази (МАО): фенелзін та ізокарбоксазид</w:t>
            </w:r>
          </w:p>
          <w:p w:rsidR="005225B5" w:rsidRPr="006263CF" w:rsidRDefault="005225B5" w:rsidP="001F691B">
            <w:pPr>
              <w:ind w:left="246" w:right="139" w:hanging="142"/>
              <w:rPr>
                <w:rFonts w:asciiTheme="minorHAnsi" w:hAnsiTheme="minorHAnsi" w:cstheme="minorHAnsi"/>
                <w:sz w:val="18"/>
              </w:rPr>
            </w:pPr>
            <w:r w:rsidRPr="006263CF">
              <w:rPr>
                <w:rFonts w:asciiTheme="minorHAnsi" w:hAnsiTheme="minorHAnsi" w:cstheme="minorHAnsi"/>
                <w:color w:val="000000"/>
                <w:szCs w:val="22"/>
              </w:rPr>
              <w:t>• Інші серотонінергічні засоби: меперідін і бупропіон або буспірон і цетіапін</w:t>
            </w:r>
          </w:p>
        </w:tc>
        <w:tc>
          <w:tcPr>
            <w:tcW w:w="3778" w:type="dxa"/>
            <w:tcBorders>
              <w:top w:val="nil"/>
              <w:left w:val="nil"/>
              <w:bottom w:val="single" w:sz="4" w:space="0" w:color="1F61AA"/>
              <w:right w:val="nil"/>
            </w:tcBorders>
            <w:shd w:val="clear" w:color="auto" w:fill="FFFFFF"/>
          </w:tcPr>
          <w:p w:rsidR="005225B5" w:rsidRPr="006263CF" w:rsidRDefault="005225B5" w:rsidP="006263CF">
            <w:pPr>
              <w:ind w:left="19" w:right="168"/>
              <w:rPr>
                <w:rFonts w:asciiTheme="minorHAnsi" w:hAnsiTheme="minorHAnsi" w:cstheme="minorHAnsi"/>
                <w:sz w:val="18"/>
              </w:rPr>
            </w:pPr>
            <w:r w:rsidRPr="006263CF">
              <w:rPr>
                <w:rFonts w:asciiTheme="minorHAnsi" w:hAnsiTheme="minorHAnsi" w:cstheme="minorHAnsi"/>
                <w:color w:val="000000"/>
                <w:szCs w:val="22"/>
              </w:rPr>
              <w:t>Необхідно докласти всіх зусиль, щоб уникнути вживання лікарських засобів, які взаємодіють з лікарськими засобами або володіють токсичністю, яка частково перекриває лінезолід. Проте, можуть бути обставини, при яких немає іншого варіанту, і потенційні вигоди переважують ризики використання лінезоліду. Наприклад, пацієнтові з нестійким психічним здоров'ям з високим ризиком вчинення самогубства, у якого в схемі лікування повинен бути лінезолід (тобто немає інших протитуберкульозних лікарських засобів), також можуть знадобитися серотонінергічні ліки.</w:t>
            </w:r>
          </w:p>
        </w:tc>
      </w:tr>
      <w:tr w:rsidR="005225B5" w:rsidRPr="006263CF" w:rsidTr="001F691B">
        <w:trPr>
          <w:trHeight w:hRule="exact" w:val="149"/>
        </w:trPr>
        <w:tc>
          <w:tcPr>
            <w:tcW w:w="9274" w:type="dxa"/>
            <w:gridSpan w:val="3"/>
            <w:tcBorders>
              <w:top w:val="single" w:sz="4" w:space="0" w:color="1F61AA"/>
              <w:left w:val="nil"/>
              <w:bottom w:val="nil"/>
              <w:right w:val="nil"/>
            </w:tcBorders>
            <w:shd w:val="clear" w:color="auto" w:fill="FFFFFF"/>
          </w:tcPr>
          <w:p w:rsidR="005225B5" w:rsidRPr="006263CF" w:rsidRDefault="005225B5" w:rsidP="006263CF">
            <w:pPr>
              <w:rPr>
                <w:rFonts w:asciiTheme="minorHAnsi" w:hAnsiTheme="minorHAnsi" w:cstheme="minorHAnsi"/>
                <w:sz w:val="18"/>
              </w:rPr>
            </w:pPr>
          </w:p>
        </w:tc>
      </w:tr>
      <w:tr w:rsidR="005225B5" w:rsidRPr="006263CF">
        <w:trPr>
          <w:trHeight w:hRule="exact" w:val="3341"/>
        </w:trPr>
        <w:tc>
          <w:tcPr>
            <w:tcW w:w="9274" w:type="dxa"/>
            <w:gridSpan w:val="3"/>
            <w:tcBorders>
              <w:top w:val="nil"/>
              <w:left w:val="nil"/>
              <w:bottom w:val="nil"/>
              <w:right w:val="nil"/>
            </w:tcBorders>
            <w:shd w:val="clear" w:color="auto" w:fill="FFFFFF"/>
          </w:tcPr>
          <w:p w:rsidR="005225B5" w:rsidRPr="006263CF" w:rsidRDefault="005225B5" w:rsidP="006263CF">
            <w:pPr>
              <w:rPr>
                <w:rFonts w:asciiTheme="minorHAnsi" w:hAnsiTheme="minorHAnsi" w:cstheme="minorHAnsi"/>
                <w:sz w:val="18"/>
              </w:rPr>
            </w:pPr>
            <w:r w:rsidRPr="006263CF">
              <w:rPr>
                <w:rFonts w:asciiTheme="minorHAnsi" w:hAnsiTheme="minorHAnsi" w:cstheme="minorHAnsi"/>
                <w:b/>
                <w:bCs/>
                <w:color w:val="1F61AA"/>
                <w:sz w:val="28"/>
                <w:szCs w:val="32"/>
              </w:rPr>
              <w:t>Група B</w:t>
            </w:r>
          </w:p>
          <w:p w:rsidR="005225B5" w:rsidRPr="006263CF" w:rsidRDefault="005225B5" w:rsidP="001F691B">
            <w:pPr>
              <w:jc w:val="both"/>
              <w:rPr>
                <w:rFonts w:asciiTheme="minorHAnsi" w:hAnsiTheme="minorHAnsi" w:cstheme="minorHAnsi"/>
                <w:sz w:val="18"/>
              </w:rPr>
            </w:pPr>
            <w:r w:rsidRPr="006263CF">
              <w:rPr>
                <w:rFonts w:asciiTheme="minorHAnsi" w:hAnsiTheme="minorHAnsi" w:cstheme="minorHAnsi"/>
                <w:color w:val="000000"/>
                <w:szCs w:val="22"/>
              </w:rPr>
              <w:t xml:space="preserve">Ця група лікарських препаратів включає клофазимін і циклосерин або теризідон, які були визнані ефективними в поліпшенні результатів лікування, але обмеженими в зниженні смертності на основі фактичних даних, розглянутих в 2018 році відповідно до настанов ВООЗ </w:t>
            </w:r>
            <w:r w:rsidRPr="006263CF">
              <w:rPr>
                <w:rFonts w:asciiTheme="minorHAnsi" w:hAnsiTheme="minorHAnsi" w:cstheme="minorHAnsi"/>
                <w:i/>
                <w:iCs/>
                <w:color w:val="000000"/>
                <w:szCs w:val="22"/>
              </w:rPr>
              <w:t>(1)</w:t>
            </w:r>
            <w:r w:rsidRPr="006263CF">
              <w:rPr>
                <w:rFonts w:asciiTheme="minorHAnsi" w:hAnsiTheme="minorHAnsi" w:cstheme="minorHAnsi"/>
                <w:color w:val="000000"/>
                <w:szCs w:val="22"/>
              </w:rPr>
              <w:t>. Один або обидва лікарські засоби можуть бути додані для того, щоб довгострокова схема лікування починалася як мінімум з чотирьох ефективних лікарських препаратів.</w:t>
            </w:r>
          </w:p>
          <w:p w:rsidR="005225B5" w:rsidRPr="006263CF" w:rsidRDefault="005225B5" w:rsidP="001F691B">
            <w:pPr>
              <w:spacing w:before="120"/>
              <w:jc w:val="both"/>
              <w:rPr>
                <w:rFonts w:asciiTheme="minorHAnsi" w:hAnsiTheme="minorHAnsi" w:cstheme="minorHAnsi"/>
                <w:sz w:val="18"/>
              </w:rPr>
            </w:pPr>
            <w:r w:rsidRPr="006263CF">
              <w:rPr>
                <w:rFonts w:asciiTheme="minorHAnsi" w:hAnsiTheme="minorHAnsi" w:cstheme="minorHAnsi"/>
                <w:b/>
                <w:bCs/>
                <w:i/>
                <w:iCs/>
                <w:color w:val="000000"/>
                <w:szCs w:val="22"/>
              </w:rPr>
              <w:t xml:space="preserve">Клофазимін. </w:t>
            </w:r>
            <w:r w:rsidRPr="006263CF">
              <w:rPr>
                <w:rFonts w:asciiTheme="minorHAnsi" w:hAnsiTheme="minorHAnsi" w:cstheme="minorHAnsi"/>
                <w:color w:val="000000"/>
                <w:szCs w:val="22"/>
              </w:rPr>
              <w:t xml:space="preserve">Клофазимін - це лікарський препарат проти прокази, який виявляє активність in vitro проти </w:t>
            </w:r>
            <w:r w:rsidRPr="006263CF">
              <w:rPr>
                <w:rFonts w:asciiTheme="minorHAnsi" w:hAnsiTheme="minorHAnsi" w:cstheme="minorHAnsi"/>
                <w:i/>
                <w:iCs/>
                <w:color w:val="000000"/>
                <w:szCs w:val="22"/>
              </w:rPr>
              <w:t>M. tuberculosis</w:t>
            </w:r>
            <w:r w:rsidRPr="006263CF">
              <w:rPr>
                <w:rFonts w:asciiTheme="minorHAnsi" w:hAnsiTheme="minorHAnsi" w:cstheme="minorHAnsi"/>
                <w:color w:val="000000"/>
                <w:szCs w:val="22"/>
              </w:rPr>
              <w:t xml:space="preserve">, і вже кілька років застосовується як протитуберкульозний препарат другого ряду. метааналіз, проведений для настанов ВООЗ, зміцнив фактичні дані про ефективність і безпечність клофазиміну </w:t>
            </w:r>
            <w:r w:rsidRPr="006263CF">
              <w:rPr>
                <w:rFonts w:asciiTheme="minorHAnsi" w:hAnsiTheme="minorHAnsi" w:cstheme="minorHAnsi"/>
                <w:i/>
                <w:iCs/>
                <w:color w:val="000000"/>
                <w:szCs w:val="22"/>
              </w:rPr>
              <w:t>(1)</w:t>
            </w:r>
            <w:r w:rsidRPr="006263CF">
              <w:rPr>
                <w:rFonts w:asciiTheme="minorHAnsi" w:hAnsiTheme="minorHAnsi" w:cstheme="minorHAnsi"/>
                <w:color w:val="000000"/>
                <w:szCs w:val="22"/>
              </w:rPr>
              <w:t>. При використанні лікарських засобів, які подовжують інтервал QT (наприклад, бедаквілін, фторхінолони і деламанід), клофазимін може викликати додаткове подовження QT. ЕКГ моніторинг</w:t>
            </w:r>
          </w:p>
        </w:tc>
      </w:tr>
    </w:tbl>
    <w:p w:rsidR="005225B5" w:rsidRPr="006263CF" w:rsidRDefault="005225B5" w:rsidP="006263CF">
      <w:pPr>
        <w:rPr>
          <w:rFonts w:asciiTheme="minorHAnsi" w:hAnsiTheme="minorHAnsi" w:cstheme="minorHAnsi"/>
          <w:sz w:val="18"/>
        </w:rPr>
        <w:sectPr w:rsidR="005225B5" w:rsidRPr="006263CF">
          <w:pgSz w:w="11904" w:h="16838"/>
          <w:pgMar w:top="1382" w:right="1320" w:bottom="1272" w:left="1310" w:header="708" w:footer="708" w:gutter="0"/>
          <w:cols w:space="60"/>
          <w:noEndnote/>
        </w:sectPr>
      </w:pPr>
    </w:p>
    <w:p w:rsidR="005225B5" w:rsidRPr="006263CF" w:rsidRDefault="005225B5" w:rsidP="006263CF">
      <w:pPr>
        <w:jc w:val="both"/>
        <w:rPr>
          <w:rFonts w:asciiTheme="minorHAnsi" w:hAnsiTheme="minorHAnsi" w:cstheme="minorHAnsi"/>
          <w:sz w:val="18"/>
        </w:rPr>
      </w:pPr>
      <w:r w:rsidRPr="006263CF">
        <w:rPr>
          <w:rFonts w:asciiTheme="minorHAnsi" w:hAnsiTheme="minorHAnsi" w:cstheme="minorHAnsi"/>
          <w:color w:val="000000"/>
          <w:szCs w:val="22"/>
        </w:rPr>
        <w:lastRenderedPageBreak/>
        <w:t>слід проводити при використанні бедаквіліну або якщо кілька лікарських засобів, які подовжують QT, також входять в схему лікування. По можливості слід уникати протитуберкульозних лікарських засобів, які викликають подовження QT. Звичайними небажаними явищами є помаранчеве або червоне забарвлення шкіри, кон'юнктиви, рогівки і рідин організму; сухість шкіри, свербіж, висип, іхтіоз і ксероз; порушення шлунково-кишкового тракту; світлочутливість. Пацієнти повинні бути добре проінформовані з самого початку про оборотні зміни кольору шкіри, які відбуваються у більшості пацієнтів. Помаранчево-коричневі зміни шкіри зникають через кілька місяців після припинення прийому лікарського засобу і не вважаються небезпечними. Зміни сухої шкіри також можуть бути поширеними, але не вважаються небезпечними. Ці зміни шкіри можуть мати дуже важливе значення для пацієнтів, і для цього необхідно підтвердження. Клофазимін не рекомендується приймати у період вагітності або грудного вигодовування внаслідок обмеженості наявних даних (деякі повідомлення про нормальні результати, деякі повідомлення про неонатальну смертність) і пігментації немовляти, якщо лікарський засіб вживається під час грудного вигодовування. Клофазимін частково метаболізується в печінці, тому пацієнтам з тяжкою печінковою недостатністю слід приймати препарат з обережністю або коригувати дозу.</w:t>
      </w:r>
    </w:p>
    <w:p w:rsidR="005225B5" w:rsidRPr="006263CF" w:rsidRDefault="005225B5" w:rsidP="001F691B">
      <w:pPr>
        <w:spacing w:before="60"/>
        <w:jc w:val="both"/>
        <w:rPr>
          <w:rFonts w:asciiTheme="minorHAnsi" w:hAnsiTheme="minorHAnsi" w:cstheme="minorHAnsi"/>
          <w:sz w:val="18"/>
        </w:rPr>
      </w:pPr>
      <w:r w:rsidRPr="006263CF">
        <w:rPr>
          <w:rFonts w:asciiTheme="minorHAnsi" w:hAnsiTheme="minorHAnsi" w:cstheme="minorHAnsi"/>
          <w:b/>
          <w:bCs/>
          <w:i/>
          <w:iCs/>
          <w:color w:val="000000"/>
          <w:szCs w:val="22"/>
        </w:rPr>
        <w:t xml:space="preserve">Циклосерин </w:t>
      </w:r>
      <w:r w:rsidRPr="006263CF">
        <w:rPr>
          <w:rFonts w:asciiTheme="minorHAnsi" w:hAnsiTheme="minorHAnsi" w:cstheme="minorHAnsi"/>
          <w:color w:val="000000"/>
          <w:szCs w:val="22"/>
        </w:rPr>
        <w:t xml:space="preserve">є бактеріостатичним лікарським засобом, який гальмує синтез клітинної стінки, і не має відомої перехресної стійкості до інших протитуберкульозних препаратів. Замість циклосерину може застосовуватися теризідон (складається з двох молекул циклосерину). Циклосерин та теризідон вважаються взаємозамінними. Через труднощі в інтерпретації ТМЧ (немає надійного генотипового або фенотипового ТМЧ для циклосерину або теризідону), циклосерин або теризідон слід розглядати тільки при дотриманні інших критеріїв ймовірності ефективності; наприклад, будь-які надійні дані про рівень популяційної медикаментозної резистентності і попередньому застосуванні циклосерину або теризідону, побудованих на достовірному клінічному анамнезі (див. </w:t>
      </w:r>
      <w:r w:rsidRPr="006263CF">
        <w:rPr>
          <w:rFonts w:asciiTheme="minorHAnsi" w:hAnsiTheme="minorHAnsi" w:cstheme="minorHAnsi"/>
          <w:color w:val="1F61AA"/>
          <w:szCs w:val="22"/>
        </w:rPr>
        <w:t>Розділ 3</w:t>
      </w:r>
      <w:r w:rsidRPr="006263CF">
        <w:rPr>
          <w:rFonts w:asciiTheme="minorHAnsi" w:hAnsiTheme="minorHAnsi" w:cstheme="minorHAnsi"/>
          <w:color w:val="000000"/>
          <w:szCs w:val="22"/>
        </w:rPr>
        <w:t>). Пацієнти повинні бути добре проінформовані про можливі небажані явища циклосерину. Основним лікарським небажаним явищем є токсичність центральної нервової системи (ЦНС), в тому числі нездатність до концентрації і млявість. Більш серйозні побічні ефекти ЦНС включають напади, депресію, психоз і суїцидальні думки, які зазвичай відбуваються при пікових концентраціях більше 35 мкг/мл, але можуть також спостерігатися при прийомі звичайної терапевтичної дози. Інші побічні ефекти включають периферичну нейропатію та зміни шкіри. Проблеми зі шкірою включають ліхеноїдні висипання і синдром Стівенса-Джонсона. Застосування цих лікарських засобів у період вагітності не було добре вивчено, але не була документально підтверджена їх тератогенність. Циклосерин можна застосовувати вагітним жінкам, якщо немає іншого кращого вибору. Циклосерин можна використовувати під час грудного вигодовування, а немовляті слід давати вітамін В6, якщо він на грудному вигодовуванні (5).</w:t>
      </w:r>
    </w:p>
    <w:p w:rsidR="005225B5" w:rsidRPr="006263CF" w:rsidRDefault="005225B5" w:rsidP="001F691B">
      <w:pPr>
        <w:spacing w:before="60"/>
        <w:rPr>
          <w:rFonts w:asciiTheme="minorHAnsi" w:hAnsiTheme="minorHAnsi" w:cstheme="minorHAnsi"/>
          <w:sz w:val="18"/>
        </w:rPr>
      </w:pPr>
      <w:r w:rsidRPr="006263CF">
        <w:rPr>
          <w:rFonts w:asciiTheme="minorHAnsi" w:hAnsiTheme="minorHAnsi" w:cstheme="minorHAnsi"/>
          <w:b/>
          <w:bCs/>
          <w:color w:val="1F61AA"/>
          <w:sz w:val="28"/>
          <w:szCs w:val="32"/>
        </w:rPr>
        <w:t>Група C</w:t>
      </w:r>
    </w:p>
    <w:p w:rsidR="005225B5" w:rsidRPr="006263CF" w:rsidRDefault="005225B5" w:rsidP="001F691B">
      <w:pPr>
        <w:spacing w:before="60"/>
        <w:jc w:val="both"/>
        <w:rPr>
          <w:rFonts w:asciiTheme="minorHAnsi" w:hAnsiTheme="minorHAnsi" w:cstheme="minorHAnsi"/>
          <w:sz w:val="18"/>
        </w:rPr>
      </w:pPr>
      <w:r w:rsidRPr="006263CF">
        <w:rPr>
          <w:rFonts w:asciiTheme="minorHAnsi" w:hAnsiTheme="minorHAnsi" w:cstheme="minorHAnsi"/>
          <w:color w:val="000000"/>
          <w:szCs w:val="22"/>
        </w:rPr>
        <w:t xml:space="preserve">Група С включає як ТБ препарати, так і перепрофільовані лікарські препарати, які мають більш низький пріоритет у порівнянні з препаратами Групи А і В, або тому, що вони менш ефективні (етамбутол, деламанід, піразинамід, етіонамід/протіонамід і </w:t>
      </w:r>
      <w:r w:rsidRPr="006263CF">
        <w:rPr>
          <w:rFonts w:asciiTheme="minorHAnsi" w:hAnsiTheme="minorHAnsi" w:cstheme="minorHAnsi"/>
          <w:i/>
          <w:iCs/>
          <w:color w:val="000000"/>
          <w:szCs w:val="22"/>
        </w:rPr>
        <w:t>п</w:t>
      </w:r>
      <w:r w:rsidRPr="006263CF">
        <w:rPr>
          <w:rFonts w:asciiTheme="minorHAnsi" w:hAnsiTheme="minorHAnsi" w:cstheme="minorHAnsi"/>
          <w:color w:val="000000"/>
          <w:szCs w:val="22"/>
        </w:rPr>
        <w:t>-аміносаліцилова кислота) або тому, що вони більш токсичні і важкі для парентерального введення (іміпенем-циластатин, меропенем, амікацин і стрептоміцин). Ці лікарські засоби зазвичай включаються в довгострокову схему лікування, якщо вони не можуть бути складені тільки з речовин групи А і В.</w:t>
      </w:r>
    </w:p>
    <w:p w:rsidR="005225B5" w:rsidRPr="006263CF" w:rsidRDefault="005225B5" w:rsidP="001F691B">
      <w:pPr>
        <w:spacing w:before="60"/>
        <w:jc w:val="both"/>
        <w:rPr>
          <w:rFonts w:asciiTheme="minorHAnsi" w:hAnsiTheme="minorHAnsi" w:cstheme="minorHAnsi"/>
          <w:sz w:val="18"/>
        </w:rPr>
      </w:pPr>
      <w:r w:rsidRPr="006263CF">
        <w:rPr>
          <w:rFonts w:asciiTheme="minorHAnsi" w:hAnsiTheme="minorHAnsi" w:cstheme="minorHAnsi"/>
          <w:b/>
          <w:bCs/>
          <w:i/>
          <w:iCs/>
          <w:color w:val="000000"/>
          <w:szCs w:val="22"/>
        </w:rPr>
        <w:t xml:space="preserve">Етамбутол </w:t>
      </w:r>
      <w:r w:rsidRPr="006263CF">
        <w:rPr>
          <w:rFonts w:asciiTheme="minorHAnsi" w:hAnsiTheme="minorHAnsi" w:cstheme="minorHAnsi"/>
          <w:color w:val="000000"/>
          <w:szCs w:val="22"/>
        </w:rPr>
        <w:t xml:space="preserve">- це протитуберкульозний препарат, який використовується в схемах лікування 1-го ряду і може бути доданий до довгострокових схем лікування МР-ТБ. Безпечність етамбутолу є достатньою при прийомі рекомендованих доз. У зв'язку з труднощами інтерпретації ТМЧ, етамбутол слід розглядати тільки при дотриманні інших критеріїв ймовірності ефективності (наприклад, дані про рівень популяційної медикаментозної резистентності і попередньому вживанні етамбутолу, побудованих на достовірному клінічному анамнезі) (див. </w:t>
      </w:r>
      <w:r w:rsidRPr="006263CF">
        <w:rPr>
          <w:rFonts w:asciiTheme="minorHAnsi" w:hAnsiTheme="minorHAnsi" w:cstheme="minorHAnsi"/>
          <w:color w:val="1F61AA"/>
          <w:szCs w:val="22"/>
        </w:rPr>
        <w:t>Розділ 3.1</w:t>
      </w:r>
      <w:r w:rsidRPr="006263CF">
        <w:rPr>
          <w:rFonts w:asciiTheme="minorHAnsi" w:hAnsiTheme="minorHAnsi" w:cstheme="minorHAnsi"/>
          <w:color w:val="000000"/>
          <w:szCs w:val="22"/>
        </w:rPr>
        <w:t>).</w:t>
      </w:r>
    </w:p>
    <w:p w:rsidR="005225B5" w:rsidRPr="006263CF" w:rsidRDefault="005225B5" w:rsidP="001F691B">
      <w:pPr>
        <w:spacing w:before="60"/>
        <w:jc w:val="both"/>
        <w:rPr>
          <w:rFonts w:asciiTheme="minorHAnsi" w:hAnsiTheme="minorHAnsi" w:cstheme="minorHAnsi"/>
          <w:sz w:val="18"/>
        </w:rPr>
      </w:pPr>
      <w:r w:rsidRPr="006263CF">
        <w:rPr>
          <w:rFonts w:asciiTheme="minorHAnsi" w:hAnsiTheme="minorHAnsi" w:cstheme="minorHAnsi"/>
          <w:b/>
          <w:bCs/>
          <w:i/>
          <w:iCs/>
          <w:color w:val="000000"/>
          <w:szCs w:val="22"/>
        </w:rPr>
        <w:t xml:space="preserve">Деламанід </w:t>
      </w:r>
      <w:r w:rsidRPr="006263CF">
        <w:rPr>
          <w:rFonts w:asciiTheme="minorHAnsi" w:hAnsiTheme="minorHAnsi" w:cstheme="minorHAnsi"/>
          <w:color w:val="000000"/>
          <w:szCs w:val="22"/>
        </w:rPr>
        <w:t xml:space="preserve">ґрунтуючись на сучасних знаннях про ефективність і безпечність деламаніду, отриманих в результаті аналізу настанов ВООЗ, деламанід рекомендується для використання в якості препарату групи С дорослими і дітьми у віці від 3 років і старше </w:t>
      </w:r>
      <w:r w:rsidRPr="006263CF">
        <w:rPr>
          <w:rFonts w:asciiTheme="minorHAnsi" w:hAnsiTheme="minorHAnsi" w:cstheme="minorHAnsi"/>
          <w:i/>
          <w:iCs/>
          <w:color w:val="000000"/>
          <w:szCs w:val="22"/>
        </w:rPr>
        <w:t>(1)</w:t>
      </w:r>
      <w:r w:rsidRPr="006263CF">
        <w:rPr>
          <w:rFonts w:asciiTheme="minorHAnsi" w:hAnsiTheme="minorHAnsi" w:cstheme="minorHAnsi"/>
          <w:color w:val="000000"/>
          <w:szCs w:val="22"/>
        </w:rPr>
        <w:t xml:space="preserve">. Наявні дані про застосування деламаніду в даний час обмежені терміном дії 6 місяців, зазначеним на етикетці, поряд з іншими лікарськими препаратами, що перебувають на довгостроковій схемі лікування; питання про продовження терміну дії після 6 місяців може розглядатися в кожному окремому випадку </w:t>
      </w:r>
      <w:r w:rsidRPr="006263CF">
        <w:rPr>
          <w:rFonts w:asciiTheme="minorHAnsi" w:hAnsiTheme="minorHAnsi" w:cstheme="minorHAnsi"/>
          <w:i/>
          <w:iCs/>
          <w:color w:val="000000"/>
          <w:szCs w:val="22"/>
        </w:rPr>
        <w:t>(1, 8)</w:t>
      </w:r>
      <w:r w:rsidRPr="006263CF">
        <w:rPr>
          <w:rFonts w:asciiTheme="minorHAnsi" w:hAnsiTheme="minorHAnsi" w:cstheme="minorHAnsi"/>
          <w:color w:val="000000"/>
          <w:szCs w:val="22"/>
        </w:rPr>
        <w:t xml:space="preserve">. Більш докладні дані про ефективність деламаніду для його використанням в різних вікових групах і тривалості використання були б корисні для більш ефективного керівництва. Досягти відповідної дози у дітей віком від 3-5 років буде простіше, коли стане доступна спеціальна рецептура, яка застосовується для випробувань у цих вікових групах. Недавній огляд даних для настанов ВООЗ </w:t>
      </w:r>
      <w:r w:rsidRPr="006263CF">
        <w:rPr>
          <w:rFonts w:asciiTheme="minorHAnsi" w:hAnsiTheme="minorHAnsi" w:cstheme="minorHAnsi"/>
          <w:i/>
          <w:iCs/>
          <w:color w:val="000000"/>
          <w:szCs w:val="22"/>
        </w:rPr>
        <w:t xml:space="preserve">(1) </w:t>
      </w:r>
      <w:r w:rsidRPr="006263CF">
        <w:rPr>
          <w:rFonts w:asciiTheme="minorHAnsi" w:hAnsiTheme="minorHAnsi" w:cstheme="minorHAnsi"/>
          <w:color w:val="000000"/>
          <w:szCs w:val="22"/>
        </w:rPr>
        <w:t>показав, що немає ніяких додаткових побоювань з приводу безпечності при одночасному використанні деламаніду з бедаквіліном (див.</w:t>
      </w:r>
    </w:p>
    <w:p w:rsidR="005225B5" w:rsidRPr="006263CF" w:rsidRDefault="005225B5" w:rsidP="006263CF">
      <w:pPr>
        <w:spacing w:before="144"/>
        <w:jc w:val="both"/>
        <w:rPr>
          <w:rFonts w:asciiTheme="minorHAnsi" w:hAnsiTheme="minorHAnsi" w:cstheme="minorHAnsi"/>
          <w:sz w:val="18"/>
        </w:rPr>
        <w:sectPr w:rsidR="005225B5" w:rsidRPr="006263CF" w:rsidSect="001F691B">
          <w:pgSz w:w="11904" w:h="16838"/>
          <w:pgMar w:top="1349" w:right="1416" w:bottom="38" w:left="1416" w:header="708" w:footer="708" w:gutter="0"/>
          <w:cols w:space="60"/>
          <w:noEndnote/>
        </w:sectPr>
      </w:pPr>
    </w:p>
    <w:p w:rsidR="005225B5" w:rsidRPr="006263CF" w:rsidRDefault="005225B5" w:rsidP="006263CF">
      <w:pPr>
        <w:ind w:right="5"/>
        <w:jc w:val="both"/>
        <w:rPr>
          <w:rFonts w:asciiTheme="minorHAnsi" w:hAnsiTheme="minorHAnsi" w:cstheme="minorHAnsi"/>
          <w:sz w:val="18"/>
        </w:rPr>
      </w:pPr>
      <w:r w:rsidRPr="006263CF">
        <w:rPr>
          <w:rFonts w:asciiTheme="minorHAnsi" w:hAnsiTheme="minorHAnsi" w:cstheme="minorHAnsi"/>
          <w:color w:val="1F61AA"/>
          <w:szCs w:val="22"/>
        </w:rPr>
        <w:lastRenderedPageBreak/>
        <w:t>Розділ 6.4</w:t>
      </w:r>
      <w:r w:rsidRPr="006263CF">
        <w:rPr>
          <w:rFonts w:asciiTheme="minorHAnsi" w:hAnsiTheme="minorHAnsi" w:cstheme="minorHAnsi"/>
          <w:color w:val="000000"/>
          <w:szCs w:val="22"/>
        </w:rPr>
        <w:t>). Комбіновані QT ефекти від бедаквіліну і деламаніду, в порівнянні тільки з бедаквіліном або тільки з деламанідом (на додаток до багатокомпонентної фонової терапії), були оцінені в рандомізованому контрольованому випробуванні (РКВ) 75 пацієнтів (&gt; 3000 ЕКГ). Середнє подовження скоригованого інтервалу за формулою Фредеріція QT (QTcF), пов'язане з бедаквіліном, склало 12,3 мс, а у поєднанні бедаквіліну і деламаніду - 20,7 мс. У жодного з учасників не було 3 або 4 ступеня подовження інтервалу QT (49).</w:t>
      </w:r>
    </w:p>
    <w:p w:rsidR="005225B5" w:rsidRPr="006263CF" w:rsidRDefault="005225B5" w:rsidP="001F691B">
      <w:pPr>
        <w:spacing w:before="60"/>
        <w:ind w:right="5"/>
        <w:jc w:val="both"/>
        <w:rPr>
          <w:rFonts w:asciiTheme="minorHAnsi" w:hAnsiTheme="minorHAnsi" w:cstheme="minorHAnsi"/>
          <w:sz w:val="18"/>
        </w:rPr>
      </w:pPr>
      <w:r w:rsidRPr="006263CF">
        <w:rPr>
          <w:rFonts w:asciiTheme="minorHAnsi" w:hAnsiTheme="minorHAnsi" w:cstheme="minorHAnsi"/>
          <w:color w:val="000000"/>
          <w:szCs w:val="22"/>
        </w:rPr>
        <w:t>Піразинамід регулярно додають в схеми лікування МР-ТБ, за винятком випадків, коли є розумні клінічні протипоказання до його застосування (наприклад, гепатотоксичність) або інші серйозні небажані явища або медикаментозна резистентність. Однак надійний ТМЧ для піразинамиду не є широкодоступним; тому цей лікарський засіб часто застосовувався без ТМЧ або незалежно від документально підтвердженої стійкості. При довгострокових схемах лікування рекомендується включати піразинамід тільки тоді, коли результати ТМЧ підтверджують сприйнятливість, а потім він зараховується як одна з ефективних речовин; в будь-яких інших випадках, якщо він включений в схему лікування, він не зараховується як ефективний лікарський засіб [41, 44].</w:t>
      </w:r>
    </w:p>
    <w:p w:rsidR="005225B5" w:rsidRPr="006263CF" w:rsidRDefault="005225B5" w:rsidP="001F691B">
      <w:pPr>
        <w:spacing w:before="60"/>
        <w:ind w:right="5"/>
        <w:jc w:val="both"/>
        <w:rPr>
          <w:rFonts w:asciiTheme="minorHAnsi" w:hAnsiTheme="minorHAnsi" w:cstheme="minorHAnsi"/>
          <w:sz w:val="18"/>
        </w:rPr>
      </w:pPr>
      <w:r w:rsidRPr="006263CF">
        <w:rPr>
          <w:rFonts w:asciiTheme="minorHAnsi" w:hAnsiTheme="minorHAnsi" w:cstheme="minorHAnsi"/>
          <w:color w:val="000000"/>
          <w:szCs w:val="22"/>
        </w:rPr>
        <w:t xml:space="preserve">Іміпенем-циластатин і меропенем є єдиними карбапенемами, які мають встановлену роль в схемах лікування МР-ТБ, хоча досвід використання ертапенему обмежений (63). Обидва лікарських засоби вводяться внутрішньовенно, що є основним недоліком, який обмежує їх ширше застосування за межами лікарень, особливо в умовах обмежених ресурсів (64-68). Щоденні внутрішньовенні ін'єкції, як правило, неможливо здійснити, якщо немає хірургічно пристосованого порту, який має з'єднання з головною веною. Меропенем з клавуланатом в складі схем лікування (зазвичай також містить лінезолід) для пацієнтів з МР-ТБ і ЛС-ТБ показав поліпшення перетворення культури і виживання </w:t>
      </w:r>
      <w:r w:rsidRPr="006263CF">
        <w:rPr>
          <w:rFonts w:asciiTheme="minorHAnsi" w:hAnsiTheme="minorHAnsi" w:cstheme="minorHAnsi"/>
          <w:i/>
          <w:iCs/>
          <w:color w:val="000000"/>
          <w:szCs w:val="22"/>
        </w:rPr>
        <w:t>(69-71)</w:t>
      </w:r>
      <w:r w:rsidRPr="006263CF">
        <w:rPr>
          <w:rFonts w:asciiTheme="minorHAnsi" w:hAnsiTheme="minorHAnsi" w:cstheme="minorHAnsi"/>
          <w:color w:val="000000"/>
          <w:szCs w:val="22"/>
        </w:rPr>
        <w:t>. Клавуланова кислота (як ко-амоксіклав) не є лікарським препаратом від туберкульозу, але є допоміжним препаратом, що застсовується перорально кожен раз, коли вводиться доза карбапенема, приблизно за 30 хвилин до внутрішньовенного вливання. При включенні в схему лікування, клавуланова кислота не вважається одним з протитуберкульозних препаратів і не повинна використовуватися без карбапенемів.</w:t>
      </w:r>
    </w:p>
    <w:p w:rsidR="005225B5" w:rsidRPr="006263CF" w:rsidRDefault="005225B5" w:rsidP="001F691B">
      <w:pPr>
        <w:spacing w:before="60"/>
        <w:jc w:val="both"/>
        <w:rPr>
          <w:rFonts w:asciiTheme="minorHAnsi" w:hAnsiTheme="minorHAnsi" w:cstheme="minorHAnsi"/>
          <w:sz w:val="18"/>
        </w:rPr>
      </w:pPr>
      <w:r w:rsidRPr="006263CF">
        <w:rPr>
          <w:rFonts w:asciiTheme="minorHAnsi" w:hAnsiTheme="minorHAnsi" w:cstheme="minorHAnsi"/>
          <w:b/>
          <w:bCs/>
          <w:i/>
          <w:iCs/>
          <w:color w:val="000000"/>
          <w:szCs w:val="22"/>
        </w:rPr>
        <w:t xml:space="preserve">Амікацин </w:t>
      </w:r>
      <w:r w:rsidRPr="006263CF">
        <w:rPr>
          <w:rFonts w:asciiTheme="minorHAnsi" w:hAnsiTheme="minorHAnsi" w:cstheme="minorHAnsi"/>
          <w:color w:val="000000"/>
          <w:szCs w:val="22"/>
        </w:rPr>
        <w:t xml:space="preserve">і </w:t>
      </w:r>
      <w:r w:rsidRPr="006263CF">
        <w:rPr>
          <w:rFonts w:asciiTheme="minorHAnsi" w:hAnsiTheme="minorHAnsi" w:cstheme="minorHAnsi"/>
          <w:b/>
          <w:bCs/>
          <w:i/>
          <w:iCs/>
          <w:color w:val="000000"/>
          <w:szCs w:val="22"/>
        </w:rPr>
        <w:t xml:space="preserve">стрептоміцин </w:t>
      </w:r>
      <w:r w:rsidRPr="006263CF">
        <w:rPr>
          <w:rFonts w:asciiTheme="minorHAnsi" w:hAnsiTheme="minorHAnsi" w:cstheme="minorHAnsi"/>
          <w:color w:val="000000"/>
          <w:szCs w:val="22"/>
        </w:rPr>
        <w:t xml:space="preserve">- єдині два аміноглікозидних антибіотика, які до сих пір рекомендуються до застосування в схемах лікування МР-ТБ, коли варіанти складу в схемі лікування обмежені. Амікацин і стрептоміцин асоціювалися з більш низькими показниками неефективності лікування або рецидивів і смертності при застосуванні у людей зі штамами </w:t>
      </w:r>
      <w:r w:rsidRPr="006263CF">
        <w:rPr>
          <w:rFonts w:asciiTheme="minorHAnsi" w:hAnsiTheme="minorHAnsi" w:cstheme="minorHAnsi"/>
          <w:i/>
          <w:iCs/>
          <w:color w:val="000000"/>
          <w:szCs w:val="22"/>
        </w:rPr>
        <w:t>M. tuberculosis</w:t>
      </w:r>
      <w:r w:rsidRPr="006263CF">
        <w:rPr>
          <w:rFonts w:asciiTheme="minorHAnsi" w:hAnsiTheme="minorHAnsi" w:cstheme="minorHAnsi"/>
          <w:color w:val="000000"/>
          <w:szCs w:val="22"/>
        </w:rPr>
        <w:t>, сприйнятливими до амікацину або стрептоміцину, хоча вони мають загальні недоліки і серйозні токсичні властивості (тобто ототоксичність і нефротоксичність) інших ін'єкційних препаратів, які більше не рекомендуються (тобто канаміцин і капреоміцин), після того, як в 2018 році були переглянуті докази їх застосування на довгострокових схемах лікування МР-ТБ. Амікацин і стрептоміцин можуть використовуватися дорослими у віці 18 років і старше, в ситуаціях, коли ефективна схема лікування не може бути розроблена з використанням пероральних препаратів, коли доведена чутливість і вжиті адекватні заходи для моніторингу небажаних явищ. З огляду на глибокий вплив, через який втрата слуху може впливати на освоєння мови і здатність вчитися в школі, використання ін'єкційних препаратів у дітей має носити винятковий характер і обмежуватися рятувальною терапією, а лікування має проводитися під строгим контролем, щоб забезпечити раннє виявлення ототоксичності. Амікацин переважніше стрептоміцину, який використовується тільки в якості замінника, коли амікацин недоступний або є підтверджена стійкість до нього. Останній аналіз, проведений у пацієнтів, які приймають довгострокові схеми лікування, показав, що у пацієнтів, що приймають амікацин, ризик виникнення серйозних небажаних явищ вище, ніж у пацієнтів, які приймають стрептоміцин (1). Використання цих лікарських препаратів вимагає наявності ТМЧ для підтвердження сприйнятливості тесту медикаментозної чутливості, а також контролю слуху для виявлення токсичності цих лікарських засобів. Пацієнта слід поінформувати про токсичність лікарських засобів та слід отримати згоду перед лікуванням. Враховуючи високу частоту стрептоміцинової стійкості у пацієнтів з МР/Риф-ТБ в багатьох випадках і її широке історичне застосування в рамках довгострокових схемах лікування туберкульозу 1-го ряду в багатьох країнах, стрептоміцин навряд чи буде широко застосовуватися в схемах лікування МР-ТБ.</w:t>
      </w:r>
    </w:p>
    <w:p w:rsidR="005225B5" w:rsidRPr="006263CF" w:rsidRDefault="005225B5" w:rsidP="001F691B">
      <w:pPr>
        <w:spacing w:before="60"/>
        <w:ind w:right="5"/>
        <w:jc w:val="both"/>
        <w:rPr>
          <w:rFonts w:asciiTheme="minorHAnsi" w:hAnsiTheme="minorHAnsi" w:cstheme="minorHAnsi"/>
          <w:sz w:val="18"/>
        </w:rPr>
      </w:pPr>
      <w:r w:rsidRPr="006263CF">
        <w:rPr>
          <w:rFonts w:asciiTheme="minorHAnsi" w:hAnsiTheme="minorHAnsi" w:cstheme="minorHAnsi"/>
          <w:b/>
          <w:bCs/>
          <w:i/>
          <w:iCs/>
          <w:color w:val="000000"/>
          <w:szCs w:val="22"/>
        </w:rPr>
        <w:t xml:space="preserve">Етіонамід </w:t>
      </w:r>
      <w:r w:rsidRPr="006263CF">
        <w:rPr>
          <w:rFonts w:asciiTheme="minorHAnsi" w:hAnsiTheme="minorHAnsi" w:cstheme="minorHAnsi"/>
          <w:color w:val="000000"/>
          <w:szCs w:val="22"/>
        </w:rPr>
        <w:t xml:space="preserve">і </w:t>
      </w:r>
      <w:r w:rsidRPr="006263CF">
        <w:rPr>
          <w:rFonts w:asciiTheme="minorHAnsi" w:hAnsiTheme="minorHAnsi" w:cstheme="minorHAnsi"/>
          <w:b/>
          <w:bCs/>
          <w:i/>
          <w:iCs/>
          <w:color w:val="000000"/>
          <w:szCs w:val="22"/>
        </w:rPr>
        <w:t xml:space="preserve">протіонамід. </w:t>
      </w:r>
      <w:r w:rsidRPr="006263CF">
        <w:rPr>
          <w:rFonts w:asciiTheme="minorHAnsi" w:hAnsiTheme="minorHAnsi" w:cstheme="minorHAnsi"/>
          <w:color w:val="000000"/>
          <w:szCs w:val="22"/>
        </w:rPr>
        <w:t xml:space="preserve">У настановах ВООЗ етіонамід і протіонамід вважаються взаємозамінними. У консолідованих настановах ВООЗ міститься умовна рекомендація </w:t>
      </w:r>
      <w:r w:rsidRPr="006263CF">
        <w:rPr>
          <w:rFonts w:asciiTheme="minorHAnsi" w:hAnsiTheme="minorHAnsi" w:cstheme="minorHAnsi"/>
          <w:i/>
          <w:iCs/>
          <w:color w:val="000000"/>
          <w:szCs w:val="22"/>
        </w:rPr>
        <w:t xml:space="preserve">проти </w:t>
      </w:r>
      <w:r w:rsidRPr="006263CF">
        <w:rPr>
          <w:rFonts w:asciiTheme="minorHAnsi" w:hAnsiTheme="minorHAnsi" w:cstheme="minorHAnsi"/>
          <w:color w:val="000000"/>
          <w:szCs w:val="22"/>
        </w:rPr>
        <w:t>їх застосування в довгострокових схемах лікування МР-ТБ, зарезервувавши їх для ситуацій, коли не можна використовувати декілька більш ефективних препаратів (наприклад, бедаквілін, лінезолід і клофазимін).</w:t>
      </w:r>
    </w:p>
    <w:p w:rsidR="005225B5" w:rsidRPr="006263CF" w:rsidRDefault="005225B5" w:rsidP="001F691B">
      <w:pPr>
        <w:spacing w:before="60"/>
        <w:ind w:right="5"/>
        <w:jc w:val="both"/>
        <w:rPr>
          <w:rFonts w:asciiTheme="minorHAnsi" w:hAnsiTheme="minorHAnsi" w:cstheme="minorHAnsi"/>
          <w:sz w:val="18"/>
        </w:rPr>
      </w:pPr>
      <w:r w:rsidRPr="006263CF">
        <w:rPr>
          <w:rFonts w:asciiTheme="minorHAnsi" w:hAnsiTheme="minorHAnsi" w:cstheme="minorHAnsi"/>
          <w:b/>
          <w:bCs/>
          <w:i/>
          <w:iCs/>
          <w:color w:val="000000"/>
          <w:szCs w:val="22"/>
        </w:rPr>
        <w:t>П</w:t>
      </w:r>
      <w:r w:rsidRPr="006263CF">
        <w:rPr>
          <w:rFonts w:asciiTheme="minorHAnsi" w:hAnsiTheme="minorHAnsi" w:cstheme="minorHAnsi"/>
          <w:b/>
          <w:bCs/>
          <w:color w:val="000000"/>
          <w:szCs w:val="22"/>
        </w:rPr>
        <w:t>-аминосаліцилову (</w:t>
      </w:r>
      <w:r w:rsidRPr="006263CF">
        <w:rPr>
          <w:rFonts w:asciiTheme="minorHAnsi" w:hAnsiTheme="minorHAnsi" w:cstheme="minorHAnsi"/>
          <w:b/>
          <w:bCs/>
          <w:i/>
          <w:iCs/>
          <w:color w:val="000000"/>
          <w:szCs w:val="22"/>
        </w:rPr>
        <w:t xml:space="preserve">ПАС) кислоту </w:t>
      </w:r>
      <w:r w:rsidRPr="006263CF">
        <w:rPr>
          <w:rFonts w:asciiTheme="minorHAnsi" w:hAnsiTheme="minorHAnsi" w:cstheme="minorHAnsi"/>
          <w:color w:val="000000"/>
          <w:szCs w:val="22"/>
        </w:rPr>
        <w:t>можна розглядати як останню можливість для лікування МР/Риф-ТБ. Лікарський засіб рекомендований в консолідованих настановах ВООЗ тільки для використання при лікуванні пацієнтів з МР/Риф-ТБ у довгострокових схемах лікування, якщо не використовується бедаквілін, лінезолід, клофазимін або деламанід,</w:t>
      </w:r>
    </w:p>
    <w:p w:rsidR="005225B5" w:rsidRPr="006263CF" w:rsidRDefault="005225B5" w:rsidP="006263CF">
      <w:pPr>
        <w:spacing w:before="139"/>
        <w:ind w:right="5"/>
        <w:jc w:val="both"/>
        <w:rPr>
          <w:rFonts w:asciiTheme="minorHAnsi" w:hAnsiTheme="minorHAnsi" w:cstheme="minorHAnsi"/>
          <w:sz w:val="18"/>
        </w:rPr>
        <w:sectPr w:rsidR="005225B5" w:rsidRPr="006263CF" w:rsidSect="001F691B">
          <w:pgSz w:w="11904" w:h="16838"/>
          <w:pgMar w:top="1349" w:right="1411" w:bottom="38" w:left="1416" w:header="708" w:footer="708" w:gutter="0"/>
          <w:cols w:space="60"/>
          <w:noEndnote/>
        </w:sectPr>
      </w:pPr>
    </w:p>
    <w:p w:rsidR="005225B5" w:rsidRPr="006263CF" w:rsidRDefault="005225B5" w:rsidP="006263CF">
      <w:pPr>
        <w:jc w:val="both"/>
        <w:rPr>
          <w:rFonts w:asciiTheme="minorHAnsi" w:hAnsiTheme="minorHAnsi" w:cstheme="minorHAnsi"/>
          <w:sz w:val="18"/>
        </w:rPr>
      </w:pPr>
      <w:r w:rsidRPr="006263CF">
        <w:rPr>
          <w:rFonts w:asciiTheme="minorHAnsi" w:hAnsiTheme="minorHAnsi" w:cstheme="minorHAnsi"/>
          <w:color w:val="000000"/>
          <w:szCs w:val="22"/>
        </w:rPr>
        <w:lastRenderedPageBreak/>
        <w:t>або якщо кращі варіанти складання схеми лікування неможливі. Немає вказівки на перехресну стійкість ПАС кислоти до інших протитуберкульозних препарати</w:t>
      </w:r>
      <w:r w:rsidRPr="006263CF">
        <w:rPr>
          <w:rFonts w:asciiTheme="minorHAnsi" w:hAnsiTheme="minorHAnsi" w:cstheme="minorHAnsi"/>
          <w:i/>
          <w:iCs/>
          <w:color w:val="000000"/>
          <w:szCs w:val="22"/>
        </w:rPr>
        <w:t>(1)</w:t>
      </w:r>
      <w:r w:rsidRPr="006263CF">
        <w:rPr>
          <w:rFonts w:asciiTheme="minorHAnsi" w:hAnsiTheme="minorHAnsi" w:cstheme="minorHAnsi"/>
          <w:color w:val="000000"/>
          <w:szCs w:val="22"/>
        </w:rPr>
        <w:t>.</w:t>
      </w:r>
    </w:p>
    <w:p w:rsidR="005225B5" w:rsidRPr="006263CF" w:rsidRDefault="005225B5" w:rsidP="001F691B">
      <w:pPr>
        <w:spacing w:before="120"/>
        <w:rPr>
          <w:rFonts w:asciiTheme="minorHAnsi" w:hAnsiTheme="minorHAnsi" w:cstheme="minorHAnsi"/>
          <w:sz w:val="18"/>
        </w:rPr>
      </w:pPr>
      <w:r w:rsidRPr="006263CF">
        <w:rPr>
          <w:rFonts w:asciiTheme="minorHAnsi" w:hAnsiTheme="minorHAnsi" w:cstheme="minorHAnsi"/>
          <w:b/>
          <w:bCs/>
          <w:color w:val="1F61AA"/>
          <w:sz w:val="28"/>
          <w:szCs w:val="32"/>
        </w:rPr>
        <w:t>Інші лікарські препарати</w:t>
      </w:r>
    </w:p>
    <w:p w:rsidR="005225B5" w:rsidRPr="006263CF" w:rsidRDefault="005225B5" w:rsidP="001F691B">
      <w:pPr>
        <w:spacing w:before="120"/>
        <w:jc w:val="both"/>
        <w:rPr>
          <w:rFonts w:asciiTheme="minorHAnsi" w:hAnsiTheme="minorHAnsi" w:cstheme="minorHAnsi"/>
          <w:sz w:val="18"/>
        </w:rPr>
      </w:pPr>
      <w:r w:rsidRPr="006263CF">
        <w:rPr>
          <w:rFonts w:asciiTheme="minorHAnsi" w:hAnsiTheme="minorHAnsi" w:cstheme="minorHAnsi"/>
          <w:sz w:val="18"/>
        </w:rPr>
        <w:t xml:space="preserve">Ряд лікарських препаратів, раніше рекомендованих в якості потенційних компонентів для довгострокової схеми лікування МР-ТБ, що не входять в групи А-С. В даному розділі викладаються причини цього, а також наводиться деяка довідкова інформація про ці лікарські препарати (Детальна інформація про дозування також внесена в переглянуті таблиці, що містяться в </w:t>
      </w:r>
      <w:r w:rsidRPr="006263CF">
        <w:rPr>
          <w:rFonts w:asciiTheme="minorHAnsi" w:hAnsiTheme="minorHAnsi" w:cstheme="minorHAnsi"/>
          <w:color w:val="1F61AA"/>
          <w:szCs w:val="22"/>
        </w:rPr>
        <w:t>Додатку I</w:t>
      </w:r>
      <w:r w:rsidRPr="006263CF">
        <w:rPr>
          <w:rFonts w:asciiTheme="minorHAnsi" w:hAnsiTheme="minorHAnsi" w:cstheme="minorHAnsi"/>
          <w:color w:val="000000"/>
          <w:szCs w:val="22"/>
        </w:rPr>
        <w:t>)</w:t>
      </w:r>
      <w:r w:rsidRPr="006263CF">
        <w:rPr>
          <w:rFonts w:asciiTheme="minorHAnsi" w:hAnsiTheme="minorHAnsi" w:cstheme="minorHAnsi"/>
          <w:sz w:val="18"/>
        </w:rPr>
        <w:t>.</w:t>
      </w:r>
    </w:p>
    <w:p w:rsidR="005225B5" w:rsidRPr="006263CF" w:rsidRDefault="005225B5" w:rsidP="001F691B">
      <w:pPr>
        <w:spacing w:before="120"/>
        <w:jc w:val="both"/>
        <w:rPr>
          <w:rFonts w:asciiTheme="minorHAnsi" w:hAnsiTheme="minorHAnsi" w:cstheme="minorHAnsi"/>
          <w:sz w:val="18"/>
        </w:rPr>
      </w:pPr>
      <w:r w:rsidRPr="006263CF">
        <w:rPr>
          <w:rFonts w:asciiTheme="minorHAnsi" w:hAnsiTheme="minorHAnsi" w:cstheme="minorHAnsi"/>
          <w:b/>
          <w:bCs/>
          <w:i/>
          <w:iCs/>
          <w:color w:val="000000"/>
          <w:szCs w:val="22"/>
        </w:rPr>
        <w:t xml:space="preserve">Використання </w:t>
      </w:r>
      <w:r w:rsidRPr="006263CF">
        <w:rPr>
          <w:rFonts w:asciiTheme="minorHAnsi" w:hAnsiTheme="minorHAnsi" w:cstheme="minorHAnsi"/>
          <w:color w:val="000000"/>
          <w:szCs w:val="22"/>
        </w:rPr>
        <w:t xml:space="preserve">гатифоксацину в МР-ТБ було в значній мірі обмежено попередніми стандартизованими дослідженнями для короткострокової схеми лікування МР-ТБ в Бангладеші і Камеруні </w:t>
      </w:r>
      <w:r w:rsidRPr="006263CF">
        <w:rPr>
          <w:rFonts w:asciiTheme="minorHAnsi" w:hAnsiTheme="minorHAnsi" w:cstheme="minorHAnsi"/>
          <w:i/>
          <w:iCs/>
          <w:color w:val="000000"/>
          <w:szCs w:val="22"/>
        </w:rPr>
        <w:t>(33, 72)</w:t>
      </w:r>
      <w:r w:rsidRPr="006263CF">
        <w:rPr>
          <w:rFonts w:asciiTheme="minorHAnsi" w:hAnsiTheme="minorHAnsi" w:cstheme="minorHAnsi"/>
          <w:color w:val="000000"/>
          <w:szCs w:val="22"/>
        </w:rPr>
        <w:t xml:space="preserve">. Дисглікемія у літніх пацієнтів, які отримували гатифлоксацин в якості антибіотика широкого спектру дії, призвела до його виведення з ринку </w:t>
      </w:r>
      <w:r w:rsidRPr="006263CF">
        <w:rPr>
          <w:rFonts w:asciiTheme="minorHAnsi" w:hAnsiTheme="minorHAnsi" w:cstheme="minorHAnsi"/>
          <w:i/>
          <w:iCs/>
          <w:color w:val="000000"/>
          <w:szCs w:val="22"/>
        </w:rPr>
        <w:t>(40, 73)</w:t>
      </w:r>
      <w:r w:rsidRPr="006263CF">
        <w:rPr>
          <w:rFonts w:asciiTheme="minorHAnsi" w:hAnsiTheme="minorHAnsi" w:cstheme="minorHAnsi"/>
          <w:color w:val="000000"/>
          <w:szCs w:val="22"/>
        </w:rPr>
        <w:t>. Хоча можна використовувати гатифлоксацин в програмі з добре організованою системою активного моніторингу та управління безпекою застосування протитуберкульозних препаратів, відсутність на ринку якісної рецептури, перешкоджає його використанню.</w:t>
      </w:r>
    </w:p>
    <w:p w:rsidR="005225B5" w:rsidRPr="006263CF" w:rsidRDefault="005225B5" w:rsidP="001F691B">
      <w:pPr>
        <w:spacing w:before="120"/>
        <w:jc w:val="both"/>
        <w:rPr>
          <w:rFonts w:asciiTheme="minorHAnsi" w:hAnsiTheme="minorHAnsi" w:cstheme="minorHAnsi"/>
          <w:sz w:val="18"/>
        </w:rPr>
      </w:pPr>
      <w:r w:rsidRPr="006263CF">
        <w:rPr>
          <w:rFonts w:asciiTheme="minorHAnsi" w:hAnsiTheme="minorHAnsi" w:cstheme="minorHAnsi"/>
          <w:color w:val="000000"/>
          <w:szCs w:val="22"/>
        </w:rPr>
        <w:t xml:space="preserve">Високодозований ізоніазид (10-15 мг/кг) не входить в Групи А-С, з огляду на рідкість його застосування в сучасних довгострокових схемах лікування для дорослих. Це також відносно безпечний лікарський препарат, як показав недавній досвід його застосування в дозі 10 мг/кг, коли тільки 0,5% з 1006 пацієнтів в багатоцентровому наглядовому дослідженні для короткострокової схеми лікування МР-ТБ повідомили про нейротоксичність 3 або 4 класу </w:t>
      </w:r>
      <w:r w:rsidRPr="006263CF">
        <w:rPr>
          <w:rFonts w:asciiTheme="minorHAnsi" w:hAnsiTheme="minorHAnsi" w:cstheme="minorHAnsi"/>
          <w:i/>
          <w:iCs/>
          <w:color w:val="000000"/>
          <w:szCs w:val="22"/>
        </w:rPr>
        <w:t>(74)</w:t>
      </w:r>
      <w:r w:rsidRPr="006263CF">
        <w:rPr>
          <w:rFonts w:asciiTheme="minorHAnsi" w:hAnsiTheme="minorHAnsi" w:cstheme="minorHAnsi"/>
          <w:color w:val="000000"/>
          <w:szCs w:val="22"/>
        </w:rPr>
        <w:t xml:space="preserve">. Інші дані свідчать про те, що він може бути також корисний для довгострокової схеми лікування МР-ТБ. По-перше, в систематичному огляді і метааналізі ІДП, проведеному на замовлення ВООЗ в 2015 році для опису результатів лікування дітей з МР-ТБ (до якого увійшло 975 дітей з 18 країн), використання високих доз ізоніазиду асоціювалося з успіхом лікування серед дітей з підтвердженим МР-ТБ (скориговане співвідношення шансів [сСШ] 5,9, 95% довірчий інтервал [ДІ]): 1.7-20.5, </w:t>
      </w:r>
      <w:r w:rsidRPr="006263CF">
        <w:rPr>
          <w:rFonts w:asciiTheme="minorHAnsi" w:hAnsiTheme="minorHAnsi" w:cstheme="minorHAnsi"/>
          <w:i/>
          <w:iCs/>
          <w:color w:val="000000"/>
          <w:szCs w:val="22"/>
        </w:rPr>
        <w:t>P</w:t>
      </w:r>
      <w:r w:rsidRPr="006263CF">
        <w:rPr>
          <w:rFonts w:asciiTheme="minorHAnsi" w:hAnsiTheme="minorHAnsi" w:cstheme="minorHAnsi"/>
          <w:color w:val="000000"/>
          <w:szCs w:val="22"/>
        </w:rPr>
        <w:t xml:space="preserve">=0.007) </w:t>
      </w:r>
      <w:r w:rsidRPr="006263CF">
        <w:rPr>
          <w:rFonts w:asciiTheme="minorHAnsi" w:hAnsiTheme="minorHAnsi" w:cstheme="minorHAnsi"/>
          <w:i/>
          <w:iCs/>
          <w:color w:val="000000"/>
          <w:szCs w:val="22"/>
        </w:rPr>
        <w:t>(75)</w:t>
      </w:r>
      <w:r w:rsidRPr="006263CF">
        <w:rPr>
          <w:rFonts w:asciiTheme="minorHAnsi" w:hAnsiTheme="minorHAnsi" w:cstheme="minorHAnsi"/>
          <w:color w:val="000000"/>
          <w:szCs w:val="22"/>
        </w:rPr>
        <w:t xml:space="preserve">. По-друге, в рандомізованому, подвійному сліпому, плацебо-контрольованому клінічному дослідженні серед дорослих з МР-ТБ, учасники, які отримували високі дози ізоніазиду (16-18 мг/кг) (доданий до канаміцину, левофлоксацину, протіонаміду, циклосерину та ПАС кислоти) були значно більш схильні до культурування протягом 6 місяців лікування, ніж ті, які отримували плацебо або ізоніазид стандартної дози (5 мг/кг) (73,8% проти 48,8% або 45,0%, відповідно), із середнім часом культурування, що значно зменшується у великій дозі ізоніазиду (3,4 проти 6,6 або 6,4 місяців, відповідно). Генотиповий ТМЧ не проводився, але близько 60% учасників мали ізольований </w:t>
      </w:r>
      <w:r w:rsidRPr="006263CF">
        <w:rPr>
          <w:rFonts w:asciiTheme="minorHAnsi" w:hAnsiTheme="minorHAnsi" w:cstheme="minorHAnsi"/>
          <w:i/>
          <w:iCs/>
          <w:color w:val="000000"/>
          <w:szCs w:val="22"/>
        </w:rPr>
        <w:t>M. tuberculosis</w:t>
      </w:r>
      <w:r w:rsidRPr="006263CF">
        <w:rPr>
          <w:rFonts w:asciiTheme="minorHAnsi" w:hAnsiTheme="minorHAnsi" w:cstheme="minorHAnsi"/>
          <w:color w:val="000000"/>
          <w:szCs w:val="22"/>
        </w:rPr>
        <w:t xml:space="preserve">, для яких МІК (мінімальна інгібіторна концентрація) ізоніазиду була в діапазоні від 0,2 до 5 мкг/мл. Периферійна нейропатія була більш поширена при прийомі високих доз ізоніазиду, але піридоксин не був зазначений в дослідженні (76). По-третє, більш недавнє дослідження ЕБА серед пацієнтів з МР-ТБ, в якому стійкість ізоніазиду була опосередкована ізольованими </w:t>
      </w:r>
      <w:r w:rsidRPr="006263CF">
        <w:rPr>
          <w:rFonts w:asciiTheme="minorHAnsi" w:hAnsiTheme="minorHAnsi" w:cstheme="minorHAnsi"/>
          <w:i/>
          <w:iCs/>
          <w:color w:val="000000"/>
          <w:szCs w:val="22"/>
        </w:rPr>
        <w:t>inh</w:t>
      </w:r>
      <w:r w:rsidRPr="006263CF">
        <w:rPr>
          <w:rFonts w:asciiTheme="minorHAnsi" w:hAnsiTheme="minorHAnsi" w:cstheme="minorHAnsi"/>
          <w:color w:val="000000"/>
          <w:szCs w:val="22"/>
        </w:rPr>
        <w:t xml:space="preserve">A мутаціями, які були випадково обрані, щоб отримати ізоніазид по 5, 10 або 15 мг/кг, показало, що дози по 10-15 мг/кг ізоніазиду щодня виявляють бактерицидну активність, аналогічну стандартній дозі ізоніазиду (5 мг/кг), що видається пацієнтам з лікарсько-чутливим ТБ (77). Штами з ізольованими </w:t>
      </w:r>
      <w:r w:rsidRPr="006263CF">
        <w:rPr>
          <w:rFonts w:asciiTheme="minorHAnsi" w:hAnsiTheme="minorHAnsi" w:cstheme="minorHAnsi"/>
          <w:i/>
          <w:iCs/>
          <w:color w:val="000000"/>
          <w:szCs w:val="22"/>
        </w:rPr>
        <w:t>kat</w:t>
      </w:r>
      <w:r w:rsidRPr="006263CF">
        <w:rPr>
          <w:rFonts w:asciiTheme="minorHAnsi" w:hAnsiTheme="minorHAnsi" w:cstheme="minorHAnsi"/>
          <w:color w:val="000000"/>
          <w:szCs w:val="22"/>
        </w:rPr>
        <w:t xml:space="preserve">G або як </w:t>
      </w:r>
      <w:r w:rsidRPr="006263CF">
        <w:rPr>
          <w:rFonts w:asciiTheme="minorHAnsi" w:hAnsiTheme="minorHAnsi" w:cstheme="minorHAnsi"/>
          <w:i/>
          <w:iCs/>
          <w:color w:val="000000"/>
          <w:szCs w:val="22"/>
        </w:rPr>
        <w:t>kat</w:t>
      </w:r>
      <w:r w:rsidRPr="006263CF">
        <w:rPr>
          <w:rFonts w:asciiTheme="minorHAnsi" w:hAnsiTheme="minorHAnsi" w:cstheme="minorHAnsi"/>
          <w:color w:val="000000"/>
          <w:szCs w:val="22"/>
        </w:rPr>
        <w:t xml:space="preserve">G, так і </w:t>
      </w:r>
      <w:r w:rsidRPr="006263CF">
        <w:rPr>
          <w:rFonts w:asciiTheme="minorHAnsi" w:hAnsiTheme="minorHAnsi" w:cstheme="minorHAnsi"/>
          <w:i/>
          <w:iCs/>
          <w:color w:val="000000"/>
          <w:szCs w:val="22"/>
        </w:rPr>
        <w:t>inh</w:t>
      </w:r>
      <w:r w:rsidRPr="006263CF">
        <w:rPr>
          <w:rFonts w:asciiTheme="minorHAnsi" w:hAnsiTheme="minorHAnsi" w:cstheme="minorHAnsi"/>
          <w:color w:val="000000"/>
          <w:szCs w:val="22"/>
        </w:rPr>
        <w:t xml:space="preserve">A мутації навряд чи будуть реагувати навіть на високі дози ізоніазиду, враховуючи типово високий вміст МІК ізоніазиду в цих штамах. У консолідованих настановах ВООЗ рекомендують високі дози ізоніазиду, які також можна використовувати в схемах лікування для дорослих і дітей з підтвердженою сприйнятливістю до ізоніазиду або при наявності мутацій, які не надають високого рівня стійкості до ізоніазиду (тобто ізольованих </w:t>
      </w:r>
      <w:r w:rsidRPr="006263CF">
        <w:rPr>
          <w:rFonts w:asciiTheme="minorHAnsi" w:hAnsiTheme="minorHAnsi" w:cstheme="minorHAnsi"/>
          <w:i/>
          <w:iCs/>
          <w:color w:val="000000"/>
          <w:szCs w:val="22"/>
        </w:rPr>
        <w:t>inh</w:t>
      </w:r>
      <w:r w:rsidRPr="006263CF">
        <w:rPr>
          <w:rFonts w:asciiTheme="minorHAnsi" w:hAnsiTheme="minorHAnsi" w:cstheme="minorHAnsi"/>
          <w:color w:val="000000"/>
          <w:szCs w:val="22"/>
        </w:rPr>
        <w:t xml:space="preserve">A мутацій) </w:t>
      </w:r>
      <w:r w:rsidRPr="006263CF">
        <w:rPr>
          <w:rFonts w:asciiTheme="minorHAnsi" w:hAnsiTheme="minorHAnsi" w:cstheme="minorHAnsi"/>
          <w:i/>
          <w:iCs/>
          <w:color w:val="000000"/>
          <w:szCs w:val="22"/>
        </w:rPr>
        <w:t>(1, 15)</w:t>
      </w:r>
      <w:r w:rsidRPr="006263CF">
        <w:rPr>
          <w:rFonts w:asciiTheme="minorHAnsi" w:hAnsiTheme="minorHAnsi" w:cstheme="minorHAnsi"/>
          <w:color w:val="000000"/>
          <w:szCs w:val="22"/>
        </w:rPr>
        <w:t>.</w:t>
      </w:r>
    </w:p>
    <w:p w:rsidR="005225B5" w:rsidRPr="006263CF" w:rsidRDefault="005225B5" w:rsidP="001F691B">
      <w:pPr>
        <w:spacing w:before="120"/>
        <w:jc w:val="both"/>
        <w:rPr>
          <w:rFonts w:asciiTheme="minorHAnsi" w:hAnsiTheme="minorHAnsi" w:cstheme="minorHAnsi"/>
          <w:sz w:val="18"/>
        </w:rPr>
      </w:pPr>
      <w:r w:rsidRPr="006263CF">
        <w:rPr>
          <w:rFonts w:asciiTheme="minorHAnsi" w:hAnsiTheme="minorHAnsi" w:cstheme="minorHAnsi"/>
          <w:b/>
          <w:bCs/>
          <w:i/>
          <w:iCs/>
          <w:color w:val="000000"/>
          <w:szCs w:val="22"/>
        </w:rPr>
        <w:t xml:space="preserve">Канаміцин і капреоміцин </w:t>
      </w:r>
      <w:r w:rsidRPr="006263CF">
        <w:rPr>
          <w:rFonts w:asciiTheme="minorHAnsi" w:hAnsiTheme="minorHAnsi" w:cstheme="minorHAnsi"/>
          <w:color w:val="000000"/>
          <w:szCs w:val="22"/>
        </w:rPr>
        <w:t xml:space="preserve">є ін'єкційними препаратами, які більше не рекомендуються в якості компонентів для будь-якої схеми лікування МР-ТБ, після аналізу даних для поновлення консолідованих настанов ВООЗ в 2018 році, який показав підвищений ризик неефективності лікування, рецидиву або смерті при їх використанні в порівнянні зі схемами лікування без них </w:t>
      </w:r>
      <w:r w:rsidRPr="006263CF">
        <w:rPr>
          <w:rFonts w:asciiTheme="minorHAnsi" w:hAnsiTheme="minorHAnsi" w:cstheme="minorHAnsi"/>
          <w:i/>
          <w:iCs/>
          <w:color w:val="000000"/>
          <w:szCs w:val="22"/>
        </w:rPr>
        <w:t>(1)</w:t>
      </w:r>
      <w:r w:rsidRPr="006263CF">
        <w:rPr>
          <w:rFonts w:asciiTheme="minorHAnsi" w:hAnsiTheme="minorHAnsi" w:cstheme="minorHAnsi"/>
          <w:color w:val="000000"/>
          <w:szCs w:val="22"/>
        </w:rPr>
        <w:t>. Крім того, ці препарати завдають пацієнтові значні незручності і пов'язані з серйозними токсичними наслідками, які можуть привести до незворотного пошкодження слуху і функції нирок, якщо за результатами не ведеться ретельний моніторинг.</w:t>
      </w:r>
    </w:p>
    <w:p w:rsidR="005225B5" w:rsidRPr="006263CF" w:rsidRDefault="005225B5" w:rsidP="001F691B">
      <w:pPr>
        <w:spacing w:before="120"/>
        <w:jc w:val="both"/>
        <w:rPr>
          <w:rFonts w:asciiTheme="minorHAnsi" w:hAnsiTheme="minorHAnsi" w:cstheme="minorHAnsi"/>
          <w:sz w:val="18"/>
        </w:rPr>
      </w:pPr>
      <w:r w:rsidRPr="006263CF">
        <w:rPr>
          <w:rFonts w:asciiTheme="minorHAnsi" w:hAnsiTheme="minorHAnsi" w:cstheme="minorHAnsi"/>
          <w:color w:val="000000"/>
          <w:szCs w:val="22"/>
        </w:rPr>
        <w:t xml:space="preserve">Ризик серйозних небажаних явищ від протитуберкульозних препаратів другого ряду для лікування ТБ був відображений в результатах метааналізу ІДП для оновлених настанов ВООЗ, представлених в </w:t>
      </w:r>
      <w:r w:rsidRPr="006263CF">
        <w:rPr>
          <w:rFonts w:asciiTheme="minorHAnsi" w:hAnsiTheme="minorHAnsi" w:cstheme="minorHAnsi"/>
          <w:color w:val="1F61AA"/>
          <w:szCs w:val="22"/>
        </w:rPr>
        <w:t xml:space="preserve">Таблиці 6.4 </w:t>
      </w:r>
      <w:r w:rsidRPr="006263CF">
        <w:rPr>
          <w:rFonts w:asciiTheme="minorHAnsi" w:hAnsiTheme="minorHAnsi" w:cstheme="minorHAnsi"/>
          <w:i/>
          <w:iCs/>
          <w:color w:val="000000"/>
          <w:szCs w:val="22"/>
        </w:rPr>
        <w:t>(1)</w:t>
      </w:r>
      <w:r w:rsidRPr="006263CF">
        <w:rPr>
          <w:rFonts w:asciiTheme="minorHAnsi" w:hAnsiTheme="minorHAnsi" w:cstheme="minorHAnsi"/>
          <w:color w:val="000000"/>
          <w:szCs w:val="22"/>
        </w:rPr>
        <w:t>. Рівень серйозних небажаних явищ дає важливу інформацію про ймовірність того, що в якийсь момент під час лікування може знадобитися зупинити прийом препаратів через їх непереносимість (зокрема, лінезолід, який має найбільший ризик серйозних небажаних явищ).</w:t>
      </w:r>
    </w:p>
    <w:p w:rsidR="005225B5" w:rsidRPr="006263CF" w:rsidRDefault="005225B5" w:rsidP="006263CF">
      <w:pPr>
        <w:spacing w:before="144"/>
        <w:jc w:val="both"/>
        <w:rPr>
          <w:rFonts w:asciiTheme="minorHAnsi" w:hAnsiTheme="minorHAnsi" w:cstheme="minorHAnsi"/>
          <w:sz w:val="18"/>
        </w:rPr>
        <w:sectPr w:rsidR="005225B5" w:rsidRPr="006263CF" w:rsidSect="00445738">
          <w:pgSz w:w="11904" w:h="16838"/>
          <w:pgMar w:top="1349" w:right="1416" w:bottom="709" w:left="1416"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234"/>
        <w:gridCol w:w="2894"/>
        <w:gridCol w:w="1301"/>
        <w:gridCol w:w="2515"/>
        <w:gridCol w:w="1243"/>
      </w:tblGrid>
      <w:tr w:rsidR="005225B5" w:rsidRPr="001F691B" w:rsidTr="001F691B">
        <w:trPr>
          <w:trHeight w:hRule="exact" w:val="706"/>
        </w:trPr>
        <w:tc>
          <w:tcPr>
            <w:tcW w:w="9187" w:type="dxa"/>
            <w:gridSpan w:val="5"/>
            <w:tcBorders>
              <w:top w:val="nil"/>
              <w:left w:val="nil"/>
              <w:bottom w:val="nil"/>
              <w:right w:val="nil"/>
            </w:tcBorders>
            <w:shd w:val="clear" w:color="auto" w:fill="FFFFFF"/>
          </w:tcPr>
          <w:p w:rsidR="005225B5" w:rsidRPr="001F691B" w:rsidRDefault="005225B5" w:rsidP="006263CF">
            <w:pPr>
              <w:rPr>
                <w:rFonts w:asciiTheme="minorHAnsi" w:hAnsiTheme="minorHAnsi" w:cstheme="minorHAnsi"/>
                <w:b/>
                <w:sz w:val="18"/>
              </w:rPr>
            </w:pPr>
            <w:bookmarkStart w:id="24" w:name="bookmark23"/>
            <w:r w:rsidRPr="001F691B">
              <w:rPr>
                <w:rFonts w:asciiTheme="minorHAnsi" w:hAnsiTheme="minorHAnsi" w:cstheme="minorHAnsi"/>
                <w:b/>
                <w:sz w:val="18"/>
              </w:rPr>
              <w:lastRenderedPageBreak/>
              <w:t>Т</w:t>
            </w:r>
            <w:bookmarkEnd w:id="24"/>
            <w:r w:rsidRPr="001F691B">
              <w:rPr>
                <w:rFonts w:asciiTheme="minorHAnsi" w:hAnsiTheme="minorHAnsi" w:cstheme="minorHAnsi"/>
                <w:b/>
                <w:bCs/>
                <w:color w:val="636466"/>
                <w:sz w:val="22"/>
                <w:szCs w:val="24"/>
              </w:rPr>
              <w:t xml:space="preserve">аблиця 6.4. </w:t>
            </w:r>
            <w:r w:rsidRPr="001F691B">
              <w:rPr>
                <w:rFonts w:asciiTheme="minorHAnsi" w:hAnsiTheme="minorHAnsi" w:cstheme="minorHAnsi"/>
                <w:b/>
                <w:color w:val="636466"/>
                <w:sz w:val="22"/>
                <w:szCs w:val="24"/>
              </w:rPr>
              <w:t>Серйозні небажані явища у пацієнтів, що знаходяться на довгостроковій схемі лікування МР-ТБ (1)</w:t>
            </w:r>
          </w:p>
        </w:tc>
      </w:tr>
      <w:tr w:rsidR="005225B5" w:rsidRPr="006263CF" w:rsidTr="001F691B">
        <w:trPr>
          <w:trHeight w:hRule="exact" w:val="432"/>
        </w:trPr>
        <w:tc>
          <w:tcPr>
            <w:tcW w:w="1234" w:type="dxa"/>
            <w:tcBorders>
              <w:top w:val="nil"/>
              <w:left w:val="nil"/>
              <w:bottom w:val="nil"/>
              <w:right w:val="nil"/>
            </w:tcBorders>
            <w:shd w:val="clear" w:color="auto" w:fill="FFFFFF"/>
          </w:tcPr>
          <w:p w:rsidR="005225B5" w:rsidRPr="006263CF" w:rsidRDefault="005225B5" w:rsidP="006263CF">
            <w:pPr>
              <w:rPr>
                <w:rFonts w:asciiTheme="minorHAnsi" w:hAnsiTheme="minorHAnsi" w:cstheme="minorHAnsi"/>
                <w:sz w:val="18"/>
              </w:rPr>
            </w:pPr>
          </w:p>
        </w:tc>
        <w:tc>
          <w:tcPr>
            <w:tcW w:w="2894" w:type="dxa"/>
            <w:vMerge w:val="restart"/>
            <w:tcBorders>
              <w:top w:val="nil"/>
              <w:left w:val="nil"/>
              <w:bottom w:val="nil"/>
              <w:right w:val="nil"/>
            </w:tcBorders>
            <w:shd w:val="clear" w:color="auto" w:fill="C1C8E4"/>
            <w:vAlign w:val="center"/>
          </w:tcPr>
          <w:p w:rsidR="005225B5" w:rsidRPr="006263CF" w:rsidRDefault="005225B5" w:rsidP="001F691B">
            <w:pPr>
              <w:ind w:left="24"/>
              <w:rPr>
                <w:rFonts w:asciiTheme="minorHAnsi" w:hAnsiTheme="minorHAnsi" w:cstheme="minorHAnsi"/>
                <w:sz w:val="18"/>
              </w:rPr>
            </w:pPr>
            <w:r w:rsidRPr="006263CF">
              <w:rPr>
                <w:rFonts w:asciiTheme="minorHAnsi" w:hAnsiTheme="minorHAnsi" w:cstheme="minorHAnsi"/>
                <w:b/>
                <w:bCs/>
                <w:color w:val="000000"/>
                <w:szCs w:val="22"/>
              </w:rPr>
              <w:t>Лікарський препарат</w:t>
            </w:r>
          </w:p>
        </w:tc>
        <w:tc>
          <w:tcPr>
            <w:tcW w:w="3816" w:type="dxa"/>
            <w:gridSpan w:val="2"/>
            <w:tcBorders>
              <w:top w:val="nil"/>
              <w:left w:val="nil"/>
              <w:bottom w:val="nil"/>
              <w:right w:val="nil"/>
            </w:tcBorders>
            <w:shd w:val="clear" w:color="auto" w:fill="C1C8E4"/>
            <w:vAlign w:val="center"/>
          </w:tcPr>
          <w:p w:rsidR="005225B5" w:rsidRPr="006263CF" w:rsidRDefault="005225B5" w:rsidP="001F691B">
            <w:pPr>
              <w:jc w:val="center"/>
              <w:rPr>
                <w:rFonts w:asciiTheme="minorHAnsi" w:hAnsiTheme="minorHAnsi" w:cstheme="minorHAnsi"/>
                <w:sz w:val="18"/>
              </w:rPr>
            </w:pPr>
            <w:r w:rsidRPr="006263CF">
              <w:rPr>
                <w:rFonts w:asciiTheme="minorHAnsi" w:hAnsiTheme="minorHAnsi" w:cstheme="minorHAnsi"/>
                <w:b/>
                <w:bCs/>
                <w:color w:val="000000"/>
                <w:szCs w:val="22"/>
              </w:rPr>
              <w:t>Абсолютний ризик СНП</w:t>
            </w:r>
          </w:p>
        </w:tc>
        <w:tc>
          <w:tcPr>
            <w:tcW w:w="1243" w:type="dxa"/>
            <w:tcBorders>
              <w:top w:val="nil"/>
              <w:left w:val="nil"/>
              <w:bottom w:val="nil"/>
              <w:right w:val="nil"/>
            </w:tcBorders>
            <w:shd w:val="clear" w:color="auto" w:fill="FFFFFF"/>
          </w:tcPr>
          <w:p w:rsidR="005225B5" w:rsidRPr="006263CF" w:rsidRDefault="005225B5" w:rsidP="006263CF">
            <w:pPr>
              <w:rPr>
                <w:rFonts w:asciiTheme="minorHAnsi" w:hAnsiTheme="minorHAnsi" w:cstheme="minorHAnsi"/>
                <w:sz w:val="18"/>
              </w:rPr>
            </w:pPr>
          </w:p>
        </w:tc>
      </w:tr>
      <w:tr w:rsidR="005225B5" w:rsidRPr="006263CF" w:rsidTr="001F691B">
        <w:trPr>
          <w:trHeight w:hRule="exact" w:val="432"/>
        </w:trPr>
        <w:tc>
          <w:tcPr>
            <w:tcW w:w="1234" w:type="dxa"/>
            <w:tcBorders>
              <w:top w:val="nil"/>
              <w:left w:val="nil"/>
              <w:bottom w:val="nil"/>
              <w:right w:val="nil"/>
            </w:tcBorders>
            <w:shd w:val="clear" w:color="auto" w:fill="FFFFFF"/>
          </w:tcPr>
          <w:p w:rsidR="005225B5" w:rsidRPr="006263CF" w:rsidRDefault="005225B5" w:rsidP="006263CF">
            <w:pPr>
              <w:rPr>
                <w:rFonts w:asciiTheme="minorHAnsi" w:hAnsiTheme="minorHAnsi" w:cstheme="minorHAnsi"/>
                <w:sz w:val="18"/>
              </w:rPr>
            </w:pPr>
          </w:p>
        </w:tc>
        <w:tc>
          <w:tcPr>
            <w:tcW w:w="2894" w:type="dxa"/>
            <w:vMerge/>
            <w:tcBorders>
              <w:top w:val="nil"/>
              <w:left w:val="nil"/>
              <w:bottom w:val="single" w:sz="4" w:space="0" w:color="1F61AA"/>
              <w:right w:val="nil"/>
            </w:tcBorders>
            <w:shd w:val="clear" w:color="auto" w:fill="C1C8E4"/>
          </w:tcPr>
          <w:p w:rsidR="005225B5" w:rsidRPr="006263CF" w:rsidRDefault="005225B5" w:rsidP="006263CF">
            <w:pPr>
              <w:rPr>
                <w:rFonts w:asciiTheme="minorHAnsi" w:hAnsiTheme="minorHAnsi" w:cstheme="minorHAnsi"/>
                <w:sz w:val="18"/>
              </w:rPr>
            </w:pPr>
          </w:p>
          <w:p w:rsidR="005225B5" w:rsidRPr="006263CF" w:rsidRDefault="005225B5" w:rsidP="006263CF">
            <w:pPr>
              <w:rPr>
                <w:rFonts w:asciiTheme="minorHAnsi" w:hAnsiTheme="minorHAnsi" w:cstheme="minorHAnsi"/>
                <w:sz w:val="18"/>
              </w:rPr>
            </w:pPr>
          </w:p>
        </w:tc>
        <w:tc>
          <w:tcPr>
            <w:tcW w:w="1301" w:type="dxa"/>
            <w:tcBorders>
              <w:top w:val="nil"/>
              <w:left w:val="nil"/>
              <w:bottom w:val="single" w:sz="4" w:space="0" w:color="1F61AA"/>
              <w:right w:val="nil"/>
            </w:tcBorders>
            <w:shd w:val="clear" w:color="auto" w:fill="C1C8E4"/>
            <w:vAlign w:val="center"/>
          </w:tcPr>
          <w:p w:rsidR="005225B5" w:rsidRPr="006263CF" w:rsidRDefault="005225B5" w:rsidP="001F691B">
            <w:pPr>
              <w:jc w:val="center"/>
              <w:rPr>
                <w:rFonts w:asciiTheme="minorHAnsi" w:hAnsiTheme="minorHAnsi" w:cstheme="minorHAnsi"/>
                <w:sz w:val="18"/>
              </w:rPr>
            </w:pPr>
            <w:r w:rsidRPr="006263CF">
              <w:rPr>
                <w:rFonts w:asciiTheme="minorHAnsi" w:hAnsiTheme="minorHAnsi" w:cstheme="minorHAnsi"/>
                <w:b/>
                <w:bCs/>
                <w:color w:val="000000"/>
                <w:szCs w:val="22"/>
              </w:rPr>
              <w:t>Медіана(%)</w:t>
            </w:r>
          </w:p>
        </w:tc>
        <w:tc>
          <w:tcPr>
            <w:tcW w:w="2515" w:type="dxa"/>
            <w:tcBorders>
              <w:top w:val="nil"/>
              <w:left w:val="nil"/>
              <w:bottom w:val="single" w:sz="4" w:space="0" w:color="1F61AA"/>
              <w:right w:val="nil"/>
            </w:tcBorders>
            <w:shd w:val="clear" w:color="auto" w:fill="C1C8E4"/>
            <w:vAlign w:val="center"/>
          </w:tcPr>
          <w:p w:rsidR="005225B5" w:rsidRPr="006263CF" w:rsidRDefault="005225B5" w:rsidP="001F691B">
            <w:pPr>
              <w:ind w:right="24"/>
              <w:jc w:val="center"/>
              <w:rPr>
                <w:rFonts w:asciiTheme="minorHAnsi" w:hAnsiTheme="minorHAnsi" w:cstheme="minorHAnsi"/>
                <w:sz w:val="18"/>
              </w:rPr>
            </w:pPr>
            <w:r w:rsidRPr="006263CF">
              <w:rPr>
                <w:rFonts w:asciiTheme="minorHAnsi" w:hAnsiTheme="minorHAnsi" w:cstheme="minorHAnsi"/>
                <w:b/>
                <w:bCs/>
                <w:color w:val="000000"/>
                <w:szCs w:val="22"/>
              </w:rPr>
              <w:t>95% Достовірний інтервал</w:t>
            </w:r>
          </w:p>
        </w:tc>
        <w:tc>
          <w:tcPr>
            <w:tcW w:w="1243" w:type="dxa"/>
            <w:tcBorders>
              <w:top w:val="nil"/>
              <w:left w:val="nil"/>
              <w:bottom w:val="nil"/>
              <w:right w:val="nil"/>
            </w:tcBorders>
            <w:shd w:val="clear" w:color="auto" w:fill="FFFFFF"/>
          </w:tcPr>
          <w:p w:rsidR="005225B5" w:rsidRPr="006263CF" w:rsidRDefault="005225B5" w:rsidP="006263CF">
            <w:pPr>
              <w:rPr>
                <w:rFonts w:asciiTheme="minorHAnsi" w:hAnsiTheme="minorHAnsi" w:cstheme="minorHAnsi"/>
                <w:sz w:val="18"/>
              </w:rPr>
            </w:pPr>
          </w:p>
        </w:tc>
      </w:tr>
      <w:tr w:rsidR="005225B5" w:rsidRPr="006263CF" w:rsidTr="001F691B">
        <w:trPr>
          <w:trHeight w:hRule="exact" w:val="432"/>
        </w:trPr>
        <w:tc>
          <w:tcPr>
            <w:tcW w:w="1234" w:type="dxa"/>
            <w:tcBorders>
              <w:top w:val="nil"/>
              <w:left w:val="nil"/>
              <w:bottom w:val="nil"/>
              <w:right w:val="nil"/>
            </w:tcBorders>
            <w:shd w:val="clear" w:color="auto" w:fill="FFFFFF"/>
          </w:tcPr>
          <w:p w:rsidR="005225B5" w:rsidRPr="006263CF" w:rsidRDefault="005225B5" w:rsidP="006263CF">
            <w:pPr>
              <w:rPr>
                <w:rFonts w:asciiTheme="minorHAnsi" w:hAnsiTheme="minorHAnsi" w:cstheme="minorHAnsi"/>
                <w:sz w:val="18"/>
              </w:rPr>
            </w:pPr>
          </w:p>
        </w:tc>
        <w:tc>
          <w:tcPr>
            <w:tcW w:w="2894" w:type="dxa"/>
            <w:tcBorders>
              <w:top w:val="single" w:sz="4" w:space="0" w:color="1F61AA"/>
              <w:left w:val="nil"/>
              <w:bottom w:val="single" w:sz="4" w:space="0" w:color="1F61AA"/>
              <w:right w:val="nil"/>
            </w:tcBorders>
            <w:shd w:val="clear" w:color="auto" w:fill="FFFFFF"/>
            <w:vAlign w:val="center"/>
          </w:tcPr>
          <w:p w:rsidR="005225B5" w:rsidRPr="006263CF" w:rsidRDefault="005225B5" w:rsidP="001F691B">
            <w:pPr>
              <w:ind w:left="43"/>
              <w:rPr>
                <w:rFonts w:asciiTheme="minorHAnsi" w:hAnsiTheme="minorHAnsi" w:cstheme="minorHAnsi"/>
                <w:sz w:val="18"/>
              </w:rPr>
            </w:pPr>
            <w:r w:rsidRPr="006263CF">
              <w:rPr>
                <w:rFonts w:asciiTheme="minorHAnsi" w:hAnsiTheme="minorHAnsi" w:cstheme="minorHAnsi"/>
                <w:color w:val="000000"/>
                <w:szCs w:val="22"/>
              </w:rPr>
              <w:t>Бедаквілін</w:t>
            </w:r>
          </w:p>
        </w:tc>
        <w:tc>
          <w:tcPr>
            <w:tcW w:w="1301" w:type="dxa"/>
            <w:tcBorders>
              <w:top w:val="single" w:sz="4" w:space="0" w:color="1F61AA"/>
              <w:left w:val="nil"/>
              <w:bottom w:val="single" w:sz="4" w:space="0" w:color="1F61AA"/>
              <w:right w:val="nil"/>
            </w:tcBorders>
            <w:shd w:val="clear" w:color="auto" w:fill="FFFFFF"/>
            <w:vAlign w:val="center"/>
          </w:tcPr>
          <w:p w:rsidR="005225B5" w:rsidRPr="006263CF" w:rsidRDefault="005225B5" w:rsidP="001F691B">
            <w:pPr>
              <w:jc w:val="center"/>
              <w:rPr>
                <w:rFonts w:asciiTheme="minorHAnsi" w:hAnsiTheme="minorHAnsi" w:cstheme="minorHAnsi"/>
                <w:sz w:val="18"/>
              </w:rPr>
            </w:pPr>
            <w:r w:rsidRPr="006263CF">
              <w:rPr>
                <w:rFonts w:asciiTheme="minorHAnsi" w:hAnsiTheme="minorHAnsi" w:cstheme="minorHAnsi"/>
                <w:color w:val="000000"/>
                <w:szCs w:val="22"/>
              </w:rPr>
              <w:t>2.4</w:t>
            </w:r>
          </w:p>
        </w:tc>
        <w:tc>
          <w:tcPr>
            <w:tcW w:w="2515" w:type="dxa"/>
            <w:tcBorders>
              <w:top w:val="single" w:sz="4" w:space="0" w:color="1F61AA"/>
              <w:left w:val="nil"/>
              <w:bottom w:val="single" w:sz="4" w:space="0" w:color="1F61AA"/>
              <w:right w:val="nil"/>
            </w:tcBorders>
            <w:shd w:val="clear" w:color="auto" w:fill="FFFFFF"/>
            <w:vAlign w:val="center"/>
          </w:tcPr>
          <w:p w:rsidR="005225B5" w:rsidRPr="006263CF" w:rsidRDefault="005225B5" w:rsidP="001F691B">
            <w:pPr>
              <w:jc w:val="center"/>
              <w:rPr>
                <w:rFonts w:asciiTheme="minorHAnsi" w:hAnsiTheme="minorHAnsi" w:cstheme="minorHAnsi"/>
                <w:sz w:val="18"/>
              </w:rPr>
            </w:pPr>
            <w:r w:rsidRPr="006263CF">
              <w:rPr>
                <w:rFonts w:asciiTheme="minorHAnsi" w:hAnsiTheme="minorHAnsi" w:cstheme="minorHAnsi"/>
                <w:color w:val="000000"/>
                <w:szCs w:val="22"/>
              </w:rPr>
              <w:t>[0.7, 7.6]</w:t>
            </w:r>
          </w:p>
        </w:tc>
        <w:tc>
          <w:tcPr>
            <w:tcW w:w="1243" w:type="dxa"/>
            <w:tcBorders>
              <w:top w:val="nil"/>
              <w:left w:val="nil"/>
              <w:bottom w:val="nil"/>
              <w:right w:val="nil"/>
            </w:tcBorders>
            <w:shd w:val="clear" w:color="auto" w:fill="FFFFFF"/>
          </w:tcPr>
          <w:p w:rsidR="005225B5" w:rsidRPr="006263CF" w:rsidRDefault="005225B5" w:rsidP="006263CF">
            <w:pPr>
              <w:rPr>
                <w:rFonts w:asciiTheme="minorHAnsi" w:hAnsiTheme="minorHAnsi" w:cstheme="minorHAnsi"/>
                <w:sz w:val="18"/>
              </w:rPr>
            </w:pPr>
          </w:p>
        </w:tc>
      </w:tr>
      <w:tr w:rsidR="005225B5" w:rsidRPr="006263CF" w:rsidTr="001F691B">
        <w:trPr>
          <w:trHeight w:hRule="exact" w:val="432"/>
        </w:trPr>
        <w:tc>
          <w:tcPr>
            <w:tcW w:w="1234" w:type="dxa"/>
            <w:tcBorders>
              <w:top w:val="nil"/>
              <w:left w:val="nil"/>
              <w:bottom w:val="nil"/>
              <w:right w:val="nil"/>
            </w:tcBorders>
            <w:shd w:val="clear" w:color="auto" w:fill="FFFFFF"/>
          </w:tcPr>
          <w:p w:rsidR="005225B5" w:rsidRPr="006263CF" w:rsidRDefault="005225B5" w:rsidP="006263CF">
            <w:pPr>
              <w:rPr>
                <w:rFonts w:asciiTheme="minorHAnsi" w:hAnsiTheme="minorHAnsi" w:cstheme="minorHAnsi"/>
                <w:sz w:val="18"/>
              </w:rPr>
            </w:pPr>
          </w:p>
        </w:tc>
        <w:tc>
          <w:tcPr>
            <w:tcW w:w="2894" w:type="dxa"/>
            <w:tcBorders>
              <w:top w:val="single" w:sz="4" w:space="0" w:color="1F61AA"/>
              <w:left w:val="nil"/>
              <w:bottom w:val="single" w:sz="4" w:space="0" w:color="1F61AA"/>
              <w:right w:val="nil"/>
            </w:tcBorders>
            <w:shd w:val="clear" w:color="auto" w:fill="FFFFFF"/>
            <w:vAlign w:val="center"/>
          </w:tcPr>
          <w:p w:rsidR="005225B5" w:rsidRPr="006263CF" w:rsidRDefault="005225B5" w:rsidP="001F691B">
            <w:pPr>
              <w:ind w:left="43"/>
              <w:rPr>
                <w:rFonts w:asciiTheme="minorHAnsi" w:hAnsiTheme="minorHAnsi" w:cstheme="minorHAnsi"/>
                <w:sz w:val="18"/>
              </w:rPr>
            </w:pPr>
            <w:r w:rsidRPr="006263CF">
              <w:rPr>
                <w:rFonts w:asciiTheme="minorHAnsi" w:hAnsiTheme="minorHAnsi" w:cstheme="minorHAnsi"/>
                <w:color w:val="000000"/>
                <w:szCs w:val="22"/>
              </w:rPr>
              <w:t>Моксифлоксацин</w:t>
            </w:r>
          </w:p>
        </w:tc>
        <w:tc>
          <w:tcPr>
            <w:tcW w:w="1301" w:type="dxa"/>
            <w:tcBorders>
              <w:top w:val="single" w:sz="4" w:space="0" w:color="1F61AA"/>
              <w:left w:val="nil"/>
              <w:bottom w:val="single" w:sz="4" w:space="0" w:color="1F61AA"/>
              <w:right w:val="nil"/>
            </w:tcBorders>
            <w:shd w:val="clear" w:color="auto" w:fill="FFFFFF"/>
            <w:vAlign w:val="center"/>
          </w:tcPr>
          <w:p w:rsidR="005225B5" w:rsidRPr="006263CF" w:rsidRDefault="005225B5" w:rsidP="001F691B">
            <w:pPr>
              <w:jc w:val="center"/>
              <w:rPr>
                <w:rFonts w:asciiTheme="minorHAnsi" w:hAnsiTheme="minorHAnsi" w:cstheme="minorHAnsi"/>
                <w:sz w:val="18"/>
              </w:rPr>
            </w:pPr>
            <w:r w:rsidRPr="006263CF">
              <w:rPr>
                <w:rFonts w:asciiTheme="minorHAnsi" w:hAnsiTheme="minorHAnsi" w:cstheme="minorHAnsi"/>
                <w:color w:val="000000"/>
                <w:szCs w:val="22"/>
              </w:rPr>
              <w:t>2.9</w:t>
            </w:r>
          </w:p>
        </w:tc>
        <w:tc>
          <w:tcPr>
            <w:tcW w:w="2515" w:type="dxa"/>
            <w:tcBorders>
              <w:top w:val="single" w:sz="4" w:space="0" w:color="1F61AA"/>
              <w:left w:val="nil"/>
              <w:bottom w:val="single" w:sz="4" w:space="0" w:color="1F61AA"/>
              <w:right w:val="nil"/>
            </w:tcBorders>
            <w:shd w:val="clear" w:color="auto" w:fill="FFFFFF"/>
            <w:vAlign w:val="center"/>
          </w:tcPr>
          <w:p w:rsidR="005225B5" w:rsidRPr="006263CF" w:rsidRDefault="005225B5" w:rsidP="001F691B">
            <w:pPr>
              <w:jc w:val="center"/>
              <w:rPr>
                <w:rFonts w:asciiTheme="minorHAnsi" w:hAnsiTheme="minorHAnsi" w:cstheme="minorHAnsi"/>
                <w:sz w:val="18"/>
              </w:rPr>
            </w:pPr>
            <w:r w:rsidRPr="006263CF">
              <w:rPr>
                <w:rFonts w:asciiTheme="minorHAnsi" w:hAnsiTheme="minorHAnsi" w:cstheme="minorHAnsi"/>
                <w:color w:val="000000"/>
                <w:szCs w:val="22"/>
              </w:rPr>
              <w:t>[1.4, 5.6]</w:t>
            </w:r>
          </w:p>
        </w:tc>
        <w:tc>
          <w:tcPr>
            <w:tcW w:w="1243" w:type="dxa"/>
            <w:tcBorders>
              <w:top w:val="nil"/>
              <w:left w:val="nil"/>
              <w:bottom w:val="nil"/>
              <w:right w:val="nil"/>
            </w:tcBorders>
            <w:shd w:val="clear" w:color="auto" w:fill="FFFFFF"/>
          </w:tcPr>
          <w:p w:rsidR="005225B5" w:rsidRPr="006263CF" w:rsidRDefault="005225B5" w:rsidP="006263CF">
            <w:pPr>
              <w:rPr>
                <w:rFonts w:asciiTheme="minorHAnsi" w:hAnsiTheme="minorHAnsi" w:cstheme="minorHAnsi"/>
                <w:sz w:val="18"/>
              </w:rPr>
            </w:pPr>
          </w:p>
        </w:tc>
      </w:tr>
      <w:tr w:rsidR="005225B5" w:rsidRPr="006263CF" w:rsidTr="001F691B">
        <w:trPr>
          <w:trHeight w:hRule="exact" w:val="537"/>
        </w:trPr>
        <w:tc>
          <w:tcPr>
            <w:tcW w:w="1234" w:type="dxa"/>
            <w:tcBorders>
              <w:top w:val="nil"/>
              <w:left w:val="nil"/>
              <w:bottom w:val="nil"/>
              <w:right w:val="nil"/>
            </w:tcBorders>
            <w:shd w:val="clear" w:color="auto" w:fill="FFFFFF"/>
          </w:tcPr>
          <w:p w:rsidR="005225B5" w:rsidRPr="006263CF" w:rsidRDefault="005225B5" w:rsidP="006263CF">
            <w:pPr>
              <w:rPr>
                <w:rFonts w:asciiTheme="minorHAnsi" w:hAnsiTheme="minorHAnsi" w:cstheme="minorHAnsi"/>
                <w:sz w:val="18"/>
              </w:rPr>
            </w:pPr>
          </w:p>
        </w:tc>
        <w:tc>
          <w:tcPr>
            <w:tcW w:w="2894" w:type="dxa"/>
            <w:tcBorders>
              <w:top w:val="single" w:sz="4" w:space="0" w:color="1F61AA"/>
              <w:left w:val="nil"/>
              <w:bottom w:val="single" w:sz="4" w:space="0" w:color="1F61AA"/>
              <w:right w:val="nil"/>
            </w:tcBorders>
            <w:shd w:val="clear" w:color="auto" w:fill="FFFFFF"/>
            <w:vAlign w:val="center"/>
          </w:tcPr>
          <w:p w:rsidR="005225B5" w:rsidRPr="006263CF" w:rsidRDefault="005225B5" w:rsidP="001F691B">
            <w:pPr>
              <w:ind w:left="43"/>
              <w:rPr>
                <w:rFonts w:asciiTheme="minorHAnsi" w:hAnsiTheme="minorHAnsi" w:cstheme="minorHAnsi"/>
                <w:sz w:val="18"/>
              </w:rPr>
            </w:pPr>
            <w:r w:rsidRPr="006263CF">
              <w:rPr>
                <w:rFonts w:asciiTheme="minorHAnsi" w:hAnsiTheme="minorHAnsi" w:cstheme="minorHAnsi"/>
                <w:i/>
                <w:iCs/>
                <w:color w:val="000000"/>
                <w:szCs w:val="22"/>
              </w:rPr>
              <w:t>Амоксицилін-клавуланова кислота</w:t>
            </w:r>
          </w:p>
        </w:tc>
        <w:tc>
          <w:tcPr>
            <w:tcW w:w="1301" w:type="dxa"/>
            <w:tcBorders>
              <w:top w:val="single" w:sz="4" w:space="0" w:color="1F61AA"/>
              <w:left w:val="nil"/>
              <w:bottom w:val="single" w:sz="4" w:space="0" w:color="1F61AA"/>
              <w:right w:val="nil"/>
            </w:tcBorders>
            <w:shd w:val="clear" w:color="auto" w:fill="FFFFFF"/>
            <w:vAlign w:val="center"/>
          </w:tcPr>
          <w:p w:rsidR="005225B5" w:rsidRPr="006263CF" w:rsidRDefault="005225B5" w:rsidP="001F691B">
            <w:pPr>
              <w:jc w:val="center"/>
              <w:rPr>
                <w:rFonts w:asciiTheme="minorHAnsi" w:hAnsiTheme="minorHAnsi" w:cstheme="minorHAnsi"/>
                <w:sz w:val="18"/>
              </w:rPr>
            </w:pPr>
            <w:r w:rsidRPr="006263CF">
              <w:rPr>
                <w:rFonts w:asciiTheme="minorHAnsi" w:hAnsiTheme="minorHAnsi" w:cstheme="minorHAnsi"/>
                <w:color w:val="000000"/>
                <w:szCs w:val="22"/>
              </w:rPr>
              <w:t>3.0</w:t>
            </w:r>
          </w:p>
        </w:tc>
        <w:tc>
          <w:tcPr>
            <w:tcW w:w="2515" w:type="dxa"/>
            <w:tcBorders>
              <w:top w:val="single" w:sz="4" w:space="0" w:color="1F61AA"/>
              <w:left w:val="nil"/>
              <w:bottom w:val="single" w:sz="4" w:space="0" w:color="1F61AA"/>
              <w:right w:val="nil"/>
            </w:tcBorders>
            <w:shd w:val="clear" w:color="auto" w:fill="FFFFFF"/>
            <w:vAlign w:val="center"/>
          </w:tcPr>
          <w:p w:rsidR="005225B5" w:rsidRPr="006263CF" w:rsidRDefault="005225B5" w:rsidP="001F691B">
            <w:pPr>
              <w:jc w:val="center"/>
              <w:rPr>
                <w:rFonts w:asciiTheme="minorHAnsi" w:hAnsiTheme="minorHAnsi" w:cstheme="minorHAnsi"/>
                <w:sz w:val="18"/>
              </w:rPr>
            </w:pPr>
            <w:r w:rsidRPr="006263CF">
              <w:rPr>
                <w:rFonts w:asciiTheme="minorHAnsi" w:hAnsiTheme="minorHAnsi" w:cstheme="minorHAnsi"/>
                <w:color w:val="000000"/>
                <w:szCs w:val="22"/>
              </w:rPr>
              <w:t>[1.5, 5.8]</w:t>
            </w:r>
          </w:p>
        </w:tc>
        <w:tc>
          <w:tcPr>
            <w:tcW w:w="1243" w:type="dxa"/>
            <w:tcBorders>
              <w:top w:val="nil"/>
              <w:left w:val="nil"/>
              <w:bottom w:val="nil"/>
              <w:right w:val="nil"/>
            </w:tcBorders>
            <w:shd w:val="clear" w:color="auto" w:fill="FFFFFF"/>
          </w:tcPr>
          <w:p w:rsidR="005225B5" w:rsidRPr="006263CF" w:rsidRDefault="005225B5" w:rsidP="006263CF">
            <w:pPr>
              <w:rPr>
                <w:rFonts w:asciiTheme="minorHAnsi" w:hAnsiTheme="minorHAnsi" w:cstheme="minorHAnsi"/>
                <w:sz w:val="18"/>
              </w:rPr>
            </w:pPr>
          </w:p>
        </w:tc>
      </w:tr>
      <w:tr w:rsidR="005225B5" w:rsidRPr="006263CF" w:rsidTr="001F691B">
        <w:trPr>
          <w:trHeight w:hRule="exact" w:val="432"/>
        </w:trPr>
        <w:tc>
          <w:tcPr>
            <w:tcW w:w="1234" w:type="dxa"/>
            <w:tcBorders>
              <w:top w:val="nil"/>
              <w:left w:val="nil"/>
              <w:bottom w:val="nil"/>
              <w:right w:val="nil"/>
            </w:tcBorders>
            <w:shd w:val="clear" w:color="auto" w:fill="FFFFFF"/>
          </w:tcPr>
          <w:p w:rsidR="005225B5" w:rsidRPr="006263CF" w:rsidRDefault="005225B5" w:rsidP="006263CF">
            <w:pPr>
              <w:rPr>
                <w:rFonts w:asciiTheme="minorHAnsi" w:hAnsiTheme="minorHAnsi" w:cstheme="minorHAnsi"/>
                <w:sz w:val="18"/>
              </w:rPr>
            </w:pPr>
          </w:p>
        </w:tc>
        <w:tc>
          <w:tcPr>
            <w:tcW w:w="2894" w:type="dxa"/>
            <w:tcBorders>
              <w:top w:val="single" w:sz="4" w:space="0" w:color="1F61AA"/>
              <w:left w:val="nil"/>
              <w:bottom w:val="single" w:sz="4" w:space="0" w:color="1F61AA"/>
              <w:right w:val="nil"/>
            </w:tcBorders>
            <w:shd w:val="clear" w:color="auto" w:fill="FFFFFF"/>
            <w:vAlign w:val="center"/>
          </w:tcPr>
          <w:p w:rsidR="005225B5" w:rsidRPr="006263CF" w:rsidRDefault="005225B5" w:rsidP="001F691B">
            <w:pPr>
              <w:ind w:left="43"/>
              <w:rPr>
                <w:rFonts w:asciiTheme="minorHAnsi" w:hAnsiTheme="minorHAnsi" w:cstheme="minorHAnsi"/>
                <w:sz w:val="18"/>
              </w:rPr>
            </w:pPr>
            <w:r w:rsidRPr="006263CF">
              <w:rPr>
                <w:rFonts w:asciiTheme="minorHAnsi" w:hAnsiTheme="minorHAnsi" w:cstheme="minorHAnsi"/>
                <w:color w:val="000000"/>
                <w:szCs w:val="22"/>
              </w:rPr>
              <w:t>Клофазимін</w:t>
            </w:r>
          </w:p>
        </w:tc>
        <w:tc>
          <w:tcPr>
            <w:tcW w:w="1301" w:type="dxa"/>
            <w:tcBorders>
              <w:top w:val="single" w:sz="4" w:space="0" w:color="1F61AA"/>
              <w:left w:val="nil"/>
              <w:bottom w:val="single" w:sz="4" w:space="0" w:color="1F61AA"/>
              <w:right w:val="nil"/>
            </w:tcBorders>
            <w:shd w:val="clear" w:color="auto" w:fill="FFFFFF"/>
            <w:vAlign w:val="center"/>
          </w:tcPr>
          <w:p w:rsidR="005225B5" w:rsidRPr="006263CF" w:rsidRDefault="005225B5" w:rsidP="001F691B">
            <w:pPr>
              <w:jc w:val="center"/>
              <w:rPr>
                <w:rFonts w:asciiTheme="minorHAnsi" w:hAnsiTheme="minorHAnsi" w:cstheme="minorHAnsi"/>
                <w:sz w:val="18"/>
              </w:rPr>
            </w:pPr>
            <w:r w:rsidRPr="006263CF">
              <w:rPr>
                <w:rFonts w:asciiTheme="minorHAnsi" w:hAnsiTheme="minorHAnsi" w:cstheme="minorHAnsi"/>
                <w:color w:val="000000"/>
                <w:szCs w:val="22"/>
              </w:rPr>
              <w:t>3.6</w:t>
            </w:r>
          </w:p>
        </w:tc>
        <w:tc>
          <w:tcPr>
            <w:tcW w:w="2515" w:type="dxa"/>
            <w:tcBorders>
              <w:top w:val="single" w:sz="4" w:space="0" w:color="1F61AA"/>
              <w:left w:val="nil"/>
              <w:bottom w:val="single" w:sz="4" w:space="0" w:color="1F61AA"/>
              <w:right w:val="nil"/>
            </w:tcBorders>
            <w:shd w:val="clear" w:color="auto" w:fill="FFFFFF"/>
            <w:vAlign w:val="center"/>
          </w:tcPr>
          <w:p w:rsidR="005225B5" w:rsidRPr="006263CF" w:rsidRDefault="005225B5" w:rsidP="001F691B">
            <w:pPr>
              <w:jc w:val="center"/>
              <w:rPr>
                <w:rFonts w:asciiTheme="minorHAnsi" w:hAnsiTheme="minorHAnsi" w:cstheme="minorHAnsi"/>
                <w:sz w:val="18"/>
              </w:rPr>
            </w:pPr>
            <w:r w:rsidRPr="006263CF">
              <w:rPr>
                <w:rFonts w:asciiTheme="minorHAnsi" w:hAnsiTheme="minorHAnsi" w:cstheme="minorHAnsi"/>
                <w:color w:val="000000"/>
                <w:szCs w:val="22"/>
              </w:rPr>
              <w:t>[1.3, 8.6]</w:t>
            </w:r>
          </w:p>
        </w:tc>
        <w:tc>
          <w:tcPr>
            <w:tcW w:w="1243" w:type="dxa"/>
            <w:tcBorders>
              <w:top w:val="nil"/>
              <w:left w:val="nil"/>
              <w:bottom w:val="nil"/>
              <w:right w:val="nil"/>
            </w:tcBorders>
            <w:shd w:val="clear" w:color="auto" w:fill="FFFFFF"/>
          </w:tcPr>
          <w:p w:rsidR="005225B5" w:rsidRPr="006263CF" w:rsidRDefault="005225B5" w:rsidP="006263CF">
            <w:pPr>
              <w:rPr>
                <w:rFonts w:asciiTheme="minorHAnsi" w:hAnsiTheme="minorHAnsi" w:cstheme="minorHAnsi"/>
                <w:sz w:val="18"/>
              </w:rPr>
            </w:pPr>
          </w:p>
        </w:tc>
      </w:tr>
      <w:tr w:rsidR="005225B5" w:rsidRPr="006263CF" w:rsidTr="001F691B">
        <w:trPr>
          <w:trHeight w:hRule="exact" w:val="432"/>
        </w:trPr>
        <w:tc>
          <w:tcPr>
            <w:tcW w:w="1234" w:type="dxa"/>
            <w:tcBorders>
              <w:top w:val="nil"/>
              <w:left w:val="nil"/>
              <w:bottom w:val="nil"/>
              <w:right w:val="nil"/>
            </w:tcBorders>
            <w:shd w:val="clear" w:color="auto" w:fill="FFFFFF"/>
          </w:tcPr>
          <w:p w:rsidR="005225B5" w:rsidRPr="006263CF" w:rsidRDefault="005225B5" w:rsidP="006263CF">
            <w:pPr>
              <w:rPr>
                <w:rFonts w:asciiTheme="minorHAnsi" w:hAnsiTheme="minorHAnsi" w:cstheme="minorHAnsi"/>
                <w:sz w:val="18"/>
              </w:rPr>
            </w:pPr>
          </w:p>
        </w:tc>
        <w:tc>
          <w:tcPr>
            <w:tcW w:w="2894" w:type="dxa"/>
            <w:tcBorders>
              <w:top w:val="single" w:sz="4" w:space="0" w:color="1F61AA"/>
              <w:left w:val="nil"/>
              <w:bottom w:val="single" w:sz="4" w:space="0" w:color="1F61AA"/>
              <w:right w:val="nil"/>
            </w:tcBorders>
            <w:shd w:val="clear" w:color="auto" w:fill="FFFFFF"/>
            <w:vAlign w:val="center"/>
          </w:tcPr>
          <w:p w:rsidR="005225B5" w:rsidRPr="006263CF" w:rsidRDefault="005225B5" w:rsidP="001F691B">
            <w:pPr>
              <w:ind w:left="43"/>
              <w:rPr>
                <w:rFonts w:asciiTheme="minorHAnsi" w:hAnsiTheme="minorHAnsi" w:cstheme="minorHAnsi"/>
                <w:sz w:val="18"/>
              </w:rPr>
            </w:pPr>
            <w:r w:rsidRPr="006263CF">
              <w:rPr>
                <w:rFonts w:asciiTheme="minorHAnsi" w:hAnsiTheme="minorHAnsi" w:cstheme="minorHAnsi"/>
                <w:color w:val="000000"/>
                <w:szCs w:val="22"/>
              </w:rPr>
              <w:t>Етамбутол</w:t>
            </w:r>
          </w:p>
        </w:tc>
        <w:tc>
          <w:tcPr>
            <w:tcW w:w="1301" w:type="dxa"/>
            <w:tcBorders>
              <w:top w:val="single" w:sz="4" w:space="0" w:color="1F61AA"/>
              <w:left w:val="nil"/>
              <w:bottom w:val="single" w:sz="4" w:space="0" w:color="1F61AA"/>
              <w:right w:val="nil"/>
            </w:tcBorders>
            <w:shd w:val="clear" w:color="auto" w:fill="FFFFFF"/>
            <w:vAlign w:val="center"/>
          </w:tcPr>
          <w:p w:rsidR="005225B5" w:rsidRPr="006263CF" w:rsidRDefault="005225B5" w:rsidP="001F691B">
            <w:pPr>
              <w:jc w:val="center"/>
              <w:rPr>
                <w:rFonts w:asciiTheme="minorHAnsi" w:hAnsiTheme="minorHAnsi" w:cstheme="minorHAnsi"/>
                <w:sz w:val="18"/>
              </w:rPr>
            </w:pPr>
            <w:r w:rsidRPr="006263CF">
              <w:rPr>
                <w:rFonts w:asciiTheme="minorHAnsi" w:hAnsiTheme="minorHAnsi" w:cstheme="minorHAnsi"/>
                <w:color w:val="000000"/>
                <w:szCs w:val="22"/>
              </w:rPr>
              <w:t>4.0</w:t>
            </w:r>
          </w:p>
        </w:tc>
        <w:tc>
          <w:tcPr>
            <w:tcW w:w="2515" w:type="dxa"/>
            <w:tcBorders>
              <w:top w:val="single" w:sz="4" w:space="0" w:color="1F61AA"/>
              <w:left w:val="nil"/>
              <w:bottom w:val="single" w:sz="4" w:space="0" w:color="1F61AA"/>
              <w:right w:val="nil"/>
            </w:tcBorders>
            <w:shd w:val="clear" w:color="auto" w:fill="FFFFFF"/>
            <w:vAlign w:val="center"/>
          </w:tcPr>
          <w:p w:rsidR="005225B5" w:rsidRPr="006263CF" w:rsidRDefault="005225B5" w:rsidP="001F691B">
            <w:pPr>
              <w:jc w:val="center"/>
              <w:rPr>
                <w:rFonts w:asciiTheme="minorHAnsi" w:hAnsiTheme="minorHAnsi" w:cstheme="minorHAnsi"/>
                <w:sz w:val="18"/>
              </w:rPr>
            </w:pPr>
            <w:r w:rsidRPr="006263CF">
              <w:rPr>
                <w:rFonts w:asciiTheme="minorHAnsi" w:hAnsiTheme="minorHAnsi" w:cstheme="minorHAnsi"/>
                <w:color w:val="000000"/>
                <w:szCs w:val="22"/>
              </w:rPr>
              <w:t>[2.4, 6.8]</w:t>
            </w:r>
          </w:p>
        </w:tc>
        <w:tc>
          <w:tcPr>
            <w:tcW w:w="1243" w:type="dxa"/>
            <w:tcBorders>
              <w:top w:val="nil"/>
              <w:left w:val="nil"/>
              <w:bottom w:val="nil"/>
              <w:right w:val="nil"/>
            </w:tcBorders>
            <w:shd w:val="clear" w:color="auto" w:fill="FFFFFF"/>
          </w:tcPr>
          <w:p w:rsidR="005225B5" w:rsidRPr="006263CF" w:rsidRDefault="005225B5" w:rsidP="006263CF">
            <w:pPr>
              <w:rPr>
                <w:rFonts w:asciiTheme="minorHAnsi" w:hAnsiTheme="minorHAnsi" w:cstheme="minorHAnsi"/>
                <w:sz w:val="18"/>
              </w:rPr>
            </w:pPr>
          </w:p>
        </w:tc>
      </w:tr>
      <w:tr w:rsidR="005225B5" w:rsidRPr="006263CF" w:rsidTr="001F691B">
        <w:trPr>
          <w:trHeight w:hRule="exact" w:val="432"/>
        </w:trPr>
        <w:tc>
          <w:tcPr>
            <w:tcW w:w="1234" w:type="dxa"/>
            <w:tcBorders>
              <w:top w:val="nil"/>
              <w:left w:val="nil"/>
              <w:bottom w:val="nil"/>
              <w:right w:val="nil"/>
            </w:tcBorders>
            <w:shd w:val="clear" w:color="auto" w:fill="FFFFFF"/>
          </w:tcPr>
          <w:p w:rsidR="005225B5" w:rsidRPr="006263CF" w:rsidRDefault="005225B5" w:rsidP="006263CF">
            <w:pPr>
              <w:rPr>
                <w:rFonts w:asciiTheme="minorHAnsi" w:hAnsiTheme="minorHAnsi" w:cstheme="minorHAnsi"/>
                <w:sz w:val="18"/>
              </w:rPr>
            </w:pPr>
          </w:p>
        </w:tc>
        <w:tc>
          <w:tcPr>
            <w:tcW w:w="2894" w:type="dxa"/>
            <w:tcBorders>
              <w:top w:val="single" w:sz="4" w:space="0" w:color="1F61AA"/>
              <w:left w:val="nil"/>
              <w:bottom w:val="single" w:sz="4" w:space="0" w:color="1F61AA"/>
              <w:right w:val="nil"/>
            </w:tcBorders>
            <w:shd w:val="clear" w:color="auto" w:fill="FFFFFF"/>
            <w:vAlign w:val="center"/>
          </w:tcPr>
          <w:p w:rsidR="005225B5" w:rsidRPr="006263CF" w:rsidRDefault="005225B5" w:rsidP="001F691B">
            <w:pPr>
              <w:ind w:left="43"/>
              <w:rPr>
                <w:rFonts w:asciiTheme="minorHAnsi" w:hAnsiTheme="minorHAnsi" w:cstheme="minorHAnsi"/>
                <w:sz w:val="18"/>
              </w:rPr>
            </w:pPr>
            <w:r w:rsidRPr="006263CF">
              <w:rPr>
                <w:rFonts w:asciiTheme="minorHAnsi" w:hAnsiTheme="minorHAnsi" w:cstheme="minorHAnsi"/>
                <w:color w:val="000000"/>
                <w:szCs w:val="22"/>
              </w:rPr>
              <w:t>Левофлоксацин</w:t>
            </w:r>
          </w:p>
        </w:tc>
        <w:tc>
          <w:tcPr>
            <w:tcW w:w="1301" w:type="dxa"/>
            <w:tcBorders>
              <w:top w:val="single" w:sz="4" w:space="0" w:color="1F61AA"/>
              <w:left w:val="nil"/>
              <w:bottom w:val="single" w:sz="4" w:space="0" w:color="1F61AA"/>
              <w:right w:val="nil"/>
            </w:tcBorders>
            <w:shd w:val="clear" w:color="auto" w:fill="FFFFFF"/>
            <w:vAlign w:val="center"/>
          </w:tcPr>
          <w:p w:rsidR="005225B5" w:rsidRPr="006263CF" w:rsidRDefault="005225B5" w:rsidP="001F691B">
            <w:pPr>
              <w:jc w:val="center"/>
              <w:rPr>
                <w:rFonts w:asciiTheme="minorHAnsi" w:hAnsiTheme="minorHAnsi" w:cstheme="minorHAnsi"/>
                <w:sz w:val="18"/>
              </w:rPr>
            </w:pPr>
            <w:r w:rsidRPr="006263CF">
              <w:rPr>
                <w:rFonts w:asciiTheme="minorHAnsi" w:hAnsiTheme="minorHAnsi" w:cstheme="minorHAnsi"/>
                <w:color w:val="000000"/>
                <w:szCs w:val="22"/>
              </w:rPr>
              <w:t>4.1</w:t>
            </w:r>
          </w:p>
        </w:tc>
        <w:tc>
          <w:tcPr>
            <w:tcW w:w="2515" w:type="dxa"/>
            <w:tcBorders>
              <w:top w:val="single" w:sz="4" w:space="0" w:color="1F61AA"/>
              <w:left w:val="nil"/>
              <w:bottom w:val="single" w:sz="4" w:space="0" w:color="1F61AA"/>
              <w:right w:val="nil"/>
            </w:tcBorders>
            <w:shd w:val="clear" w:color="auto" w:fill="FFFFFF"/>
            <w:vAlign w:val="center"/>
          </w:tcPr>
          <w:p w:rsidR="005225B5" w:rsidRPr="006263CF" w:rsidRDefault="005225B5" w:rsidP="001F691B">
            <w:pPr>
              <w:jc w:val="center"/>
              <w:rPr>
                <w:rFonts w:asciiTheme="minorHAnsi" w:hAnsiTheme="minorHAnsi" w:cstheme="minorHAnsi"/>
                <w:sz w:val="18"/>
              </w:rPr>
            </w:pPr>
            <w:r w:rsidRPr="006263CF">
              <w:rPr>
                <w:rFonts w:asciiTheme="minorHAnsi" w:hAnsiTheme="minorHAnsi" w:cstheme="minorHAnsi"/>
                <w:color w:val="000000"/>
                <w:szCs w:val="22"/>
              </w:rPr>
              <w:t>[1.9, 8.8]</w:t>
            </w:r>
          </w:p>
        </w:tc>
        <w:tc>
          <w:tcPr>
            <w:tcW w:w="1243" w:type="dxa"/>
            <w:tcBorders>
              <w:top w:val="nil"/>
              <w:left w:val="nil"/>
              <w:bottom w:val="nil"/>
              <w:right w:val="nil"/>
            </w:tcBorders>
            <w:shd w:val="clear" w:color="auto" w:fill="FFFFFF"/>
          </w:tcPr>
          <w:p w:rsidR="005225B5" w:rsidRPr="006263CF" w:rsidRDefault="005225B5" w:rsidP="006263CF">
            <w:pPr>
              <w:rPr>
                <w:rFonts w:asciiTheme="minorHAnsi" w:hAnsiTheme="minorHAnsi" w:cstheme="minorHAnsi"/>
                <w:sz w:val="18"/>
              </w:rPr>
            </w:pPr>
          </w:p>
        </w:tc>
      </w:tr>
      <w:tr w:rsidR="005225B5" w:rsidRPr="006263CF" w:rsidTr="001F691B">
        <w:trPr>
          <w:trHeight w:hRule="exact" w:val="432"/>
        </w:trPr>
        <w:tc>
          <w:tcPr>
            <w:tcW w:w="1234" w:type="dxa"/>
            <w:tcBorders>
              <w:top w:val="nil"/>
              <w:left w:val="nil"/>
              <w:bottom w:val="nil"/>
              <w:right w:val="nil"/>
            </w:tcBorders>
            <w:shd w:val="clear" w:color="auto" w:fill="FFFFFF"/>
          </w:tcPr>
          <w:p w:rsidR="005225B5" w:rsidRPr="006263CF" w:rsidRDefault="005225B5" w:rsidP="006263CF">
            <w:pPr>
              <w:rPr>
                <w:rFonts w:asciiTheme="minorHAnsi" w:hAnsiTheme="minorHAnsi" w:cstheme="minorHAnsi"/>
                <w:sz w:val="18"/>
              </w:rPr>
            </w:pPr>
          </w:p>
        </w:tc>
        <w:tc>
          <w:tcPr>
            <w:tcW w:w="2894" w:type="dxa"/>
            <w:tcBorders>
              <w:top w:val="single" w:sz="4" w:space="0" w:color="1F61AA"/>
              <w:left w:val="nil"/>
              <w:bottom w:val="single" w:sz="4" w:space="0" w:color="1F61AA"/>
              <w:right w:val="nil"/>
            </w:tcBorders>
            <w:shd w:val="clear" w:color="auto" w:fill="FFFFFF"/>
            <w:vAlign w:val="center"/>
          </w:tcPr>
          <w:p w:rsidR="005225B5" w:rsidRPr="006263CF" w:rsidRDefault="005225B5" w:rsidP="001F691B">
            <w:pPr>
              <w:ind w:left="43"/>
              <w:rPr>
                <w:rFonts w:asciiTheme="minorHAnsi" w:hAnsiTheme="minorHAnsi" w:cstheme="minorHAnsi"/>
                <w:sz w:val="18"/>
              </w:rPr>
            </w:pPr>
            <w:r w:rsidRPr="006263CF">
              <w:rPr>
                <w:rFonts w:asciiTheme="minorHAnsi" w:hAnsiTheme="minorHAnsi" w:cstheme="minorHAnsi"/>
                <w:color w:val="000000"/>
                <w:szCs w:val="22"/>
              </w:rPr>
              <w:t>Стрептоміцин</w:t>
            </w:r>
          </w:p>
        </w:tc>
        <w:tc>
          <w:tcPr>
            <w:tcW w:w="1301" w:type="dxa"/>
            <w:tcBorders>
              <w:top w:val="single" w:sz="4" w:space="0" w:color="1F61AA"/>
              <w:left w:val="nil"/>
              <w:bottom w:val="single" w:sz="4" w:space="0" w:color="1F61AA"/>
              <w:right w:val="nil"/>
            </w:tcBorders>
            <w:shd w:val="clear" w:color="auto" w:fill="FFFFFF"/>
            <w:vAlign w:val="center"/>
          </w:tcPr>
          <w:p w:rsidR="005225B5" w:rsidRPr="006263CF" w:rsidRDefault="005225B5" w:rsidP="001F691B">
            <w:pPr>
              <w:jc w:val="center"/>
              <w:rPr>
                <w:rFonts w:asciiTheme="minorHAnsi" w:hAnsiTheme="minorHAnsi" w:cstheme="minorHAnsi"/>
                <w:sz w:val="18"/>
              </w:rPr>
            </w:pPr>
            <w:r w:rsidRPr="006263CF">
              <w:rPr>
                <w:rFonts w:asciiTheme="minorHAnsi" w:hAnsiTheme="minorHAnsi" w:cstheme="minorHAnsi"/>
                <w:color w:val="000000"/>
                <w:szCs w:val="22"/>
              </w:rPr>
              <w:t>4.5</w:t>
            </w:r>
          </w:p>
        </w:tc>
        <w:tc>
          <w:tcPr>
            <w:tcW w:w="2515" w:type="dxa"/>
            <w:tcBorders>
              <w:top w:val="single" w:sz="4" w:space="0" w:color="1F61AA"/>
              <w:left w:val="nil"/>
              <w:bottom w:val="single" w:sz="4" w:space="0" w:color="1F61AA"/>
              <w:right w:val="nil"/>
            </w:tcBorders>
            <w:shd w:val="clear" w:color="auto" w:fill="FFFFFF"/>
            <w:vAlign w:val="center"/>
          </w:tcPr>
          <w:p w:rsidR="005225B5" w:rsidRPr="006263CF" w:rsidRDefault="005225B5" w:rsidP="001F691B">
            <w:pPr>
              <w:jc w:val="center"/>
              <w:rPr>
                <w:rFonts w:asciiTheme="minorHAnsi" w:hAnsiTheme="minorHAnsi" w:cstheme="minorHAnsi"/>
                <w:sz w:val="18"/>
              </w:rPr>
            </w:pPr>
            <w:r w:rsidRPr="006263CF">
              <w:rPr>
                <w:rFonts w:asciiTheme="minorHAnsi" w:hAnsiTheme="minorHAnsi" w:cstheme="minorHAnsi"/>
                <w:color w:val="000000"/>
                <w:szCs w:val="22"/>
              </w:rPr>
              <w:t>[2.3, 8.8]</w:t>
            </w:r>
          </w:p>
        </w:tc>
        <w:tc>
          <w:tcPr>
            <w:tcW w:w="1243" w:type="dxa"/>
            <w:tcBorders>
              <w:top w:val="nil"/>
              <w:left w:val="nil"/>
              <w:bottom w:val="nil"/>
              <w:right w:val="nil"/>
            </w:tcBorders>
            <w:shd w:val="clear" w:color="auto" w:fill="FFFFFF"/>
          </w:tcPr>
          <w:p w:rsidR="005225B5" w:rsidRPr="006263CF" w:rsidRDefault="005225B5" w:rsidP="006263CF">
            <w:pPr>
              <w:rPr>
                <w:rFonts w:asciiTheme="minorHAnsi" w:hAnsiTheme="minorHAnsi" w:cstheme="minorHAnsi"/>
                <w:sz w:val="18"/>
              </w:rPr>
            </w:pPr>
          </w:p>
        </w:tc>
      </w:tr>
      <w:tr w:rsidR="005225B5" w:rsidRPr="006263CF" w:rsidTr="001F691B">
        <w:trPr>
          <w:trHeight w:hRule="exact" w:val="432"/>
        </w:trPr>
        <w:tc>
          <w:tcPr>
            <w:tcW w:w="1234" w:type="dxa"/>
            <w:tcBorders>
              <w:top w:val="nil"/>
              <w:left w:val="nil"/>
              <w:bottom w:val="nil"/>
              <w:right w:val="nil"/>
            </w:tcBorders>
            <w:shd w:val="clear" w:color="auto" w:fill="FFFFFF"/>
          </w:tcPr>
          <w:p w:rsidR="005225B5" w:rsidRPr="006263CF" w:rsidRDefault="005225B5" w:rsidP="006263CF">
            <w:pPr>
              <w:rPr>
                <w:rFonts w:asciiTheme="minorHAnsi" w:hAnsiTheme="minorHAnsi" w:cstheme="minorHAnsi"/>
                <w:sz w:val="18"/>
              </w:rPr>
            </w:pPr>
          </w:p>
        </w:tc>
        <w:tc>
          <w:tcPr>
            <w:tcW w:w="2894" w:type="dxa"/>
            <w:tcBorders>
              <w:top w:val="single" w:sz="4" w:space="0" w:color="1F61AA"/>
              <w:left w:val="nil"/>
              <w:bottom w:val="single" w:sz="4" w:space="0" w:color="1F61AA"/>
              <w:right w:val="nil"/>
            </w:tcBorders>
            <w:shd w:val="clear" w:color="auto" w:fill="FFFFFF"/>
            <w:vAlign w:val="center"/>
          </w:tcPr>
          <w:p w:rsidR="005225B5" w:rsidRPr="006263CF" w:rsidRDefault="005225B5" w:rsidP="001F691B">
            <w:pPr>
              <w:ind w:left="43"/>
              <w:rPr>
                <w:rFonts w:asciiTheme="minorHAnsi" w:hAnsiTheme="minorHAnsi" w:cstheme="minorHAnsi"/>
                <w:sz w:val="18"/>
              </w:rPr>
            </w:pPr>
            <w:r w:rsidRPr="006263CF">
              <w:rPr>
                <w:rFonts w:asciiTheme="minorHAnsi" w:hAnsiTheme="minorHAnsi" w:cstheme="minorHAnsi"/>
                <w:color w:val="000000"/>
                <w:szCs w:val="22"/>
              </w:rPr>
              <w:t>Циклосерин/теризідон</w:t>
            </w:r>
          </w:p>
        </w:tc>
        <w:tc>
          <w:tcPr>
            <w:tcW w:w="1301" w:type="dxa"/>
            <w:tcBorders>
              <w:top w:val="single" w:sz="4" w:space="0" w:color="1F61AA"/>
              <w:left w:val="nil"/>
              <w:bottom w:val="single" w:sz="4" w:space="0" w:color="1F61AA"/>
              <w:right w:val="nil"/>
            </w:tcBorders>
            <w:shd w:val="clear" w:color="auto" w:fill="FFFFFF"/>
            <w:vAlign w:val="center"/>
          </w:tcPr>
          <w:p w:rsidR="005225B5" w:rsidRPr="006263CF" w:rsidRDefault="005225B5" w:rsidP="001F691B">
            <w:pPr>
              <w:jc w:val="center"/>
              <w:rPr>
                <w:rFonts w:asciiTheme="minorHAnsi" w:hAnsiTheme="minorHAnsi" w:cstheme="minorHAnsi"/>
                <w:sz w:val="18"/>
              </w:rPr>
            </w:pPr>
            <w:r w:rsidRPr="006263CF">
              <w:rPr>
                <w:rFonts w:asciiTheme="minorHAnsi" w:hAnsiTheme="minorHAnsi" w:cstheme="minorHAnsi"/>
                <w:color w:val="000000"/>
                <w:szCs w:val="22"/>
              </w:rPr>
              <w:t>7.8</w:t>
            </w:r>
          </w:p>
        </w:tc>
        <w:tc>
          <w:tcPr>
            <w:tcW w:w="2515" w:type="dxa"/>
            <w:tcBorders>
              <w:top w:val="single" w:sz="4" w:space="0" w:color="1F61AA"/>
              <w:left w:val="nil"/>
              <w:bottom w:val="single" w:sz="4" w:space="0" w:color="1F61AA"/>
              <w:right w:val="nil"/>
            </w:tcBorders>
            <w:shd w:val="clear" w:color="auto" w:fill="FFFFFF"/>
            <w:vAlign w:val="center"/>
          </w:tcPr>
          <w:p w:rsidR="005225B5" w:rsidRPr="006263CF" w:rsidRDefault="005225B5" w:rsidP="001F691B">
            <w:pPr>
              <w:jc w:val="center"/>
              <w:rPr>
                <w:rFonts w:asciiTheme="minorHAnsi" w:hAnsiTheme="minorHAnsi" w:cstheme="minorHAnsi"/>
                <w:sz w:val="18"/>
              </w:rPr>
            </w:pPr>
            <w:r w:rsidRPr="006263CF">
              <w:rPr>
                <w:rFonts w:asciiTheme="minorHAnsi" w:hAnsiTheme="minorHAnsi" w:cstheme="minorHAnsi"/>
                <w:color w:val="000000"/>
                <w:szCs w:val="22"/>
              </w:rPr>
              <w:t>[5.8, 10.9]</w:t>
            </w:r>
          </w:p>
        </w:tc>
        <w:tc>
          <w:tcPr>
            <w:tcW w:w="1243" w:type="dxa"/>
            <w:tcBorders>
              <w:top w:val="nil"/>
              <w:left w:val="nil"/>
              <w:bottom w:val="nil"/>
              <w:right w:val="nil"/>
            </w:tcBorders>
            <w:shd w:val="clear" w:color="auto" w:fill="FFFFFF"/>
          </w:tcPr>
          <w:p w:rsidR="005225B5" w:rsidRPr="006263CF" w:rsidRDefault="005225B5" w:rsidP="006263CF">
            <w:pPr>
              <w:rPr>
                <w:rFonts w:asciiTheme="minorHAnsi" w:hAnsiTheme="minorHAnsi" w:cstheme="minorHAnsi"/>
                <w:sz w:val="18"/>
              </w:rPr>
            </w:pPr>
          </w:p>
        </w:tc>
      </w:tr>
      <w:tr w:rsidR="005225B5" w:rsidRPr="006263CF" w:rsidTr="001F691B">
        <w:trPr>
          <w:trHeight w:hRule="exact" w:val="432"/>
        </w:trPr>
        <w:tc>
          <w:tcPr>
            <w:tcW w:w="1234" w:type="dxa"/>
            <w:tcBorders>
              <w:top w:val="nil"/>
              <w:left w:val="nil"/>
              <w:bottom w:val="nil"/>
              <w:right w:val="nil"/>
            </w:tcBorders>
            <w:shd w:val="clear" w:color="auto" w:fill="FFFFFF"/>
          </w:tcPr>
          <w:p w:rsidR="005225B5" w:rsidRPr="006263CF" w:rsidRDefault="005225B5" w:rsidP="006263CF">
            <w:pPr>
              <w:rPr>
                <w:rFonts w:asciiTheme="minorHAnsi" w:hAnsiTheme="minorHAnsi" w:cstheme="minorHAnsi"/>
                <w:sz w:val="18"/>
              </w:rPr>
            </w:pPr>
          </w:p>
        </w:tc>
        <w:tc>
          <w:tcPr>
            <w:tcW w:w="2894" w:type="dxa"/>
            <w:tcBorders>
              <w:top w:val="single" w:sz="4" w:space="0" w:color="1F61AA"/>
              <w:left w:val="nil"/>
              <w:bottom w:val="single" w:sz="4" w:space="0" w:color="1F61AA"/>
              <w:right w:val="nil"/>
            </w:tcBorders>
            <w:shd w:val="clear" w:color="auto" w:fill="FFFFFF"/>
            <w:vAlign w:val="center"/>
          </w:tcPr>
          <w:p w:rsidR="005225B5" w:rsidRPr="006263CF" w:rsidRDefault="005225B5" w:rsidP="001F691B">
            <w:pPr>
              <w:ind w:left="43"/>
              <w:rPr>
                <w:rFonts w:asciiTheme="minorHAnsi" w:hAnsiTheme="minorHAnsi" w:cstheme="minorHAnsi"/>
                <w:sz w:val="18"/>
              </w:rPr>
            </w:pPr>
            <w:r w:rsidRPr="006263CF">
              <w:rPr>
                <w:rFonts w:asciiTheme="minorHAnsi" w:hAnsiTheme="minorHAnsi" w:cstheme="minorHAnsi"/>
                <w:i/>
                <w:iCs/>
                <w:color w:val="000000"/>
                <w:szCs w:val="22"/>
              </w:rPr>
              <w:t>Капреоміцин</w:t>
            </w:r>
          </w:p>
        </w:tc>
        <w:tc>
          <w:tcPr>
            <w:tcW w:w="1301" w:type="dxa"/>
            <w:tcBorders>
              <w:top w:val="single" w:sz="4" w:space="0" w:color="1F61AA"/>
              <w:left w:val="nil"/>
              <w:bottom w:val="single" w:sz="4" w:space="0" w:color="1F61AA"/>
              <w:right w:val="nil"/>
            </w:tcBorders>
            <w:shd w:val="clear" w:color="auto" w:fill="FFFFFF"/>
            <w:vAlign w:val="center"/>
          </w:tcPr>
          <w:p w:rsidR="005225B5" w:rsidRPr="006263CF" w:rsidRDefault="005225B5" w:rsidP="001F691B">
            <w:pPr>
              <w:jc w:val="center"/>
              <w:rPr>
                <w:rFonts w:asciiTheme="minorHAnsi" w:hAnsiTheme="minorHAnsi" w:cstheme="minorHAnsi"/>
                <w:sz w:val="18"/>
              </w:rPr>
            </w:pPr>
            <w:r w:rsidRPr="006263CF">
              <w:rPr>
                <w:rFonts w:asciiTheme="minorHAnsi" w:hAnsiTheme="minorHAnsi" w:cstheme="minorHAnsi"/>
                <w:color w:val="000000"/>
                <w:szCs w:val="22"/>
              </w:rPr>
              <w:t>8.4</w:t>
            </w:r>
          </w:p>
        </w:tc>
        <w:tc>
          <w:tcPr>
            <w:tcW w:w="2515" w:type="dxa"/>
            <w:tcBorders>
              <w:top w:val="single" w:sz="4" w:space="0" w:color="1F61AA"/>
              <w:left w:val="nil"/>
              <w:bottom w:val="single" w:sz="4" w:space="0" w:color="1F61AA"/>
              <w:right w:val="nil"/>
            </w:tcBorders>
            <w:shd w:val="clear" w:color="auto" w:fill="FFFFFF"/>
            <w:vAlign w:val="center"/>
          </w:tcPr>
          <w:p w:rsidR="005225B5" w:rsidRPr="006263CF" w:rsidRDefault="005225B5" w:rsidP="001F691B">
            <w:pPr>
              <w:jc w:val="center"/>
              <w:rPr>
                <w:rFonts w:asciiTheme="minorHAnsi" w:hAnsiTheme="minorHAnsi" w:cstheme="minorHAnsi"/>
                <w:sz w:val="18"/>
              </w:rPr>
            </w:pPr>
            <w:r w:rsidRPr="006263CF">
              <w:rPr>
                <w:rFonts w:asciiTheme="minorHAnsi" w:hAnsiTheme="minorHAnsi" w:cstheme="minorHAnsi"/>
                <w:color w:val="000000"/>
                <w:szCs w:val="22"/>
              </w:rPr>
              <w:t>[5.7, 12.2]</w:t>
            </w:r>
          </w:p>
        </w:tc>
        <w:tc>
          <w:tcPr>
            <w:tcW w:w="1243" w:type="dxa"/>
            <w:tcBorders>
              <w:top w:val="nil"/>
              <w:left w:val="nil"/>
              <w:bottom w:val="nil"/>
              <w:right w:val="nil"/>
            </w:tcBorders>
            <w:shd w:val="clear" w:color="auto" w:fill="FFFFFF"/>
          </w:tcPr>
          <w:p w:rsidR="005225B5" w:rsidRPr="006263CF" w:rsidRDefault="005225B5" w:rsidP="006263CF">
            <w:pPr>
              <w:rPr>
                <w:rFonts w:asciiTheme="minorHAnsi" w:hAnsiTheme="minorHAnsi" w:cstheme="minorHAnsi"/>
                <w:sz w:val="18"/>
              </w:rPr>
            </w:pPr>
          </w:p>
        </w:tc>
      </w:tr>
      <w:tr w:rsidR="005225B5" w:rsidRPr="006263CF" w:rsidTr="001F691B">
        <w:trPr>
          <w:trHeight w:hRule="exact" w:val="437"/>
        </w:trPr>
        <w:tc>
          <w:tcPr>
            <w:tcW w:w="1234" w:type="dxa"/>
            <w:tcBorders>
              <w:top w:val="nil"/>
              <w:left w:val="nil"/>
              <w:bottom w:val="nil"/>
              <w:right w:val="nil"/>
            </w:tcBorders>
            <w:shd w:val="clear" w:color="auto" w:fill="FFFFFF"/>
          </w:tcPr>
          <w:p w:rsidR="005225B5" w:rsidRPr="006263CF" w:rsidRDefault="005225B5" w:rsidP="006263CF">
            <w:pPr>
              <w:rPr>
                <w:rFonts w:asciiTheme="minorHAnsi" w:hAnsiTheme="minorHAnsi" w:cstheme="minorHAnsi"/>
                <w:sz w:val="18"/>
              </w:rPr>
            </w:pPr>
          </w:p>
        </w:tc>
        <w:tc>
          <w:tcPr>
            <w:tcW w:w="2894" w:type="dxa"/>
            <w:tcBorders>
              <w:top w:val="single" w:sz="4" w:space="0" w:color="1F61AA"/>
              <w:left w:val="nil"/>
              <w:bottom w:val="single" w:sz="4" w:space="0" w:color="1F61AA"/>
              <w:right w:val="nil"/>
            </w:tcBorders>
            <w:shd w:val="clear" w:color="auto" w:fill="FFFFFF"/>
            <w:vAlign w:val="center"/>
          </w:tcPr>
          <w:p w:rsidR="005225B5" w:rsidRPr="006263CF" w:rsidRDefault="005225B5" w:rsidP="001F691B">
            <w:pPr>
              <w:ind w:left="43"/>
              <w:rPr>
                <w:rFonts w:asciiTheme="minorHAnsi" w:hAnsiTheme="minorHAnsi" w:cstheme="minorHAnsi"/>
                <w:sz w:val="18"/>
              </w:rPr>
            </w:pPr>
            <w:r w:rsidRPr="006263CF">
              <w:rPr>
                <w:rFonts w:asciiTheme="minorHAnsi" w:hAnsiTheme="minorHAnsi" w:cstheme="minorHAnsi"/>
                <w:color w:val="000000"/>
                <w:szCs w:val="22"/>
              </w:rPr>
              <w:t>Піразинамід</w:t>
            </w:r>
          </w:p>
        </w:tc>
        <w:tc>
          <w:tcPr>
            <w:tcW w:w="1301" w:type="dxa"/>
            <w:tcBorders>
              <w:top w:val="single" w:sz="4" w:space="0" w:color="1F61AA"/>
              <w:left w:val="nil"/>
              <w:bottom w:val="single" w:sz="4" w:space="0" w:color="1F61AA"/>
              <w:right w:val="nil"/>
            </w:tcBorders>
            <w:shd w:val="clear" w:color="auto" w:fill="FFFFFF"/>
            <w:vAlign w:val="center"/>
          </w:tcPr>
          <w:p w:rsidR="005225B5" w:rsidRPr="006263CF" w:rsidRDefault="005225B5" w:rsidP="001F691B">
            <w:pPr>
              <w:jc w:val="center"/>
              <w:rPr>
                <w:rFonts w:asciiTheme="minorHAnsi" w:hAnsiTheme="minorHAnsi" w:cstheme="minorHAnsi"/>
                <w:sz w:val="18"/>
              </w:rPr>
            </w:pPr>
            <w:r w:rsidRPr="006263CF">
              <w:rPr>
                <w:rFonts w:asciiTheme="minorHAnsi" w:hAnsiTheme="minorHAnsi" w:cstheme="minorHAnsi"/>
                <w:color w:val="000000"/>
                <w:szCs w:val="22"/>
              </w:rPr>
              <w:t>8.8</w:t>
            </w:r>
          </w:p>
        </w:tc>
        <w:tc>
          <w:tcPr>
            <w:tcW w:w="2515" w:type="dxa"/>
            <w:tcBorders>
              <w:top w:val="single" w:sz="4" w:space="0" w:color="1F61AA"/>
              <w:left w:val="nil"/>
              <w:bottom w:val="single" w:sz="4" w:space="0" w:color="1F61AA"/>
              <w:right w:val="nil"/>
            </w:tcBorders>
            <w:shd w:val="clear" w:color="auto" w:fill="FFFFFF"/>
            <w:vAlign w:val="center"/>
          </w:tcPr>
          <w:p w:rsidR="005225B5" w:rsidRPr="006263CF" w:rsidRDefault="005225B5" w:rsidP="001F691B">
            <w:pPr>
              <w:jc w:val="center"/>
              <w:rPr>
                <w:rFonts w:asciiTheme="minorHAnsi" w:hAnsiTheme="minorHAnsi" w:cstheme="minorHAnsi"/>
                <w:sz w:val="18"/>
              </w:rPr>
            </w:pPr>
            <w:r w:rsidRPr="006263CF">
              <w:rPr>
                <w:rFonts w:asciiTheme="minorHAnsi" w:hAnsiTheme="minorHAnsi" w:cstheme="minorHAnsi"/>
                <w:color w:val="000000"/>
                <w:szCs w:val="22"/>
              </w:rPr>
              <w:t>[5.6, 13.2]</w:t>
            </w:r>
          </w:p>
        </w:tc>
        <w:tc>
          <w:tcPr>
            <w:tcW w:w="1243" w:type="dxa"/>
            <w:tcBorders>
              <w:top w:val="nil"/>
              <w:left w:val="nil"/>
              <w:bottom w:val="nil"/>
              <w:right w:val="nil"/>
            </w:tcBorders>
            <w:shd w:val="clear" w:color="auto" w:fill="FFFFFF"/>
          </w:tcPr>
          <w:p w:rsidR="005225B5" w:rsidRPr="006263CF" w:rsidRDefault="005225B5" w:rsidP="006263CF">
            <w:pPr>
              <w:rPr>
                <w:rFonts w:asciiTheme="minorHAnsi" w:hAnsiTheme="minorHAnsi" w:cstheme="minorHAnsi"/>
                <w:sz w:val="18"/>
              </w:rPr>
            </w:pPr>
          </w:p>
        </w:tc>
      </w:tr>
      <w:tr w:rsidR="005225B5" w:rsidRPr="006263CF" w:rsidTr="001F691B">
        <w:trPr>
          <w:trHeight w:hRule="exact" w:val="432"/>
        </w:trPr>
        <w:tc>
          <w:tcPr>
            <w:tcW w:w="1234" w:type="dxa"/>
            <w:tcBorders>
              <w:top w:val="nil"/>
              <w:left w:val="nil"/>
              <w:bottom w:val="nil"/>
              <w:right w:val="nil"/>
            </w:tcBorders>
            <w:shd w:val="clear" w:color="auto" w:fill="FFFFFF"/>
          </w:tcPr>
          <w:p w:rsidR="005225B5" w:rsidRPr="006263CF" w:rsidRDefault="005225B5" w:rsidP="006263CF">
            <w:pPr>
              <w:rPr>
                <w:rFonts w:asciiTheme="minorHAnsi" w:hAnsiTheme="minorHAnsi" w:cstheme="minorHAnsi"/>
                <w:sz w:val="18"/>
              </w:rPr>
            </w:pPr>
          </w:p>
        </w:tc>
        <w:tc>
          <w:tcPr>
            <w:tcW w:w="2894" w:type="dxa"/>
            <w:tcBorders>
              <w:top w:val="single" w:sz="4" w:space="0" w:color="1F61AA"/>
              <w:left w:val="nil"/>
              <w:bottom w:val="single" w:sz="4" w:space="0" w:color="1F61AA"/>
              <w:right w:val="nil"/>
            </w:tcBorders>
            <w:shd w:val="clear" w:color="auto" w:fill="FFFFFF"/>
            <w:vAlign w:val="center"/>
          </w:tcPr>
          <w:p w:rsidR="005225B5" w:rsidRPr="006263CF" w:rsidRDefault="005225B5" w:rsidP="001F691B">
            <w:pPr>
              <w:ind w:left="43"/>
              <w:rPr>
                <w:rFonts w:asciiTheme="minorHAnsi" w:hAnsiTheme="minorHAnsi" w:cstheme="minorHAnsi"/>
                <w:sz w:val="18"/>
              </w:rPr>
            </w:pPr>
            <w:r w:rsidRPr="006263CF">
              <w:rPr>
                <w:rFonts w:asciiTheme="minorHAnsi" w:hAnsiTheme="minorHAnsi" w:cstheme="minorHAnsi"/>
                <w:color w:val="000000"/>
                <w:szCs w:val="22"/>
              </w:rPr>
              <w:t>Етіонамід/Протіонамід</w:t>
            </w:r>
          </w:p>
        </w:tc>
        <w:tc>
          <w:tcPr>
            <w:tcW w:w="1301" w:type="dxa"/>
            <w:tcBorders>
              <w:top w:val="single" w:sz="4" w:space="0" w:color="1F61AA"/>
              <w:left w:val="nil"/>
              <w:bottom w:val="single" w:sz="4" w:space="0" w:color="1F61AA"/>
              <w:right w:val="nil"/>
            </w:tcBorders>
            <w:shd w:val="clear" w:color="auto" w:fill="FFFFFF"/>
            <w:vAlign w:val="center"/>
          </w:tcPr>
          <w:p w:rsidR="005225B5" w:rsidRPr="006263CF" w:rsidRDefault="005225B5" w:rsidP="001F691B">
            <w:pPr>
              <w:jc w:val="center"/>
              <w:rPr>
                <w:rFonts w:asciiTheme="minorHAnsi" w:hAnsiTheme="minorHAnsi" w:cstheme="minorHAnsi"/>
                <w:sz w:val="18"/>
              </w:rPr>
            </w:pPr>
            <w:r w:rsidRPr="006263CF">
              <w:rPr>
                <w:rFonts w:asciiTheme="minorHAnsi" w:hAnsiTheme="minorHAnsi" w:cstheme="minorHAnsi"/>
                <w:color w:val="000000"/>
                <w:szCs w:val="22"/>
              </w:rPr>
              <w:t>9.5</w:t>
            </w:r>
          </w:p>
        </w:tc>
        <w:tc>
          <w:tcPr>
            <w:tcW w:w="2515" w:type="dxa"/>
            <w:tcBorders>
              <w:top w:val="single" w:sz="4" w:space="0" w:color="1F61AA"/>
              <w:left w:val="nil"/>
              <w:bottom w:val="single" w:sz="4" w:space="0" w:color="1F61AA"/>
              <w:right w:val="nil"/>
            </w:tcBorders>
            <w:shd w:val="clear" w:color="auto" w:fill="FFFFFF"/>
            <w:vAlign w:val="center"/>
          </w:tcPr>
          <w:p w:rsidR="005225B5" w:rsidRPr="006263CF" w:rsidRDefault="005225B5" w:rsidP="001F691B">
            <w:pPr>
              <w:jc w:val="center"/>
              <w:rPr>
                <w:rFonts w:asciiTheme="minorHAnsi" w:hAnsiTheme="minorHAnsi" w:cstheme="minorHAnsi"/>
                <w:sz w:val="18"/>
              </w:rPr>
            </w:pPr>
            <w:r w:rsidRPr="006263CF">
              <w:rPr>
                <w:rFonts w:asciiTheme="minorHAnsi" w:hAnsiTheme="minorHAnsi" w:cstheme="minorHAnsi"/>
                <w:color w:val="000000"/>
                <w:szCs w:val="22"/>
              </w:rPr>
              <w:t>[6.5, 14.5]</w:t>
            </w:r>
          </w:p>
        </w:tc>
        <w:tc>
          <w:tcPr>
            <w:tcW w:w="1243" w:type="dxa"/>
            <w:tcBorders>
              <w:top w:val="nil"/>
              <w:left w:val="nil"/>
              <w:bottom w:val="nil"/>
              <w:right w:val="nil"/>
            </w:tcBorders>
            <w:shd w:val="clear" w:color="auto" w:fill="FFFFFF"/>
          </w:tcPr>
          <w:p w:rsidR="005225B5" w:rsidRPr="006263CF" w:rsidRDefault="005225B5" w:rsidP="006263CF">
            <w:pPr>
              <w:rPr>
                <w:rFonts w:asciiTheme="minorHAnsi" w:hAnsiTheme="minorHAnsi" w:cstheme="minorHAnsi"/>
                <w:sz w:val="18"/>
              </w:rPr>
            </w:pPr>
          </w:p>
        </w:tc>
      </w:tr>
      <w:tr w:rsidR="005225B5" w:rsidRPr="006263CF" w:rsidTr="001F691B">
        <w:trPr>
          <w:trHeight w:hRule="exact" w:val="432"/>
        </w:trPr>
        <w:tc>
          <w:tcPr>
            <w:tcW w:w="1234" w:type="dxa"/>
            <w:tcBorders>
              <w:top w:val="nil"/>
              <w:left w:val="nil"/>
              <w:bottom w:val="nil"/>
              <w:right w:val="nil"/>
            </w:tcBorders>
            <w:shd w:val="clear" w:color="auto" w:fill="FFFFFF"/>
          </w:tcPr>
          <w:p w:rsidR="005225B5" w:rsidRPr="006263CF" w:rsidRDefault="005225B5" w:rsidP="006263CF">
            <w:pPr>
              <w:rPr>
                <w:rFonts w:asciiTheme="minorHAnsi" w:hAnsiTheme="minorHAnsi" w:cstheme="minorHAnsi"/>
                <w:sz w:val="18"/>
              </w:rPr>
            </w:pPr>
          </w:p>
        </w:tc>
        <w:tc>
          <w:tcPr>
            <w:tcW w:w="2894" w:type="dxa"/>
            <w:tcBorders>
              <w:top w:val="single" w:sz="4" w:space="0" w:color="1F61AA"/>
              <w:left w:val="nil"/>
              <w:bottom w:val="single" w:sz="4" w:space="0" w:color="1F61AA"/>
              <w:right w:val="nil"/>
            </w:tcBorders>
            <w:shd w:val="clear" w:color="auto" w:fill="FFFFFF"/>
            <w:vAlign w:val="center"/>
          </w:tcPr>
          <w:p w:rsidR="005225B5" w:rsidRPr="006263CF" w:rsidRDefault="005225B5" w:rsidP="001F691B">
            <w:pPr>
              <w:ind w:left="43"/>
              <w:rPr>
                <w:rFonts w:asciiTheme="minorHAnsi" w:hAnsiTheme="minorHAnsi" w:cstheme="minorHAnsi"/>
                <w:sz w:val="18"/>
              </w:rPr>
            </w:pPr>
            <w:r w:rsidRPr="006263CF">
              <w:rPr>
                <w:rFonts w:asciiTheme="minorHAnsi" w:hAnsiTheme="minorHAnsi" w:cstheme="minorHAnsi"/>
                <w:color w:val="000000"/>
                <w:szCs w:val="22"/>
              </w:rPr>
              <w:t>Амікацин</w:t>
            </w:r>
          </w:p>
        </w:tc>
        <w:tc>
          <w:tcPr>
            <w:tcW w:w="1301" w:type="dxa"/>
            <w:tcBorders>
              <w:top w:val="single" w:sz="4" w:space="0" w:color="1F61AA"/>
              <w:left w:val="nil"/>
              <w:bottom w:val="single" w:sz="4" w:space="0" w:color="1F61AA"/>
              <w:right w:val="nil"/>
            </w:tcBorders>
            <w:shd w:val="clear" w:color="auto" w:fill="FFFFFF"/>
            <w:vAlign w:val="center"/>
          </w:tcPr>
          <w:p w:rsidR="005225B5" w:rsidRPr="006263CF" w:rsidRDefault="005225B5" w:rsidP="001F691B">
            <w:pPr>
              <w:jc w:val="center"/>
              <w:rPr>
                <w:rFonts w:asciiTheme="minorHAnsi" w:hAnsiTheme="minorHAnsi" w:cstheme="minorHAnsi"/>
                <w:sz w:val="18"/>
              </w:rPr>
            </w:pPr>
            <w:r w:rsidRPr="006263CF">
              <w:rPr>
                <w:rFonts w:asciiTheme="minorHAnsi" w:hAnsiTheme="minorHAnsi" w:cstheme="minorHAnsi"/>
                <w:color w:val="000000"/>
                <w:szCs w:val="22"/>
              </w:rPr>
              <w:t>10.3</w:t>
            </w:r>
          </w:p>
        </w:tc>
        <w:tc>
          <w:tcPr>
            <w:tcW w:w="2515" w:type="dxa"/>
            <w:tcBorders>
              <w:top w:val="single" w:sz="4" w:space="0" w:color="1F61AA"/>
              <w:left w:val="nil"/>
              <w:bottom w:val="single" w:sz="4" w:space="0" w:color="1F61AA"/>
              <w:right w:val="nil"/>
            </w:tcBorders>
            <w:shd w:val="clear" w:color="auto" w:fill="FFFFFF"/>
            <w:vAlign w:val="center"/>
          </w:tcPr>
          <w:p w:rsidR="005225B5" w:rsidRPr="006263CF" w:rsidRDefault="005225B5" w:rsidP="001F691B">
            <w:pPr>
              <w:jc w:val="center"/>
              <w:rPr>
                <w:rFonts w:asciiTheme="minorHAnsi" w:hAnsiTheme="minorHAnsi" w:cstheme="minorHAnsi"/>
                <w:sz w:val="18"/>
              </w:rPr>
            </w:pPr>
            <w:r w:rsidRPr="006263CF">
              <w:rPr>
                <w:rFonts w:asciiTheme="minorHAnsi" w:hAnsiTheme="minorHAnsi" w:cstheme="minorHAnsi"/>
                <w:color w:val="000000"/>
                <w:szCs w:val="22"/>
              </w:rPr>
              <w:t>[6.6, 17.0]</w:t>
            </w:r>
          </w:p>
        </w:tc>
        <w:tc>
          <w:tcPr>
            <w:tcW w:w="1243" w:type="dxa"/>
            <w:tcBorders>
              <w:top w:val="nil"/>
              <w:left w:val="nil"/>
              <w:bottom w:val="nil"/>
              <w:right w:val="nil"/>
            </w:tcBorders>
            <w:shd w:val="clear" w:color="auto" w:fill="FFFFFF"/>
          </w:tcPr>
          <w:p w:rsidR="005225B5" w:rsidRPr="006263CF" w:rsidRDefault="005225B5" w:rsidP="006263CF">
            <w:pPr>
              <w:rPr>
                <w:rFonts w:asciiTheme="minorHAnsi" w:hAnsiTheme="minorHAnsi" w:cstheme="minorHAnsi"/>
                <w:sz w:val="18"/>
              </w:rPr>
            </w:pPr>
          </w:p>
        </w:tc>
      </w:tr>
      <w:tr w:rsidR="005225B5" w:rsidRPr="006263CF" w:rsidTr="001F691B">
        <w:trPr>
          <w:trHeight w:hRule="exact" w:val="432"/>
        </w:trPr>
        <w:tc>
          <w:tcPr>
            <w:tcW w:w="1234" w:type="dxa"/>
            <w:tcBorders>
              <w:top w:val="nil"/>
              <w:left w:val="nil"/>
              <w:bottom w:val="nil"/>
              <w:right w:val="nil"/>
            </w:tcBorders>
            <w:shd w:val="clear" w:color="auto" w:fill="FFFFFF"/>
          </w:tcPr>
          <w:p w:rsidR="005225B5" w:rsidRPr="006263CF" w:rsidRDefault="005225B5" w:rsidP="006263CF">
            <w:pPr>
              <w:rPr>
                <w:rFonts w:asciiTheme="minorHAnsi" w:hAnsiTheme="minorHAnsi" w:cstheme="minorHAnsi"/>
                <w:sz w:val="18"/>
              </w:rPr>
            </w:pPr>
          </w:p>
        </w:tc>
        <w:tc>
          <w:tcPr>
            <w:tcW w:w="2894" w:type="dxa"/>
            <w:tcBorders>
              <w:top w:val="single" w:sz="4" w:space="0" w:color="1F61AA"/>
              <w:left w:val="nil"/>
              <w:bottom w:val="single" w:sz="4" w:space="0" w:color="1F61AA"/>
              <w:right w:val="nil"/>
            </w:tcBorders>
            <w:shd w:val="clear" w:color="auto" w:fill="FFFFFF"/>
            <w:vAlign w:val="center"/>
          </w:tcPr>
          <w:p w:rsidR="005225B5" w:rsidRPr="006263CF" w:rsidRDefault="005225B5" w:rsidP="001F691B">
            <w:pPr>
              <w:ind w:left="43"/>
              <w:rPr>
                <w:rFonts w:asciiTheme="minorHAnsi" w:hAnsiTheme="minorHAnsi" w:cstheme="minorHAnsi"/>
                <w:sz w:val="18"/>
              </w:rPr>
            </w:pPr>
            <w:r w:rsidRPr="006263CF">
              <w:rPr>
                <w:rFonts w:asciiTheme="minorHAnsi" w:hAnsiTheme="minorHAnsi" w:cstheme="minorHAnsi"/>
                <w:i/>
                <w:iCs/>
                <w:color w:val="000000"/>
                <w:szCs w:val="22"/>
              </w:rPr>
              <w:t>Канаміцин</w:t>
            </w:r>
          </w:p>
        </w:tc>
        <w:tc>
          <w:tcPr>
            <w:tcW w:w="1301" w:type="dxa"/>
            <w:tcBorders>
              <w:top w:val="single" w:sz="4" w:space="0" w:color="1F61AA"/>
              <w:left w:val="nil"/>
              <w:bottom w:val="single" w:sz="4" w:space="0" w:color="1F61AA"/>
              <w:right w:val="nil"/>
            </w:tcBorders>
            <w:shd w:val="clear" w:color="auto" w:fill="FFFFFF"/>
            <w:vAlign w:val="center"/>
          </w:tcPr>
          <w:p w:rsidR="005225B5" w:rsidRPr="006263CF" w:rsidRDefault="005225B5" w:rsidP="001F691B">
            <w:pPr>
              <w:jc w:val="center"/>
              <w:rPr>
                <w:rFonts w:asciiTheme="minorHAnsi" w:hAnsiTheme="minorHAnsi" w:cstheme="minorHAnsi"/>
                <w:sz w:val="18"/>
              </w:rPr>
            </w:pPr>
            <w:r w:rsidRPr="006263CF">
              <w:rPr>
                <w:rFonts w:asciiTheme="minorHAnsi" w:hAnsiTheme="minorHAnsi" w:cstheme="minorHAnsi"/>
                <w:color w:val="000000"/>
                <w:szCs w:val="22"/>
              </w:rPr>
              <w:t>10.8</w:t>
            </w:r>
          </w:p>
        </w:tc>
        <w:tc>
          <w:tcPr>
            <w:tcW w:w="2515" w:type="dxa"/>
            <w:tcBorders>
              <w:top w:val="single" w:sz="4" w:space="0" w:color="1F61AA"/>
              <w:left w:val="nil"/>
              <w:bottom w:val="single" w:sz="4" w:space="0" w:color="1F61AA"/>
              <w:right w:val="nil"/>
            </w:tcBorders>
            <w:shd w:val="clear" w:color="auto" w:fill="FFFFFF"/>
            <w:vAlign w:val="center"/>
          </w:tcPr>
          <w:p w:rsidR="005225B5" w:rsidRPr="006263CF" w:rsidRDefault="005225B5" w:rsidP="001F691B">
            <w:pPr>
              <w:jc w:val="center"/>
              <w:rPr>
                <w:rFonts w:asciiTheme="minorHAnsi" w:hAnsiTheme="minorHAnsi" w:cstheme="minorHAnsi"/>
                <w:sz w:val="18"/>
              </w:rPr>
            </w:pPr>
            <w:r w:rsidRPr="006263CF">
              <w:rPr>
                <w:rFonts w:asciiTheme="minorHAnsi" w:hAnsiTheme="minorHAnsi" w:cstheme="minorHAnsi"/>
                <w:color w:val="000000"/>
                <w:szCs w:val="22"/>
              </w:rPr>
              <w:t>[7.2, 16.1]</w:t>
            </w:r>
          </w:p>
        </w:tc>
        <w:tc>
          <w:tcPr>
            <w:tcW w:w="1243" w:type="dxa"/>
            <w:tcBorders>
              <w:top w:val="nil"/>
              <w:left w:val="nil"/>
              <w:bottom w:val="nil"/>
              <w:right w:val="nil"/>
            </w:tcBorders>
            <w:shd w:val="clear" w:color="auto" w:fill="FFFFFF"/>
          </w:tcPr>
          <w:p w:rsidR="005225B5" w:rsidRPr="006263CF" w:rsidRDefault="005225B5" w:rsidP="006263CF">
            <w:pPr>
              <w:rPr>
                <w:rFonts w:asciiTheme="minorHAnsi" w:hAnsiTheme="minorHAnsi" w:cstheme="minorHAnsi"/>
                <w:sz w:val="18"/>
              </w:rPr>
            </w:pPr>
          </w:p>
        </w:tc>
      </w:tr>
      <w:tr w:rsidR="005225B5" w:rsidRPr="006263CF" w:rsidTr="001F691B">
        <w:trPr>
          <w:trHeight w:hRule="exact" w:val="432"/>
        </w:trPr>
        <w:tc>
          <w:tcPr>
            <w:tcW w:w="1234" w:type="dxa"/>
            <w:tcBorders>
              <w:top w:val="nil"/>
              <w:left w:val="nil"/>
              <w:bottom w:val="nil"/>
              <w:right w:val="nil"/>
            </w:tcBorders>
            <w:shd w:val="clear" w:color="auto" w:fill="FFFFFF"/>
          </w:tcPr>
          <w:p w:rsidR="005225B5" w:rsidRPr="006263CF" w:rsidRDefault="005225B5" w:rsidP="006263CF">
            <w:pPr>
              <w:rPr>
                <w:rFonts w:asciiTheme="minorHAnsi" w:hAnsiTheme="minorHAnsi" w:cstheme="minorHAnsi"/>
                <w:sz w:val="18"/>
              </w:rPr>
            </w:pPr>
          </w:p>
        </w:tc>
        <w:tc>
          <w:tcPr>
            <w:tcW w:w="2894" w:type="dxa"/>
            <w:tcBorders>
              <w:top w:val="single" w:sz="4" w:space="0" w:color="1F61AA"/>
              <w:left w:val="nil"/>
              <w:bottom w:val="single" w:sz="4" w:space="0" w:color="1F61AA"/>
              <w:right w:val="nil"/>
            </w:tcBorders>
            <w:shd w:val="clear" w:color="auto" w:fill="FFFFFF"/>
            <w:vAlign w:val="center"/>
          </w:tcPr>
          <w:p w:rsidR="005225B5" w:rsidRPr="006263CF" w:rsidRDefault="005225B5" w:rsidP="001F691B">
            <w:pPr>
              <w:ind w:left="43"/>
              <w:rPr>
                <w:rFonts w:asciiTheme="minorHAnsi" w:hAnsiTheme="minorHAnsi" w:cstheme="minorHAnsi"/>
                <w:sz w:val="18"/>
              </w:rPr>
            </w:pPr>
            <w:r w:rsidRPr="006263CF">
              <w:rPr>
                <w:rFonts w:asciiTheme="minorHAnsi" w:hAnsiTheme="minorHAnsi" w:cstheme="minorHAnsi"/>
                <w:i/>
                <w:iCs/>
                <w:color w:val="000000"/>
                <w:szCs w:val="22"/>
              </w:rPr>
              <w:t>П</w:t>
            </w:r>
            <w:r w:rsidRPr="006263CF">
              <w:rPr>
                <w:rFonts w:asciiTheme="minorHAnsi" w:hAnsiTheme="minorHAnsi" w:cstheme="minorHAnsi"/>
                <w:color w:val="000000"/>
                <w:szCs w:val="22"/>
              </w:rPr>
              <w:t>-аміносаліцилова кислота</w:t>
            </w:r>
          </w:p>
        </w:tc>
        <w:tc>
          <w:tcPr>
            <w:tcW w:w="1301" w:type="dxa"/>
            <w:tcBorders>
              <w:top w:val="single" w:sz="4" w:space="0" w:color="1F61AA"/>
              <w:left w:val="nil"/>
              <w:bottom w:val="single" w:sz="4" w:space="0" w:color="1F61AA"/>
              <w:right w:val="nil"/>
            </w:tcBorders>
            <w:shd w:val="clear" w:color="auto" w:fill="FFFFFF"/>
            <w:vAlign w:val="center"/>
          </w:tcPr>
          <w:p w:rsidR="005225B5" w:rsidRPr="006263CF" w:rsidRDefault="005225B5" w:rsidP="001F691B">
            <w:pPr>
              <w:jc w:val="center"/>
              <w:rPr>
                <w:rFonts w:asciiTheme="minorHAnsi" w:hAnsiTheme="minorHAnsi" w:cstheme="minorHAnsi"/>
                <w:sz w:val="18"/>
              </w:rPr>
            </w:pPr>
            <w:r w:rsidRPr="006263CF">
              <w:rPr>
                <w:rFonts w:asciiTheme="minorHAnsi" w:hAnsiTheme="minorHAnsi" w:cstheme="minorHAnsi"/>
                <w:color w:val="000000"/>
                <w:szCs w:val="22"/>
              </w:rPr>
              <w:t>14.3</w:t>
            </w:r>
          </w:p>
        </w:tc>
        <w:tc>
          <w:tcPr>
            <w:tcW w:w="2515" w:type="dxa"/>
            <w:tcBorders>
              <w:top w:val="single" w:sz="4" w:space="0" w:color="1F61AA"/>
              <w:left w:val="nil"/>
              <w:bottom w:val="single" w:sz="4" w:space="0" w:color="1F61AA"/>
              <w:right w:val="nil"/>
            </w:tcBorders>
            <w:shd w:val="clear" w:color="auto" w:fill="FFFFFF"/>
            <w:vAlign w:val="center"/>
          </w:tcPr>
          <w:p w:rsidR="005225B5" w:rsidRPr="006263CF" w:rsidRDefault="005225B5" w:rsidP="001F691B">
            <w:pPr>
              <w:jc w:val="center"/>
              <w:rPr>
                <w:rFonts w:asciiTheme="minorHAnsi" w:hAnsiTheme="minorHAnsi" w:cstheme="minorHAnsi"/>
                <w:sz w:val="18"/>
              </w:rPr>
            </w:pPr>
            <w:r w:rsidRPr="006263CF">
              <w:rPr>
                <w:rFonts w:asciiTheme="minorHAnsi" w:hAnsiTheme="minorHAnsi" w:cstheme="minorHAnsi"/>
                <w:color w:val="000000"/>
                <w:szCs w:val="22"/>
              </w:rPr>
              <w:t>[10.1, 20.7]</w:t>
            </w:r>
          </w:p>
        </w:tc>
        <w:tc>
          <w:tcPr>
            <w:tcW w:w="1243" w:type="dxa"/>
            <w:tcBorders>
              <w:top w:val="nil"/>
              <w:left w:val="nil"/>
              <w:bottom w:val="nil"/>
              <w:right w:val="nil"/>
            </w:tcBorders>
            <w:shd w:val="clear" w:color="auto" w:fill="FFFFFF"/>
          </w:tcPr>
          <w:p w:rsidR="005225B5" w:rsidRPr="006263CF" w:rsidRDefault="005225B5" w:rsidP="006263CF">
            <w:pPr>
              <w:rPr>
                <w:rFonts w:asciiTheme="minorHAnsi" w:hAnsiTheme="minorHAnsi" w:cstheme="minorHAnsi"/>
                <w:sz w:val="18"/>
              </w:rPr>
            </w:pPr>
          </w:p>
        </w:tc>
      </w:tr>
      <w:tr w:rsidR="005225B5" w:rsidRPr="006263CF" w:rsidTr="001F691B">
        <w:trPr>
          <w:trHeight w:hRule="exact" w:val="432"/>
        </w:trPr>
        <w:tc>
          <w:tcPr>
            <w:tcW w:w="1234" w:type="dxa"/>
            <w:tcBorders>
              <w:top w:val="nil"/>
              <w:left w:val="nil"/>
              <w:bottom w:val="nil"/>
              <w:right w:val="nil"/>
            </w:tcBorders>
            <w:shd w:val="clear" w:color="auto" w:fill="FFFFFF"/>
          </w:tcPr>
          <w:p w:rsidR="005225B5" w:rsidRPr="006263CF" w:rsidRDefault="005225B5" w:rsidP="006263CF">
            <w:pPr>
              <w:rPr>
                <w:rFonts w:asciiTheme="minorHAnsi" w:hAnsiTheme="minorHAnsi" w:cstheme="minorHAnsi"/>
                <w:sz w:val="18"/>
              </w:rPr>
            </w:pPr>
          </w:p>
        </w:tc>
        <w:tc>
          <w:tcPr>
            <w:tcW w:w="2894" w:type="dxa"/>
            <w:tcBorders>
              <w:top w:val="single" w:sz="4" w:space="0" w:color="1F61AA"/>
              <w:left w:val="nil"/>
              <w:bottom w:val="single" w:sz="4" w:space="0" w:color="1F61AA"/>
              <w:right w:val="nil"/>
            </w:tcBorders>
            <w:shd w:val="clear" w:color="auto" w:fill="FFFFFF"/>
            <w:vAlign w:val="center"/>
          </w:tcPr>
          <w:p w:rsidR="005225B5" w:rsidRPr="006263CF" w:rsidRDefault="005225B5" w:rsidP="001F691B">
            <w:pPr>
              <w:ind w:left="43"/>
              <w:rPr>
                <w:rFonts w:asciiTheme="minorHAnsi" w:hAnsiTheme="minorHAnsi" w:cstheme="minorHAnsi"/>
                <w:sz w:val="18"/>
              </w:rPr>
            </w:pPr>
            <w:r w:rsidRPr="006263CF">
              <w:rPr>
                <w:rFonts w:asciiTheme="minorHAnsi" w:hAnsiTheme="minorHAnsi" w:cstheme="minorHAnsi"/>
                <w:i/>
                <w:iCs/>
                <w:color w:val="000000"/>
                <w:szCs w:val="22"/>
              </w:rPr>
              <w:t>Тіоацетазон</w:t>
            </w:r>
          </w:p>
        </w:tc>
        <w:tc>
          <w:tcPr>
            <w:tcW w:w="1301" w:type="dxa"/>
            <w:tcBorders>
              <w:top w:val="single" w:sz="4" w:space="0" w:color="1F61AA"/>
              <w:left w:val="nil"/>
              <w:bottom w:val="single" w:sz="4" w:space="0" w:color="1F61AA"/>
              <w:right w:val="nil"/>
            </w:tcBorders>
            <w:shd w:val="clear" w:color="auto" w:fill="FFFFFF"/>
            <w:vAlign w:val="center"/>
          </w:tcPr>
          <w:p w:rsidR="005225B5" w:rsidRPr="006263CF" w:rsidRDefault="005225B5" w:rsidP="001F691B">
            <w:pPr>
              <w:jc w:val="center"/>
              <w:rPr>
                <w:rFonts w:asciiTheme="minorHAnsi" w:hAnsiTheme="minorHAnsi" w:cstheme="minorHAnsi"/>
                <w:sz w:val="18"/>
              </w:rPr>
            </w:pPr>
            <w:r w:rsidRPr="006263CF">
              <w:rPr>
                <w:rFonts w:asciiTheme="minorHAnsi" w:hAnsiTheme="minorHAnsi" w:cstheme="minorHAnsi"/>
                <w:color w:val="000000"/>
                <w:szCs w:val="22"/>
              </w:rPr>
              <w:t>14.6</w:t>
            </w:r>
          </w:p>
        </w:tc>
        <w:tc>
          <w:tcPr>
            <w:tcW w:w="2515" w:type="dxa"/>
            <w:tcBorders>
              <w:top w:val="single" w:sz="4" w:space="0" w:color="1F61AA"/>
              <w:left w:val="nil"/>
              <w:bottom w:val="single" w:sz="4" w:space="0" w:color="1F61AA"/>
              <w:right w:val="nil"/>
            </w:tcBorders>
            <w:shd w:val="clear" w:color="auto" w:fill="FFFFFF"/>
            <w:vAlign w:val="center"/>
          </w:tcPr>
          <w:p w:rsidR="005225B5" w:rsidRPr="006263CF" w:rsidRDefault="005225B5" w:rsidP="001F691B">
            <w:pPr>
              <w:jc w:val="center"/>
              <w:rPr>
                <w:rFonts w:asciiTheme="minorHAnsi" w:hAnsiTheme="minorHAnsi" w:cstheme="minorHAnsi"/>
                <w:sz w:val="18"/>
              </w:rPr>
            </w:pPr>
            <w:r w:rsidRPr="006263CF">
              <w:rPr>
                <w:rFonts w:asciiTheme="minorHAnsi" w:hAnsiTheme="minorHAnsi" w:cstheme="minorHAnsi"/>
                <w:color w:val="000000"/>
                <w:szCs w:val="22"/>
              </w:rPr>
              <w:t>[4.9, 37.6]</w:t>
            </w:r>
          </w:p>
        </w:tc>
        <w:tc>
          <w:tcPr>
            <w:tcW w:w="1243" w:type="dxa"/>
            <w:tcBorders>
              <w:top w:val="nil"/>
              <w:left w:val="nil"/>
              <w:bottom w:val="nil"/>
              <w:right w:val="nil"/>
            </w:tcBorders>
            <w:shd w:val="clear" w:color="auto" w:fill="FFFFFF"/>
          </w:tcPr>
          <w:p w:rsidR="005225B5" w:rsidRPr="006263CF" w:rsidRDefault="005225B5" w:rsidP="006263CF">
            <w:pPr>
              <w:rPr>
                <w:rFonts w:asciiTheme="minorHAnsi" w:hAnsiTheme="minorHAnsi" w:cstheme="minorHAnsi"/>
                <w:sz w:val="18"/>
              </w:rPr>
            </w:pPr>
          </w:p>
        </w:tc>
      </w:tr>
      <w:tr w:rsidR="005225B5" w:rsidRPr="006263CF" w:rsidTr="001F691B">
        <w:trPr>
          <w:trHeight w:hRule="exact" w:val="437"/>
        </w:trPr>
        <w:tc>
          <w:tcPr>
            <w:tcW w:w="1234" w:type="dxa"/>
            <w:tcBorders>
              <w:top w:val="nil"/>
              <w:left w:val="nil"/>
              <w:right w:val="nil"/>
            </w:tcBorders>
            <w:shd w:val="clear" w:color="auto" w:fill="FFFFFF"/>
          </w:tcPr>
          <w:p w:rsidR="005225B5" w:rsidRPr="006263CF" w:rsidRDefault="005225B5" w:rsidP="006263CF">
            <w:pPr>
              <w:rPr>
                <w:rFonts w:asciiTheme="minorHAnsi" w:hAnsiTheme="minorHAnsi" w:cstheme="minorHAnsi"/>
                <w:sz w:val="18"/>
              </w:rPr>
            </w:pPr>
          </w:p>
        </w:tc>
        <w:tc>
          <w:tcPr>
            <w:tcW w:w="2894" w:type="dxa"/>
            <w:tcBorders>
              <w:top w:val="single" w:sz="4" w:space="0" w:color="1F61AA"/>
              <w:left w:val="nil"/>
              <w:bottom w:val="single" w:sz="4" w:space="0" w:color="1F61AA"/>
              <w:right w:val="nil"/>
            </w:tcBorders>
            <w:shd w:val="clear" w:color="auto" w:fill="FFFFFF"/>
            <w:vAlign w:val="center"/>
          </w:tcPr>
          <w:p w:rsidR="005225B5" w:rsidRPr="006263CF" w:rsidRDefault="005225B5" w:rsidP="001F691B">
            <w:pPr>
              <w:ind w:left="43"/>
              <w:rPr>
                <w:rFonts w:asciiTheme="minorHAnsi" w:hAnsiTheme="minorHAnsi" w:cstheme="minorHAnsi"/>
                <w:sz w:val="18"/>
              </w:rPr>
            </w:pPr>
            <w:r w:rsidRPr="006263CF">
              <w:rPr>
                <w:rFonts w:asciiTheme="minorHAnsi" w:hAnsiTheme="minorHAnsi" w:cstheme="minorHAnsi"/>
                <w:color w:val="000000"/>
                <w:szCs w:val="22"/>
              </w:rPr>
              <w:t>Лінезолід</w:t>
            </w:r>
          </w:p>
        </w:tc>
        <w:tc>
          <w:tcPr>
            <w:tcW w:w="1301" w:type="dxa"/>
            <w:tcBorders>
              <w:top w:val="single" w:sz="4" w:space="0" w:color="1F61AA"/>
              <w:left w:val="nil"/>
              <w:bottom w:val="single" w:sz="4" w:space="0" w:color="1F61AA"/>
              <w:right w:val="nil"/>
            </w:tcBorders>
            <w:shd w:val="clear" w:color="auto" w:fill="FFFFFF"/>
            <w:vAlign w:val="center"/>
          </w:tcPr>
          <w:p w:rsidR="005225B5" w:rsidRPr="006263CF" w:rsidRDefault="005225B5" w:rsidP="001F691B">
            <w:pPr>
              <w:jc w:val="center"/>
              <w:rPr>
                <w:rFonts w:asciiTheme="minorHAnsi" w:hAnsiTheme="minorHAnsi" w:cstheme="minorHAnsi"/>
                <w:sz w:val="18"/>
              </w:rPr>
            </w:pPr>
            <w:r w:rsidRPr="006263CF">
              <w:rPr>
                <w:rFonts w:asciiTheme="minorHAnsi" w:hAnsiTheme="minorHAnsi" w:cstheme="minorHAnsi"/>
                <w:color w:val="000000"/>
                <w:szCs w:val="22"/>
              </w:rPr>
              <w:t>17.2</w:t>
            </w:r>
          </w:p>
        </w:tc>
        <w:tc>
          <w:tcPr>
            <w:tcW w:w="2515" w:type="dxa"/>
            <w:tcBorders>
              <w:top w:val="single" w:sz="4" w:space="0" w:color="1F61AA"/>
              <w:left w:val="nil"/>
              <w:bottom w:val="single" w:sz="4" w:space="0" w:color="1F61AA"/>
              <w:right w:val="nil"/>
            </w:tcBorders>
            <w:shd w:val="clear" w:color="auto" w:fill="FFFFFF"/>
            <w:vAlign w:val="center"/>
          </w:tcPr>
          <w:p w:rsidR="005225B5" w:rsidRPr="006263CF" w:rsidRDefault="005225B5" w:rsidP="001F691B">
            <w:pPr>
              <w:jc w:val="center"/>
              <w:rPr>
                <w:rFonts w:asciiTheme="minorHAnsi" w:hAnsiTheme="minorHAnsi" w:cstheme="minorHAnsi"/>
                <w:sz w:val="18"/>
              </w:rPr>
            </w:pPr>
            <w:r w:rsidRPr="006263CF">
              <w:rPr>
                <w:rFonts w:asciiTheme="minorHAnsi" w:hAnsiTheme="minorHAnsi" w:cstheme="minorHAnsi"/>
                <w:color w:val="000000"/>
                <w:szCs w:val="22"/>
              </w:rPr>
              <w:t>[10.1, 27.0]</w:t>
            </w:r>
          </w:p>
        </w:tc>
        <w:tc>
          <w:tcPr>
            <w:tcW w:w="1243" w:type="dxa"/>
            <w:tcBorders>
              <w:top w:val="nil"/>
              <w:left w:val="nil"/>
              <w:right w:val="nil"/>
            </w:tcBorders>
            <w:shd w:val="clear" w:color="auto" w:fill="FFFFFF"/>
          </w:tcPr>
          <w:p w:rsidR="005225B5" w:rsidRPr="006263CF" w:rsidRDefault="005225B5" w:rsidP="006263CF">
            <w:pPr>
              <w:rPr>
                <w:rFonts w:asciiTheme="minorHAnsi" w:hAnsiTheme="minorHAnsi" w:cstheme="minorHAnsi"/>
                <w:sz w:val="18"/>
              </w:rPr>
            </w:pPr>
          </w:p>
        </w:tc>
      </w:tr>
      <w:tr w:rsidR="005225B5" w:rsidRPr="006263CF" w:rsidTr="001F691B">
        <w:trPr>
          <w:trHeight w:hRule="exact" w:val="1824"/>
        </w:trPr>
        <w:tc>
          <w:tcPr>
            <w:tcW w:w="9187" w:type="dxa"/>
            <w:gridSpan w:val="5"/>
            <w:tcBorders>
              <w:left w:val="nil"/>
              <w:bottom w:val="nil"/>
              <w:right w:val="nil"/>
            </w:tcBorders>
            <w:shd w:val="clear" w:color="auto" w:fill="FFFFFF"/>
          </w:tcPr>
          <w:p w:rsidR="005225B5" w:rsidRPr="006263CF" w:rsidRDefault="005225B5" w:rsidP="001F691B">
            <w:pPr>
              <w:spacing w:before="120"/>
              <w:rPr>
                <w:rFonts w:asciiTheme="minorHAnsi" w:hAnsiTheme="minorHAnsi" w:cstheme="minorHAnsi"/>
                <w:sz w:val="18"/>
              </w:rPr>
            </w:pPr>
            <w:r w:rsidRPr="006263CF">
              <w:rPr>
                <w:rFonts w:asciiTheme="minorHAnsi" w:hAnsiTheme="minorHAnsi" w:cstheme="minorHAnsi"/>
                <w:color w:val="000000"/>
                <w:sz w:val="14"/>
                <w:szCs w:val="16"/>
              </w:rPr>
              <w:t>ГРК: група з розробки керівництва; ІДП: індивідуальні дані пацієнтів.</w:t>
            </w:r>
          </w:p>
          <w:p w:rsidR="005225B5" w:rsidRPr="006263CF" w:rsidRDefault="005225B5" w:rsidP="001F691B">
            <w:pPr>
              <w:ind w:left="244" w:hanging="244"/>
              <w:jc w:val="both"/>
              <w:rPr>
                <w:rFonts w:asciiTheme="minorHAnsi" w:hAnsiTheme="minorHAnsi" w:cstheme="minorHAnsi"/>
                <w:sz w:val="18"/>
              </w:rPr>
            </w:pPr>
            <w:r w:rsidRPr="006263CF">
              <w:rPr>
                <w:rFonts w:asciiTheme="minorHAnsi" w:hAnsiTheme="minorHAnsi" w:cstheme="minorHAnsi"/>
                <w:color w:val="000000"/>
                <w:sz w:val="14"/>
                <w:szCs w:val="16"/>
                <w:vertAlign w:val="superscript"/>
              </w:rPr>
              <w:t>а</w:t>
            </w:r>
            <w:r w:rsidRPr="006263CF">
              <w:rPr>
                <w:rFonts w:asciiTheme="minorHAnsi" w:hAnsiTheme="minorHAnsi" w:cstheme="minorHAnsi"/>
                <w:color w:val="000000"/>
                <w:sz w:val="14"/>
                <w:szCs w:val="16"/>
              </w:rPr>
              <w:t xml:space="preserve"> </w:t>
            </w:r>
            <w:r w:rsidR="001F691B">
              <w:rPr>
                <w:rFonts w:asciiTheme="minorHAnsi" w:hAnsiTheme="minorHAnsi" w:cstheme="minorHAnsi"/>
                <w:color w:val="000000"/>
                <w:sz w:val="14"/>
                <w:szCs w:val="16"/>
              </w:rPr>
              <w:tab/>
            </w:r>
            <w:r w:rsidRPr="006263CF">
              <w:rPr>
                <w:rFonts w:asciiTheme="minorHAnsi" w:hAnsiTheme="minorHAnsi" w:cstheme="minorHAnsi"/>
                <w:color w:val="000000"/>
                <w:sz w:val="14"/>
                <w:szCs w:val="16"/>
              </w:rPr>
              <w:t>За допомогою мережевого метааналізу пацієнтів з ІДП 2016 року, для якого були зареєстровані небажані явища, що призводять до постійного припинення прийому протитуберкульозного препарату (27 досліджень) або класифіковані як 3-5 класи (3 дослідження). Незначні відмінності між остаточними оцінками, наведеними в підсумковій публікації (78), і значеннями, отриманими на момент складання ГРК, як показано в цій таблиці, обумовлені тим, що в публікації використовувався розширений набір даних - ці відмінності не мають жодного впливу на висновки, зроблені щодо використання цих лікарських препаратів. Для оцінки ризиків було недостатньо відомостей по деламаніду, іміпенем-циластатину і меропенему. Речовини, які не входять у групи A – C, виділені курсивом.</w:t>
            </w:r>
          </w:p>
        </w:tc>
      </w:tr>
    </w:tbl>
    <w:p w:rsidR="005225B5" w:rsidRPr="006263CF" w:rsidRDefault="005225B5" w:rsidP="006263CF">
      <w:pPr>
        <w:spacing w:before="374"/>
        <w:ind w:left="53"/>
        <w:rPr>
          <w:rFonts w:asciiTheme="minorHAnsi" w:hAnsiTheme="minorHAnsi" w:cstheme="minorHAnsi"/>
          <w:sz w:val="18"/>
        </w:rPr>
      </w:pPr>
      <w:bookmarkStart w:id="25" w:name="bookmark24"/>
      <w:r w:rsidRPr="006263CF">
        <w:rPr>
          <w:rFonts w:asciiTheme="minorHAnsi" w:hAnsiTheme="minorHAnsi" w:cstheme="minorHAnsi"/>
          <w:b/>
          <w:bCs/>
          <w:color w:val="1F61AA"/>
          <w:sz w:val="36"/>
          <w:szCs w:val="38"/>
        </w:rPr>
        <w:t>6</w:t>
      </w:r>
      <w:bookmarkEnd w:id="25"/>
      <w:r w:rsidRPr="006263CF">
        <w:rPr>
          <w:rFonts w:asciiTheme="minorHAnsi" w:hAnsiTheme="minorHAnsi" w:cstheme="minorHAnsi"/>
          <w:b/>
          <w:bCs/>
          <w:color w:val="1F61AA"/>
          <w:sz w:val="36"/>
          <w:szCs w:val="38"/>
        </w:rPr>
        <w:t>.3 Склад довгострокових схем лікування МР-ТБ</w:t>
      </w:r>
    </w:p>
    <w:p w:rsidR="005225B5" w:rsidRPr="006263CF" w:rsidRDefault="005225B5" w:rsidP="006263CF">
      <w:pPr>
        <w:spacing w:before="106"/>
        <w:ind w:left="53" w:right="62"/>
        <w:jc w:val="both"/>
        <w:rPr>
          <w:rFonts w:asciiTheme="minorHAnsi" w:hAnsiTheme="minorHAnsi" w:cstheme="minorHAnsi"/>
          <w:sz w:val="18"/>
        </w:rPr>
      </w:pPr>
      <w:r w:rsidRPr="006263CF">
        <w:rPr>
          <w:rFonts w:asciiTheme="minorHAnsi" w:hAnsiTheme="minorHAnsi" w:cstheme="minorHAnsi"/>
          <w:color w:val="000000"/>
          <w:szCs w:val="22"/>
        </w:rPr>
        <w:t>При розробці цих схем необхідно дотримуватися ряду основних принципів відповідно до найкращих наявних даних про склад схем лікування відповідно до останніх настанов ВООЗ (1).</w:t>
      </w:r>
    </w:p>
    <w:p w:rsidR="005225B5" w:rsidRPr="006263CF" w:rsidRDefault="005225B5" w:rsidP="006263CF">
      <w:pPr>
        <w:spacing w:before="264"/>
        <w:ind w:left="53"/>
        <w:rPr>
          <w:rFonts w:asciiTheme="minorHAnsi" w:hAnsiTheme="minorHAnsi" w:cstheme="minorHAnsi"/>
          <w:sz w:val="18"/>
        </w:rPr>
      </w:pPr>
      <w:r w:rsidRPr="006263CF">
        <w:rPr>
          <w:rFonts w:asciiTheme="minorHAnsi" w:hAnsiTheme="minorHAnsi" w:cstheme="minorHAnsi"/>
          <w:b/>
          <w:bCs/>
          <w:color w:val="1F61AA"/>
          <w:sz w:val="28"/>
          <w:szCs w:val="32"/>
        </w:rPr>
        <w:t>6.3.1 Вибір компонентів для довгострокових схем лікування МР-ТБ</w:t>
      </w:r>
    </w:p>
    <w:p w:rsidR="005225B5" w:rsidRPr="006263CF" w:rsidRDefault="005225B5" w:rsidP="006263CF">
      <w:pPr>
        <w:spacing w:before="125"/>
        <w:ind w:left="53" w:right="62"/>
        <w:jc w:val="both"/>
        <w:rPr>
          <w:rFonts w:asciiTheme="minorHAnsi" w:hAnsiTheme="minorHAnsi" w:cstheme="minorHAnsi"/>
          <w:sz w:val="18"/>
        </w:rPr>
      </w:pPr>
      <w:r w:rsidRPr="006263CF">
        <w:rPr>
          <w:rFonts w:asciiTheme="minorHAnsi" w:hAnsiTheme="minorHAnsi" w:cstheme="minorHAnsi"/>
          <w:color w:val="000000"/>
          <w:szCs w:val="22"/>
        </w:rPr>
        <w:t>При розробці довгострокових схем лікування МР-ТБ застосовується поетапний підхід (</w:t>
      </w:r>
      <w:r w:rsidRPr="006263CF">
        <w:rPr>
          <w:rFonts w:asciiTheme="minorHAnsi" w:hAnsiTheme="minorHAnsi" w:cstheme="minorHAnsi"/>
          <w:color w:val="1F61AA"/>
          <w:szCs w:val="22"/>
        </w:rPr>
        <w:t xml:space="preserve">Tаблиця 6.1 </w:t>
      </w:r>
      <w:r w:rsidRPr="006263CF">
        <w:rPr>
          <w:rFonts w:asciiTheme="minorHAnsi" w:hAnsiTheme="minorHAnsi" w:cstheme="minorHAnsi"/>
          <w:color w:val="000000"/>
          <w:szCs w:val="22"/>
        </w:rPr>
        <w:t xml:space="preserve">та </w:t>
      </w:r>
      <w:r w:rsidRPr="006263CF">
        <w:rPr>
          <w:rFonts w:asciiTheme="minorHAnsi" w:hAnsiTheme="minorHAnsi" w:cstheme="minorHAnsi"/>
          <w:color w:val="1F61AA"/>
          <w:szCs w:val="22"/>
        </w:rPr>
        <w:t>Таблиця 6.5</w:t>
      </w:r>
      <w:r w:rsidRPr="006263CF">
        <w:rPr>
          <w:rFonts w:asciiTheme="minorHAnsi" w:hAnsiTheme="minorHAnsi" w:cstheme="minorHAnsi"/>
          <w:color w:val="000000"/>
          <w:szCs w:val="22"/>
        </w:rPr>
        <w:t>). Ті ж принципи застосовуються при лікуванні пацієнтів з рифампіцин-резистентним туберкульозом, а також тих, хто володіє стійкістю до речовин другої лінії на додаток до МР-ТБ (включаючи ЛС-ТБ). Відбір препаратів проводиться в порядку пріоритетності на основі переглянутої класифікації компонентів схеми лікування, і перевага надається повністю пероральній схемі лікування.</w:t>
      </w:r>
    </w:p>
    <w:p w:rsidR="005225B5" w:rsidRPr="006263CF" w:rsidRDefault="005225B5" w:rsidP="006263CF">
      <w:pPr>
        <w:spacing w:before="125"/>
        <w:ind w:left="53" w:right="62"/>
        <w:jc w:val="both"/>
        <w:rPr>
          <w:rFonts w:asciiTheme="minorHAnsi" w:hAnsiTheme="minorHAnsi" w:cstheme="minorHAnsi"/>
          <w:sz w:val="18"/>
        </w:rPr>
        <w:sectPr w:rsidR="005225B5" w:rsidRPr="006263CF" w:rsidSect="001F691B">
          <w:pgSz w:w="11904" w:h="16838"/>
          <w:pgMar w:top="1387" w:right="1354" w:bottom="426" w:left="1363" w:header="708" w:footer="708" w:gutter="0"/>
          <w:cols w:space="60"/>
          <w:noEndnote/>
        </w:sectPr>
      </w:pPr>
    </w:p>
    <w:p w:rsidR="005225B5" w:rsidRPr="006263CF" w:rsidRDefault="005225B5" w:rsidP="006263CF">
      <w:pPr>
        <w:jc w:val="both"/>
        <w:rPr>
          <w:rFonts w:asciiTheme="minorHAnsi" w:hAnsiTheme="minorHAnsi" w:cstheme="minorHAnsi"/>
          <w:sz w:val="18"/>
        </w:rPr>
      </w:pPr>
      <w:r w:rsidRPr="006263CF">
        <w:rPr>
          <w:rFonts w:asciiTheme="minorHAnsi" w:hAnsiTheme="minorHAnsi" w:cstheme="minorHAnsi"/>
          <w:color w:val="000000"/>
          <w:szCs w:val="22"/>
        </w:rPr>
        <w:lastRenderedPageBreak/>
        <w:t xml:space="preserve">Аналіз, проведений для консолідованих настанов ВООЗ, підтверджує нинішню рекомендацію про те, що більшість пацієнтів можуть бути успішно вилікувані по схемі лікування, що починається з чотирьох препаратів, які, цілком, будуть ефективними або підтвердять свою ефективність. Якщо бедаквілін буде зупинений на 6 місяці лікування, то для лікування в схемі все одно буде три ефективних препарати. Однак, якщо через токсичність необхідно припинити прийом ще одного препарату, то цей лікарський препарат необхідно буде замінити іншим, або ж можна продовжити лікування за допомогою бедаквіліну протягом усього курсу лікування з препарату за показаннями, не зазначеними в інструкції для медичного застосування. Якщо вибір полягає в заміні лікарського препарату, замість того, щоб продовжити застосування бедаквіліну, то лікарський препарат для заміни буде обраний або з групи В (якщо тільки в нього вже не входять і клофазимін, і циклосерин/теризідон), або з групи С. Вибір з групи С зазвичай визначається порядком ранжування лікарських препаратів, а також індивідуальними обставинами пацієнта і умовами. Недавній огляд даних спостережень не виявив будь-яких додаткових проблем з точки зору безпечності в тих випадках, коли бедаквілін використовувався протягом більше 6 місяців; однак не було ніяких переконливих доказів, які б свідчили про те, що довготривале використання сприяло підвищенню його ефективності. Тому лікарі можуть розглянути питання про продовження термін прийому бедаквіліну більш ніж на 6 місяців, а також про додавання деякої гнучкості при розробці схем лікування і кількості ефективних лікарських засобів </w:t>
      </w:r>
      <w:r w:rsidRPr="006263CF">
        <w:rPr>
          <w:rFonts w:asciiTheme="minorHAnsi" w:hAnsiTheme="minorHAnsi" w:cstheme="minorHAnsi"/>
          <w:i/>
          <w:iCs/>
          <w:color w:val="000000"/>
          <w:szCs w:val="22"/>
        </w:rPr>
        <w:t>(1)</w:t>
      </w:r>
      <w:r w:rsidRPr="006263CF">
        <w:rPr>
          <w:rFonts w:asciiTheme="minorHAnsi" w:hAnsiTheme="minorHAnsi" w:cstheme="minorHAnsi"/>
          <w:color w:val="000000"/>
          <w:szCs w:val="22"/>
        </w:rPr>
        <w:t>.</w:t>
      </w:r>
    </w:p>
    <w:p w:rsidR="005225B5" w:rsidRPr="006263CF" w:rsidRDefault="005225B5" w:rsidP="006263CF">
      <w:pPr>
        <w:spacing w:before="144"/>
        <w:jc w:val="both"/>
        <w:rPr>
          <w:rFonts w:asciiTheme="minorHAnsi" w:hAnsiTheme="minorHAnsi" w:cstheme="minorHAnsi"/>
          <w:sz w:val="18"/>
        </w:rPr>
      </w:pPr>
      <w:r w:rsidRPr="006263CF">
        <w:rPr>
          <w:rFonts w:asciiTheme="minorHAnsi" w:hAnsiTheme="minorHAnsi" w:cstheme="minorHAnsi"/>
          <w:color w:val="000000"/>
          <w:szCs w:val="22"/>
        </w:rPr>
        <w:t>Щоб звести до мінімуму необхідність заміни препаратів у схемі лікування, на додаток до можливості продовження терміну застосування бедаквіліну більш ніж на 6 місяців, можна починати схему лікування з п'яти препаратів замість чотирьох. Це збільшує ефект кількості отримуваних препаратів і ймовірність виникнення небажаних явищ, але це може бути виправдано, особливо в тих випадках, коли це необхідно:</w:t>
      </w:r>
    </w:p>
    <w:p w:rsidR="005225B5" w:rsidRPr="006263CF" w:rsidRDefault="005225B5" w:rsidP="006263CF">
      <w:pPr>
        <w:numPr>
          <w:ilvl w:val="0"/>
          <w:numId w:val="9"/>
        </w:numPr>
        <w:tabs>
          <w:tab w:val="left" w:pos="240"/>
        </w:tabs>
        <w:spacing w:before="149"/>
        <w:ind w:left="240" w:hanging="240"/>
        <w:rPr>
          <w:rFonts w:asciiTheme="minorHAnsi" w:eastAsia="Times New Roman" w:hAnsiTheme="minorHAnsi" w:cstheme="minorHAnsi"/>
          <w:color w:val="1F61AA"/>
          <w:szCs w:val="22"/>
        </w:rPr>
      </w:pPr>
      <w:r w:rsidRPr="006263CF">
        <w:rPr>
          <w:rFonts w:asciiTheme="minorHAnsi" w:hAnsiTheme="minorHAnsi" w:cstheme="minorHAnsi"/>
          <w:color w:val="000000"/>
          <w:szCs w:val="22"/>
        </w:rPr>
        <w:t>два з чотирьох препарати, ймовірно, будуть припинені до закінчення лікування (наприклад, якщо бедаквілін буде зупинений на 6 місяці і лінезолід буде зупинений раніше через токсичність);</w:t>
      </w:r>
    </w:p>
    <w:p w:rsidR="005225B5" w:rsidRPr="006263CF" w:rsidRDefault="005225B5" w:rsidP="006263CF">
      <w:pPr>
        <w:numPr>
          <w:ilvl w:val="0"/>
          <w:numId w:val="9"/>
        </w:numPr>
        <w:tabs>
          <w:tab w:val="left" w:pos="240"/>
        </w:tabs>
        <w:ind w:left="240" w:hanging="240"/>
        <w:rPr>
          <w:rFonts w:asciiTheme="minorHAnsi" w:eastAsia="Times New Roman" w:hAnsiTheme="minorHAnsi" w:cstheme="minorHAnsi"/>
          <w:color w:val="1F61AA"/>
          <w:szCs w:val="22"/>
        </w:rPr>
      </w:pPr>
      <w:r w:rsidRPr="006263CF">
        <w:rPr>
          <w:rFonts w:asciiTheme="minorHAnsi" w:hAnsiTheme="minorHAnsi" w:cstheme="minorHAnsi"/>
          <w:color w:val="000000"/>
          <w:szCs w:val="22"/>
        </w:rPr>
        <w:t>надійний ТМЧ недоступний для одного або декількох препаратів в схемі лікування, але фонова стійкість препаратів висока; і</w:t>
      </w:r>
    </w:p>
    <w:p w:rsidR="005225B5" w:rsidRPr="006263CF" w:rsidRDefault="005225B5" w:rsidP="006263CF">
      <w:pPr>
        <w:numPr>
          <w:ilvl w:val="0"/>
          <w:numId w:val="9"/>
        </w:numPr>
        <w:tabs>
          <w:tab w:val="left" w:pos="240"/>
        </w:tabs>
        <w:rPr>
          <w:rFonts w:asciiTheme="minorHAnsi" w:eastAsia="Times New Roman" w:hAnsiTheme="minorHAnsi" w:cstheme="minorHAnsi"/>
          <w:color w:val="1F61AA"/>
          <w:szCs w:val="22"/>
        </w:rPr>
      </w:pPr>
      <w:r w:rsidRPr="006263CF">
        <w:rPr>
          <w:rFonts w:asciiTheme="minorHAnsi" w:hAnsiTheme="minorHAnsi" w:cstheme="minorHAnsi"/>
          <w:color w:val="000000"/>
          <w:szCs w:val="22"/>
        </w:rPr>
        <w:t>схема лікування не може бути складеною, принаймні, з чотирьох ефективних препаратів з груп А і В.</w:t>
      </w:r>
    </w:p>
    <w:p w:rsidR="005225B5" w:rsidRPr="006263CF" w:rsidRDefault="005225B5" w:rsidP="006263CF">
      <w:pPr>
        <w:spacing w:before="144"/>
        <w:jc w:val="both"/>
        <w:rPr>
          <w:rFonts w:asciiTheme="minorHAnsi" w:hAnsiTheme="minorHAnsi" w:cstheme="minorHAnsi"/>
          <w:sz w:val="18"/>
        </w:rPr>
      </w:pPr>
      <w:r w:rsidRPr="006263CF">
        <w:rPr>
          <w:rFonts w:asciiTheme="minorHAnsi" w:hAnsiTheme="minorHAnsi" w:cstheme="minorHAnsi"/>
          <w:color w:val="000000"/>
          <w:szCs w:val="22"/>
        </w:rPr>
        <w:t xml:space="preserve">Часто може знадобитися підкоригувати схему після початку лікування, як тільки з'явиться додаткова інформація з історії хвороби або результати ТМЧ. Однак, якщо з'являються ознаки відсутності реакції або неминуча неефективність лікування, то схема повинна бути повністю переглянута, а не скоригована. Прийом лікарського препарату можна уникнути, якщо існує висока ймовірність того, що у пацієнта розвинулося або буде розвиватися протипоказання до нього. Протипоказання можуть залежати від наявності в анамнезі тяжких реакцій на лікарські препарати або пов'язаних з ним речовинами, від вагітності або грудного вигодовування, від спільного застосування певних лікарських препаратів, які можуть взаємодіяти або які можуть викликати токсичні властивості один одного(наприклад, подовження інтервалу QT), а також від проблем з функціонуванням цільових органів (наприклад, дисфункція нирок або печінки). </w:t>
      </w:r>
      <w:r w:rsidRPr="006263CF">
        <w:rPr>
          <w:rFonts w:asciiTheme="minorHAnsi" w:hAnsiTheme="minorHAnsi" w:cstheme="minorHAnsi"/>
          <w:sz w:val="18"/>
        </w:rPr>
        <w:t>У</w:t>
      </w:r>
      <w:r w:rsidRPr="006263CF">
        <w:rPr>
          <w:rFonts w:asciiTheme="minorHAnsi" w:hAnsiTheme="minorHAnsi" w:cstheme="minorHAnsi"/>
          <w:color w:val="1F61AA"/>
          <w:szCs w:val="22"/>
        </w:rPr>
        <w:t xml:space="preserve"> Вставці 6.2 </w:t>
      </w:r>
      <w:r w:rsidRPr="006263CF">
        <w:rPr>
          <w:rFonts w:asciiTheme="minorHAnsi" w:hAnsiTheme="minorHAnsi" w:cstheme="minorHAnsi"/>
          <w:color w:val="000000"/>
          <w:szCs w:val="22"/>
        </w:rPr>
        <w:t>викладено деякі головні особливості при виборі індивідуальних лікарських препаратів для довгострокової схеми лікування МР-ТБ.</w:t>
      </w:r>
    </w:p>
    <w:p w:rsidR="005225B5" w:rsidRPr="006263CF" w:rsidRDefault="005225B5" w:rsidP="006263CF">
      <w:pPr>
        <w:spacing w:before="149"/>
        <w:jc w:val="both"/>
        <w:rPr>
          <w:rFonts w:asciiTheme="minorHAnsi" w:hAnsiTheme="minorHAnsi" w:cstheme="minorHAnsi"/>
          <w:sz w:val="18"/>
        </w:rPr>
      </w:pPr>
      <w:r w:rsidRPr="006263CF">
        <w:rPr>
          <w:rFonts w:asciiTheme="minorHAnsi" w:hAnsiTheme="minorHAnsi" w:cstheme="minorHAnsi"/>
          <w:color w:val="000000"/>
          <w:szCs w:val="22"/>
        </w:rPr>
        <w:t>Інші випробування на стійкість до препаратів, таких як піразинамід, і на моделі мутацій, для зазвичай пов'язаного зі стійкістю до ізоніазиду і тіоамідів, може допомогти в інформуванні про склад схеми лікування. В даний час не існує затвердженого експрес-тесту на сприйнятливість до піразинаміду, і для отримання надійного результату може знадобитися кілька тижнів фенотипового тестування; рішення про включення або заміні піразинаміду не повинно затримувати початок лікування.</w:t>
      </w:r>
    </w:p>
    <w:p w:rsidR="005225B5" w:rsidRPr="006263CF" w:rsidRDefault="005225B5" w:rsidP="006263CF">
      <w:pPr>
        <w:spacing w:before="149"/>
        <w:jc w:val="both"/>
        <w:rPr>
          <w:rFonts w:asciiTheme="minorHAnsi" w:hAnsiTheme="minorHAnsi" w:cstheme="minorHAnsi"/>
          <w:sz w:val="18"/>
        </w:rPr>
        <w:sectPr w:rsidR="005225B5" w:rsidRPr="006263CF" w:rsidSect="001F691B">
          <w:pgSz w:w="11904" w:h="16838"/>
          <w:pgMar w:top="1349" w:right="1416" w:bottom="2694" w:left="1416"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9298"/>
      </w:tblGrid>
      <w:tr w:rsidR="005225B5" w:rsidRPr="006263CF" w:rsidTr="001F691B">
        <w:trPr>
          <w:trHeight w:hRule="exact" w:val="10346"/>
        </w:trPr>
        <w:tc>
          <w:tcPr>
            <w:tcW w:w="9298" w:type="dxa"/>
            <w:tcBorders>
              <w:top w:val="nil"/>
              <w:left w:val="nil"/>
              <w:bottom w:val="nil"/>
              <w:right w:val="nil"/>
            </w:tcBorders>
            <w:shd w:val="clear" w:color="auto" w:fill="FFFFFF"/>
          </w:tcPr>
          <w:p w:rsidR="005225B5" w:rsidRPr="006263CF" w:rsidRDefault="005225B5" w:rsidP="006263CF">
            <w:pPr>
              <w:rPr>
                <w:rFonts w:asciiTheme="minorHAnsi" w:hAnsiTheme="minorHAnsi" w:cstheme="minorHAnsi"/>
                <w:sz w:val="18"/>
              </w:rPr>
            </w:pPr>
            <w:r w:rsidRPr="006263CF">
              <w:rPr>
                <w:rFonts w:asciiTheme="minorHAnsi" w:hAnsiTheme="minorHAnsi" w:cstheme="minorHAnsi"/>
                <w:noProof/>
                <w:sz w:val="18"/>
              </w:rPr>
              <w:lastRenderedPageBreak/>
              <mc:AlternateContent>
                <mc:Choice Requires="wps">
                  <w:drawing>
                    <wp:anchor distT="0" distB="0" distL="114300" distR="114300" simplePos="0" relativeHeight="251674624" behindDoc="0" locked="0" layoutInCell="1" allowOverlap="1" wp14:anchorId="273F2173" wp14:editId="3BF302A8">
                      <wp:simplePos x="0" y="0"/>
                      <wp:positionH relativeFrom="page">
                        <wp:posOffset>121920</wp:posOffset>
                      </wp:positionH>
                      <wp:positionV relativeFrom="page">
                        <wp:posOffset>279400</wp:posOffset>
                      </wp:positionV>
                      <wp:extent cx="5400675" cy="365760"/>
                      <wp:effectExtent l="0" t="0" r="9525" b="0"/>
                      <wp:wrapNone/>
                      <wp:docPr id="11" name="Поле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365760"/>
                              </a:xfrm>
                              <a:prstGeom prst="rect">
                                <a:avLst/>
                              </a:prstGeom>
                              <a:solidFill>
                                <a:srgbClr val="1F61AA"/>
                              </a:solidFill>
                              <a:ln>
                                <a:noFill/>
                              </a:ln>
                              <a:extLst/>
                            </wps:spPr>
                            <wps:txbx>
                              <w:txbxContent>
                                <w:p w:rsidR="00395867" w:rsidRPr="001F691B" w:rsidRDefault="00395867" w:rsidP="00445738">
                                  <w:pPr>
                                    <w:rPr>
                                      <w:rFonts w:asciiTheme="minorHAnsi" w:hAnsiTheme="minorHAnsi" w:cstheme="minorHAnsi"/>
                                      <w:sz w:val="16"/>
                                    </w:rPr>
                                  </w:pPr>
                                  <w:r w:rsidRPr="001F691B">
                                    <w:rPr>
                                      <w:rFonts w:asciiTheme="minorHAnsi" w:hAnsiTheme="minorHAnsi" w:cstheme="minorHAnsi"/>
                                      <w:b/>
                                      <w:bCs/>
                                      <w:color w:val="FFFFFF"/>
                                      <w:sz w:val="22"/>
                                      <w:szCs w:val="22"/>
                                    </w:rPr>
                                    <w:t>Вставка 6.2. Фактори, які слід враховувати при виборі окремих лікарських препаратів для довгострокових схем лікування МР-ТБ</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3F2173" id="_x0000_s1033" type="#_x0000_t202" style="position:absolute;margin-left:9.6pt;margin-top:22pt;width:425.25pt;height:28.8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" fillcolor="#1f61aa" stroked="f">
                      <v:textbox inset="0,0,0,0">
                        <w:txbxContent>
                          <w:p w:rsidR="00395867" w:rsidRPr="001F691B" w:rsidRDefault="00395867" w:rsidP="00445738">
                            <w:pPr>
                              <w:rPr>
                                <w:rFonts w:asciiTheme="minorHAnsi" w:hAnsiTheme="minorHAnsi" w:cstheme="minorHAnsi"/>
                                <w:sz w:val="16"/>
                              </w:rPr>
                            </w:pPr>
                            <w:r w:rsidRPr="001F691B">
                              <w:rPr>
                                <w:rFonts w:asciiTheme="minorHAnsi" w:hAnsiTheme="minorHAnsi" w:cstheme="minorHAnsi"/>
                                <w:b/>
                                <w:bCs/>
                                <w:color w:val="FFFFFF"/>
                                <w:sz w:val="22"/>
                                <w:szCs w:val="22"/>
                              </w:rPr>
                              <w:t>Вставка 6.2. Фактори, які слід враховувати при виборі окремих лікарських препаратів для довгострокових схем лікування МР-ТБ</w:t>
                            </w:r>
                          </w:p>
                        </w:txbxContent>
                      </v:textbox>
                      <w10:wrap anchorx="page" anchory="page"/>
                    </v:shape>
                  </w:pict>
                </mc:Fallback>
              </mc:AlternateContent>
            </w:r>
            <w:r w:rsidRPr="006263CF">
              <w:rPr>
                <w:rFonts w:asciiTheme="minorHAnsi" w:hAnsiTheme="minorHAnsi" w:cstheme="minorHAnsi"/>
                <w:noProof/>
                <w:sz w:val="18"/>
              </w:rPr>
              <mc:AlternateContent>
                <mc:Choice Requires="wps">
                  <w:drawing>
                    <wp:anchor distT="0" distB="0" distL="114300" distR="114300" simplePos="0" relativeHeight="251673600" behindDoc="0" locked="0" layoutInCell="1" allowOverlap="1" wp14:anchorId="74B9C49D" wp14:editId="15B8B638">
                      <wp:simplePos x="0" y="0"/>
                      <wp:positionH relativeFrom="page">
                        <wp:posOffset>280670</wp:posOffset>
                      </wp:positionH>
                      <wp:positionV relativeFrom="page">
                        <wp:posOffset>780415</wp:posOffset>
                      </wp:positionV>
                      <wp:extent cx="5400675" cy="5510530"/>
                      <wp:effectExtent l="0" t="0" r="9525" b="0"/>
                      <wp:wrapNone/>
                      <wp:docPr id="10" name="Поле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0675" cy="5510530"/>
                              </a:xfrm>
                              <a:prstGeom prst="rect">
                                <a:avLst/>
                              </a:prstGeom>
                              <a:solidFill>
                                <a:srgbClr val="D7DBEE"/>
                              </a:solidFill>
                              <a:ln w="6350">
                                <a:noFill/>
                              </a:ln>
                              <a:effectLst/>
                            </wps:spPr>
                            <wps:txbx>
                              <w:txbxContent>
                                <w:p w:rsidR="00395867" w:rsidRPr="001F691B" w:rsidRDefault="00395867" w:rsidP="00445738">
                                  <w:pPr>
                                    <w:widowControl/>
                                    <w:numPr>
                                      <w:ilvl w:val="0"/>
                                      <w:numId w:val="27"/>
                                    </w:numPr>
                                    <w:spacing w:after="61"/>
                                    <w:ind w:left="567"/>
                                    <w:rPr>
                                      <w:rFonts w:asciiTheme="minorHAnsi" w:hAnsiTheme="minorHAnsi" w:cstheme="minorHAnsi"/>
                                      <w:color w:val="000000"/>
                                      <w:szCs w:val="22"/>
                                    </w:rPr>
                                  </w:pPr>
                                  <w:r w:rsidRPr="001F691B">
                                    <w:rPr>
                                      <w:rFonts w:asciiTheme="minorHAnsi" w:hAnsiTheme="minorHAnsi" w:cstheme="minorHAnsi"/>
                                      <w:color w:val="000000"/>
                                      <w:szCs w:val="22"/>
                                    </w:rPr>
                                    <w:t xml:space="preserve">Результати ТМЧ, переважно виконуються в лабораторії, що бере участь у зовнішній програмі контролю якості, з використанням затверджених генотипових або фенотипових методів. </w:t>
                                  </w:r>
                                </w:p>
                                <w:p w:rsidR="00395867" w:rsidRPr="001F691B" w:rsidRDefault="00395867" w:rsidP="00445738">
                                  <w:pPr>
                                    <w:widowControl/>
                                    <w:numPr>
                                      <w:ilvl w:val="0"/>
                                      <w:numId w:val="27"/>
                                    </w:numPr>
                                    <w:spacing w:after="61"/>
                                    <w:ind w:left="567"/>
                                    <w:rPr>
                                      <w:rFonts w:asciiTheme="minorHAnsi" w:hAnsiTheme="minorHAnsi" w:cstheme="minorHAnsi"/>
                                      <w:color w:val="000000"/>
                                      <w:szCs w:val="22"/>
                                    </w:rPr>
                                  </w:pPr>
                                  <w:r w:rsidRPr="001F691B">
                                    <w:rPr>
                                      <w:rFonts w:asciiTheme="minorHAnsi" w:hAnsiTheme="minorHAnsi" w:cstheme="minorHAnsi"/>
                                      <w:color w:val="000000"/>
                                      <w:szCs w:val="22"/>
                                    </w:rPr>
                                    <w:t xml:space="preserve">Клінічний стан пацієнта і форма туберкульозу (наприклад, позалегеневий туберкульоз і його тяжкість, особливо ТБ ЦНС). </w:t>
                                  </w:r>
                                </w:p>
                                <w:p w:rsidR="00395867" w:rsidRPr="001F691B" w:rsidRDefault="00395867" w:rsidP="00445738">
                                  <w:pPr>
                                    <w:widowControl/>
                                    <w:numPr>
                                      <w:ilvl w:val="0"/>
                                      <w:numId w:val="27"/>
                                    </w:numPr>
                                    <w:spacing w:after="61"/>
                                    <w:ind w:left="567"/>
                                    <w:rPr>
                                      <w:rFonts w:asciiTheme="minorHAnsi" w:hAnsiTheme="minorHAnsi" w:cstheme="minorHAnsi"/>
                                      <w:color w:val="000000"/>
                                      <w:szCs w:val="22"/>
                                    </w:rPr>
                                  </w:pPr>
                                  <w:r w:rsidRPr="001F691B">
                                    <w:rPr>
                                      <w:rFonts w:asciiTheme="minorHAnsi" w:hAnsiTheme="minorHAnsi" w:cstheme="minorHAnsi"/>
                                      <w:color w:val="000000"/>
                                      <w:szCs w:val="22"/>
                                    </w:rPr>
                                    <w:t xml:space="preserve">Анамнез попередніх випадків застосування лікарських препаратів 1-ї або 2-ї лінії, що використовуються для лікування туберкульозу, у даного конкретного пацієнта (якщо раніше проліковані пацієнти ). </w:t>
                                  </w:r>
                                </w:p>
                                <w:p w:rsidR="00395867" w:rsidRPr="001F691B" w:rsidRDefault="00395867" w:rsidP="00445738">
                                  <w:pPr>
                                    <w:widowControl/>
                                    <w:numPr>
                                      <w:ilvl w:val="0"/>
                                      <w:numId w:val="27"/>
                                    </w:numPr>
                                    <w:spacing w:after="61"/>
                                    <w:ind w:left="567"/>
                                    <w:rPr>
                                      <w:rFonts w:asciiTheme="minorHAnsi" w:hAnsiTheme="minorHAnsi" w:cstheme="minorHAnsi"/>
                                      <w:color w:val="000000"/>
                                      <w:szCs w:val="22"/>
                                    </w:rPr>
                                  </w:pPr>
                                  <w:r w:rsidRPr="001F691B">
                                    <w:rPr>
                                      <w:rFonts w:asciiTheme="minorHAnsi" w:hAnsiTheme="minorHAnsi" w:cstheme="minorHAnsi"/>
                                      <w:color w:val="000000"/>
                                      <w:szCs w:val="22"/>
                                    </w:rPr>
                                    <w:t xml:space="preserve">Пацієнт і лікар віддають перевагу конкретній схемі лікування. </w:t>
                                  </w:r>
                                </w:p>
                                <w:p w:rsidR="00395867" w:rsidRPr="001F691B" w:rsidRDefault="00395867" w:rsidP="00445738">
                                  <w:pPr>
                                    <w:widowControl/>
                                    <w:numPr>
                                      <w:ilvl w:val="0"/>
                                      <w:numId w:val="27"/>
                                    </w:numPr>
                                    <w:spacing w:after="61"/>
                                    <w:ind w:left="567"/>
                                    <w:rPr>
                                      <w:rFonts w:asciiTheme="minorHAnsi" w:hAnsiTheme="minorHAnsi" w:cstheme="minorHAnsi"/>
                                      <w:color w:val="000000"/>
                                      <w:szCs w:val="22"/>
                                    </w:rPr>
                                  </w:pPr>
                                  <w:r w:rsidRPr="001F691B">
                                    <w:rPr>
                                      <w:rFonts w:asciiTheme="minorHAnsi" w:hAnsiTheme="minorHAnsi" w:cstheme="minorHAnsi"/>
                                      <w:color w:val="000000"/>
                                      <w:szCs w:val="22"/>
                                    </w:rPr>
                                    <w:t xml:space="preserve">Поточне і раннє застосування лікарських препаратів, які регулярно використовуються у схемі лікування МР-ТБ за кордоном або в країні походження пацієнта. Що стосується мігрантів, то, можливо, буде потрібно розглянути нинішні і історичні моделі використання лікарських препаратів в країні походження мігрантів, а також в країні проживання пацієнта. </w:t>
                                  </w:r>
                                </w:p>
                                <w:p w:rsidR="00395867" w:rsidRPr="001F691B" w:rsidRDefault="00395867" w:rsidP="00445738">
                                  <w:pPr>
                                    <w:widowControl/>
                                    <w:numPr>
                                      <w:ilvl w:val="0"/>
                                      <w:numId w:val="27"/>
                                    </w:numPr>
                                    <w:spacing w:after="61"/>
                                    <w:ind w:left="567"/>
                                    <w:rPr>
                                      <w:rFonts w:asciiTheme="minorHAnsi" w:hAnsiTheme="minorHAnsi" w:cstheme="minorHAnsi"/>
                                      <w:color w:val="000000"/>
                                      <w:szCs w:val="22"/>
                                    </w:rPr>
                                  </w:pPr>
                                  <w:r w:rsidRPr="001F691B">
                                    <w:rPr>
                                      <w:rFonts w:asciiTheme="minorHAnsi" w:hAnsiTheme="minorHAnsi" w:cstheme="minorHAnsi"/>
                                      <w:color w:val="000000"/>
                                      <w:szCs w:val="22"/>
                                    </w:rPr>
                                    <w:t xml:space="preserve">Поширеність лікарської стійкості, виявлена в результаті рутинного або періодичного спостереження в країні (наприклад, шляхом регулярного лабораторного спостереження або періодичних оцінок медикаментозної резистентності), розбивається на нові і повторні випадки, якщо надійна ТМЧ не може бути виконана в відношенні окремих пацієнтів. </w:t>
                                  </w:r>
                                </w:p>
                                <w:p w:rsidR="00395867" w:rsidRPr="001F691B" w:rsidRDefault="00395867" w:rsidP="00445738">
                                  <w:pPr>
                                    <w:widowControl/>
                                    <w:numPr>
                                      <w:ilvl w:val="0"/>
                                      <w:numId w:val="27"/>
                                    </w:numPr>
                                    <w:spacing w:after="61"/>
                                    <w:ind w:left="567"/>
                                    <w:rPr>
                                      <w:rFonts w:asciiTheme="minorHAnsi" w:hAnsiTheme="minorHAnsi" w:cstheme="minorHAnsi"/>
                                      <w:color w:val="000000"/>
                                      <w:szCs w:val="22"/>
                                    </w:rPr>
                                  </w:pPr>
                                  <w:r w:rsidRPr="001F691B">
                                    <w:rPr>
                                      <w:rFonts w:asciiTheme="minorHAnsi" w:hAnsiTheme="minorHAnsi" w:cstheme="minorHAnsi"/>
                                      <w:color w:val="000000"/>
                                      <w:szCs w:val="22"/>
                                    </w:rPr>
                                    <w:t xml:space="preserve">Відомі протипоказання, такі як алергія, вагітність або грудне вигодовування, а також наявність супутніх захворювань. </w:t>
                                  </w:r>
                                </w:p>
                                <w:p w:rsidR="00395867" w:rsidRPr="001F691B" w:rsidRDefault="00395867" w:rsidP="00445738">
                                  <w:pPr>
                                    <w:widowControl/>
                                    <w:numPr>
                                      <w:ilvl w:val="0"/>
                                      <w:numId w:val="27"/>
                                    </w:numPr>
                                    <w:spacing w:after="61"/>
                                    <w:ind w:left="567"/>
                                    <w:rPr>
                                      <w:rFonts w:asciiTheme="minorHAnsi" w:hAnsiTheme="minorHAnsi" w:cstheme="minorHAnsi"/>
                                      <w:color w:val="000000"/>
                                      <w:szCs w:val="22"/>
                                    </w:rPr>
                                  </w:pPr>
                                  <w:r w:rsidRPr="001F691B">
                                    <w:rPr>
                                      <w:rFonts w:asciiTheme="minorHAnsi" w:hAnsiTheme="minorHAnsi" w:cstheme="minorHAnsi"/>
                                      <w:color w:val="000000"/>
                                      <w:szCs w:val="22"/>
                                    </w:rPr>
                                    <w:t xml:space="preserve">Якщо пацієнт знаходиться в тісному або побутовому контакті з бактеріологічно- підтвердженим випадком туберкульозу, то необхідний профіль медикаментозної стійкості нульового пацієнта. </w:t>
                                  </w:r>
                                </w:p>
                                <w:p w:rsidR="00395867" w:rsidRPr="001F691B" w:rsidRDefault="00395867" w:rsidP="00445738">
                                  <w:pPr>
                                    <w:widowControl/>
                                    <w:numPr>
                                      <w:ilvl w:val="0"/>
                                      <w:numId w:val="27"/>
                                    </w:numPr>
                                    <w:spacing w:after="61"/>
                                    <w:ind w:left="567"/>
                                    <w:rPr>
                                      <w:rFonts w:asciiTheme="minorHAnsi" w:hAnsiTheme="minorHAnsi" w:cstheme="minorHAnsi"/>
                                      <w:color w:val="000000"/>
                                      <w:szCs w:val="22"/>
                                    </w:rPr>
                                  </w:pPr>
                                  <w:r w:rsidRPr="001F691B">
                                    <w:rPr>
                                      <w:rFonts w:asciiTheme="minorHAnsi" w:hAnsiTheme="minorHAnsi" w:cstheme="minorHAnsi"/>
                                      <w:color w:val="000000"/>
                                      <w:szCs w:val="22"/>
                                    </w:rPr>
                                    <w:t xml:space="preserve">Оперативні міркування, такі як наявність лікарських препаратів, можливість моніторингу небажаних явищ і наявність необхідних інструментів для подальших дій і моніторингу. В деяких випадках, засоби для моніторингу небажаних явищ деяких лікарських препаратів можуть бути недоступні, однак пацієнтам немає необхідності чекати, поки всі необхідні елементи будуть доступні; щоб вони могли почати отримувати користь від лікування, яке рятує життя. </w:t>
                                  </w:r>
                                </w:p>
                                <w:p w:rsidR="00395867" w:rsidRPr="001F691B" w:rsidRDefault="00395867" w:rsidP="00445738">
                                  <w:pPr>
                                    <w:widowControl/>
                                    <w:numPr>
                                      <w:ilvl w:val="0"/>
                                      <w:numId w:val="27"/>
                                    </w:numPr>
                                    <w:spacing w:after="61"/>
                                    <w:ind w:left="567"/>
                                    <w:rPr>
                                      <w:rFonts w:asciiTheme="minorHAnsi" w:hAnsiTheme="minorHAnsi" w:cstheme="minorHAnsi"/>
                                      <w:color w:val="000000"/>
                                      <w:szCs w:val="22"/>
                                    </w:rPr>
                                  </w:pPr>
                                  <w:r w:rsidRPr="001F691B">
                                    <w:rPr>
                                      <w:rFonts w:asciiTheme="minorHAnsi" w:hAnsiTheme="minorHAnsi" w:cstheme="minorHAnsi"/>
                                      <w:color w:val="000000"/>
                                      <w:szCs w:val="22"/>
                                    </w:rPr>
                                    <w:t xml:space="preserve">Потенціал, або анамнез, токсичності, непереносимості (крім алергії) і лікарської взаємодії. </w:t>
                                  </w:r>
                                </w:p>
                                <w:p w:rsidR="00395867" w:rsidRPr="001F691B" w:rsidRDefault="00395867" w:rsidP="00445738">
                                  <w:pPr>
                                    <w:widowControl/>
                                    <w:numPr>
                                      <w:ilvl w:val="0"/>
                                      <w:numId w:val="27"/>
                                    </w:numPr>
                                    <w:ind w:left="567"/>
                                    <w:rPr>
                                      <w:rFonts w:asciiTheme="minorHAnsi" w:hAnsiTheme="minorHAnsi" w:cstheme="minorHAnsi"/>
                                      <w:color w:val="000000"/>
                                      <w:szCs w:val="22"/>
                                    </w:rPr>
                                  </w:pPr>
                                  <w:r w:rsidRPr="001F691B">
                                    <w:rPr>
                                      <w:rFonts w:asciiTheme="minorHAnsi" w:hAnsiTheme="minorHAnsi" w:cstheme="minorHAnsi"/>
                                      <w:color w:val="000000"/>
                                      <w:szCs w:val="22"/>
                                    </w:rPr>
                                    <w:t xml:space="preserve">У дітей, вік дитини і доступні рецепти. </w:t>
                                  </w:r>
                                </w:p>
                                <w:p w:rsidR="00395867" w:rsidRPr="001F691B" w:rsidRDefault="00395867">
                                  <w:pPr>
                                    <w:rPr>
                                      <w:rFonts w:asciiTheme="minorHAnsi" w:hAnsiTheme="minorHAnsi" w:cstheme="minorHAnsi"/>
                                      <w:sz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9C49D" id="_x0000_s1034" type="#_x0000_t202" style="position:absolute;margin-left:22.1pt;margin-top:61.45pt;width:425.25pt;height:433.9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" fillcolor="#d7dbee" stroked="f" strokeweight=".5pt">
                      <v:textbox inset="0,0,0,0">
                        <w:txbxContent>
                          <w:p w:rsidR="00395867" w:rsidRPr="001F691B" w:rsidRDefault="00395867" w:rsidP="00445738">
                            <w:pPr>
                              <w:widowControl/>
                              <w:numPr>
                                <w:ilvl w:val="0"/>
                                <w:numId w:val="27"/>
                              </w:numPr>
                              <w:spacing w:after="61"/>
                              <w:ind w:left="567"/>
                              <w:rPr>
                                <w:rFonts w:asciiTheme="minorHAnsi" w:hAnsiTheme="minorHAnsi" w:cstheme="minorHAnsi"/>
                                <w:color w:val="000000"/>
                                <w:szCs w:val="22"/>
                              </w:rPr>
                            </w:pPr>
                            <w:r w:rsidRPr="001F691B">
                              <w:rPr>
                                <w:rFonts w:asciiTheme="minorHAnsi" w:hAnsiTheme="minorHAnsi" w:cstheme="minorHAnsi"/>
                                <w:color w:val="000000"/>
                                <w:szCs w:val="22"/>
                              </w:rPr>
                              <w:t xml:space="preserve">Результати ТМЧ, переважно виконуються в лабораторії, що бере участь у зовнішній програмі контролю якості, з використанням затверджених генотипових або фенотипових методів. </w:t>
                            </w:r>
                          </w:p>
                          <w:p w:rsidR="00395867" w:rsidRPr="001F691B" w:rsidRDefault="00395867" w:rsidP="00445738">
                            <w:pPr>
                              <w:widowControl/>
                              <w:numPr>
                                <w:ilvl w:val="0"/>
                                <w:numId w:val="27"/>
                              </w:numPr>
                              <w:spacing w:after="61"/>
                              <w:ind w:left="567"/>
                              <w:rPr>
                                <w:rFonts w:asciiTheme="minorHAnsi" w:hAnsiTheme="minorHAnsi" w:cstheme="minorHAnsi"/>
                                <w:color w:val="000000"/>
                                <w:szCs w:val="22"/>
                              </w:rPr>
                            </w:pPr>
                            <w:r w:rsidRPr="001F691B">
                              <w:rPr>
                                <w:rFonts w:asciiTheme="minorHAnsi" w:hAnsiTheme="minorHAnsi" w:cstheme="minorHAnsi"/>
                                <w:color w:val="000000"/>
                                <w:szCs w:val="22"/>
                              </w:rPr>
                              <w:t xml:space="preserve">Клінічний стан пацієнта і форма туберкульозу (наприклад, позалегеневий туберкульоз і його тяжкість, особливо ТБ ЦНС). </w:t>
                            </w:r>
                          </w:p>
                          <w:p w:rsidR="00395867" w:rsidRPr="001F691B" w:rsidRDefault="00395867" w:rsidP="00445738">
                            <w:pPr>
                              <w:widowControl/>
                              <w:numPr>
                                <w:ilvl w:val="0"/>
                                <w:numId w:val="27"/>
                              </w:numPr>
                              <w:spacing w:after="61"/>
                              <w:ind w:left="567"/>
                              <w:rPr>
                                <w:rFonts w:asciiTheme="minorHAnsi" w:hAnsiTheme="minorHAnsi" w:cstheme="minorHAnsi"/>
                                <w:color w:val="000000"/>
                                <w:szCs w:val="22"/>
                              </w:rPr>
                            </w:pPr>
                            <w:r w:rsidRPr="001F691B">
                              <w:rPr>
                                <w:rFonts w:asciiTheme="minorHAnsi" w:hAnsiTheme="minorHAnsi" w:cstheme="minorHAnsi"/>
                                <w:color w:val="000000"/>
                                <w:szCs w:val="22"/>
                              </w:rPr>
                              <w:t xml:space="preserve">Анамнез попередніх випадків застосування лікарських препаратів 1-ї або 2-ї лінії, що використовуються для лікування туберкульозу, у даного конкретного пацієнта (якщо раніше проліковані пацієнти ). </w:t>
                            </w:r>
                          </w:p>
                          <w:p w:rsidR="00395867" w:rsidRPr="001F691B" w:rsidRDefault="00395867" w:rsidP="00445738">
                            <w:pPr>
                              <w:widowControl/>
                              <w:numPr>
                                <w:ilvl w:val="0"/>
                                <w:numId w:val="27"/>
                              </w:numPr>
                              <w:spacing w:after="61"/>
                              <w:ind w:left="567"/>
                              <w:rPr>
                                <w:rFonts w:asciiTheme="minorHAnsi" w:hAnsiTheme="minorHAnsi" w:cstheme="minorHAnsi"/>
                                <w:color w:val="000000"/>
                                <w:szCs w:val="22"/>
                              </w:rPr>
                            </w:pPr>
                            <w:r w:rsidRPr="001F691B">
                              <w:rPr>
                                <w:rFonts w:asciiTheme="minorHAnsi" w:hAnsiTheme="minorHAnsi" w:cstheme="minorHAnsi"/>
                                <w:color w:val="000000"/>
                                <w:szCs w:val="22"/>
                              </w:rPr>
                              <w:t xml:space="preserve">Пацієнт і лікар віддають перевагу конкретній схемі лікування. </w:t>
                            </w:r>
                          </w:p>
                          <w:p w:rsidR="00395867" w:rsidRPr="001F691B" w:rsidRDefault="00395867" w:rsidP="00445738">
                            <w:pPr>
                              <w:widowControl/>
                              <w:numPr>
                                <w:ilvl w:val="0"/>
                                <w:numId w:val="27"/>
                              </w:numPr>
                              <w:spacing w:after="61"/>
                              <w:ind w:left="567"/>
                              <w:rPr>
                                <w:rFonts w:asciiTheme="minorHAnsi" w:hAnsiTheme="minorHAnsi" w:cstheme="minorHAnsi"/>
                                <w:color w:val="000000"/>
                                <w:szCs w:val="22"/>
                              </w:rPr>
                            </w:pPr>
                            <w:r w:rsidRPr="001F691B">
                              <w:rPr>
                                <w:rFonts w:asciiTheme="minorHAnsi" w:hAnsiTheme="minorHAnsi" w:cstheme="minorHAnsi"/>
                                <w:color w:val="000000"/>
                                <w:szCs w:val="22"/>
                              </w:rPr>
                              <w:t xml:space="preserve">Поточне і раннє застосування лікарських препаратів, які регулярно використовуються у схемі лікування МР-ТБ за кордоном або в країні походження пацієнта. Що стосується мігрантів, то, можливо, буде потрібно розглянути нинішні і історичні моделі використання лікарських препаратів в країні походження мігрантів, а також в країні проживання пацієнта. </w:t>
                            </w:r>
                          </w:p>
                          <w:p w:rsidR="00395867" w:rsidRPr="001F691B" w:rsidRDefault="00395867" w:rsidP="00445738">
                            <w:pPr>
                              <w:widowControl/>
                              <w:numPr>
                                <w:ilvl w:val="0"/>
                                <w:numId w:val="27"/>
                              </w:numPr>
                              <w:spacing w:after="61"/>
                              <w:ind w:left="567"/>
                              <w:rPr>
                                <w:rFonts w:asciiTheme="minorHAnsi" w:hAnsiTheme="minorHAnsi" w:cstheme="minorHAnsi"/>
                                <w:color w:val="000000"/>
                                <w:szCs w:val="22"/>
                              </w:rPr>
                            </w:pPr>
                            <w:r w:rsidRPr="001F691B">
                              <w:rPr>
                                <w:rFonts w:asciiTheme="minorHAnsi" w:hAnsiTheme="minorHAnsi" w:cstheme="minorHAnsi"/>
                                <w:color w:val="000000"/>
                                <w:szCs w:val="22"/>
                              </w:rPr>
                              <w:t xml:space="preserve">Поширеність лікарської стійкості, виявлена в результаті рутинного або періодичного спостереження в країні (наприклад, шляхом регулярного лабораторного спостереження або періодичних оцінок медикаментозної резистентності), розбивається на нові і повторні випадки, якщо надійна ТМЧ не може бути виконана в відношенні окремих пацієнтів. </w:t>
                            </w:r>
                          </w:p>
                          <w:p w:rsidR="00395867" w:rsidRPr="001F691B" w:rsidRDefault="00395867" w:rsidP="00445738">
                            <w:pPr>
                              <w:widowControl/>
                              <w:numPr>
                                <w:ilvl w:val="0"/>
                                <w:numId w:val="27"/>
                              </w:numPr>
                              <w:spacing w:after="61"/>
                              <w:ind w:left="567"/>
                              <w:rPr>
                                <w:rFonts w:asciiTheme="minorHAnsi" w:hAnsiTheme="minorHAnsi" w:cstheme="minorHAnsi"/>
                                <w:color w:val="000000"/>
                                <w:szCs w:val="22"/>
                              </w:rPr>
                            </w:pPr>
                            <w:r w:rsidRPr="001F691B">
                              <w:rPr>
                                <w:rFonts w:asciiTheme="minorHAnsi" w:hAnsiTheme="minorHAnsi" w:cstheme="minorHAnsi"/>
                                <w:color w:val="000000"/>
                                <w:szCs w:val="22"/>
                              </w:rPr>
                              <w:t xml:space="preserve">Відомі протипоказання, такі як алергія, вагітність або грудне вигодовування, а також наявність супутніх захворювань. </w:t>
                            </w:r>
                          </w:p>
                          <w:p w:rsidR="00395867" w:rsidRPr="001F691B" w:rsidRDefault="00395867" w:rsidP="00445738">
                            <w:pPr>
                              <w:widowControl/>
                              <w:numPr>
                                <w:ilvl w:val="0"/>
                                <w:numId w:val="27"/>
                              </w:numPr>
                              <w:spacing w:after="61"/>
                              <w:ind w:left="567"/>
                              <w:rPr>
                                <w:rFonts w:asciiTheme="minorHAnsi" w:hAnsiTheme="minorHAnsi" w:cstheme="minorHAnsi"/>
                                <w:color w:val="000000"/>
                                <w:szCs w:val="22"/>
                              </w:rPr>
                            </w:pPr>
                            <w:r w:rsidRPr="001F691B">
                              <w:rPr>
                                <w:rFonts w:asciiTheme="minorHAnsi" w:hAnsiTheme="minorHAnsi" w:cstheme="minorHAnsi"/>
                                <w:color w:val="000000"/>
                                <w:szCs w:val="22"/>
                              </w:rPr>
                              <w:t xml:space="preserve">Якщо пацієнт знаходиться в тісному або побутовому контакті з бактеріологічно- підтвердженим випадком туберкульозу, то необхідний профіль медикаментозної стійкості нульового пацієнта. </w:t>
                            </w:r>
                          </w:p>
                          <w:p w:rsidR="00395867" w:rsidRPr="001F691B" w:rsidRDefault="00395867" w:rsidP="00445738">
                            <w:pPr>
                              <w:widowControl/>
                              <w:numPr>
                                <w:ilvl w:val="0"/>
                                <w:numId w:val="27"/>
                              </w:numPr>
                              <w:spacing w:after="61"/>
                              <w:ind w:left="567"/>
                              <w:rPr>
                                <w:rFonts w:asciiTheme="minorHAnsi" w:hAnsiTheme="minorHAnsi" w:cstheme="minorHAnsi"/>
                                <w:color w:val="000000"/>
                                <w:szCs w:val="22"/>
                              </w:rPr>
                            </w:pPr>
                            <w:r w:rsidRPr="001F691B">
                              <w:rPr>
                                <w:rFonts w:asciiTheme="minorHAnsi" w:hAnsiTheme="minorHAnsi" w:cstheme="minorHAnsi"/>
                                <w:color w:val="000000"/>
                                <w:szCs w:val="22"/>
                              </w:rPr>
                              <w:t xml:space="preserve">Оперативні міркування, такі як наявність лікарських препаратів, можливість моніторингу небажаних явищ і наявність необхідних інструментів для подальших дій і моніторингу. В деяких випадках, засоби для моніторингу небажаних явищ деяких лікарських препаратів можуть бути недоступні, однак пацієнтам немає необхідності чекати, поки всі необхідні елементи будуть доступні; щоб вони могли почати отримувати користь від лікування, яке рятує життя. </w:t>
                            </w:r>
                          </w:p>
                          <w:p w:rsidR="00395867" w:rsidRPr="001F691B" w:rsidRDefault="00395867" w:rsidP="00445738">
                            <w:pPr>
                              <w:widowControl/>
                              <w:numPr>
                                <w:ilvl w:val="0"/>
                                <w:numId w:val="27"/>
                              </w:numPr>
                              <w:spacing w:after="61"/>
                              <w:ind w:left="567"/>
                              <w:rPr>
                                <w:rFonts w:asciiTheme="minorHAnsi" w:hAnsiTheme="minorHAnsi" w:cstheme="minorHAnsi"/>
                                <w:color w:val="000000"/>
                                <w:szCs w:val="22"/>
                              </w:rPr>
                            </w:pPr>
                            <w:r w:rsidRPr="001F691B">
                              <w:rPr>
                                <w:rFonts w:asciiTheme="minorHAnsi" w:hAnsiTheme="minorHAnsi" w:cstheme="minorHAnsi"/>
                                <w:color w:val="000000"/>
                                <w:szCs w:val="22"/>
                              </w:rPr>
                              <w:t xml:space="preserve">Потенціал, або анамнез, токсичності, непереносимості (крім алергії) і лікарської взаємодії. </w:t>
                            </w:r>
                          </w:p>
                          <w:p w:rsidR="00395867" w:rsidRPr="001F691B" w:rsidRDefault="00395867" w:rsidP="00445738">
                            <w:pPr>
                              <w:widowControl/>
                              <w:numPr>
                                <w:ilvl w:val="0"/>
                                <w:numId w:val="27"/>
                              </w:numPr>
                              <w:ind w:left="567"/>
                              <w:rPr>
                                <w:rFonts w:asciiTheme="minorHAnsi" w:hAnsiTheme="minorHAnsi" w:cstheme="minorHAnsi"/>
                                <w:color w:val="000000"/>
                                <w:szCs w:val="22"/>
                              </w:rPr>
                            </w:pPr>
                            <w:r w:rsidRPr="001F691B">
                              <w:rPr>
                                <w:rFonts w:asciiTheme="minorHAnsi" w:hAnsiTheme="minorHAnsi" w:cstheme="minorHAnsi"/>
                                <w:color w:val="000000"/>
                                <w:szCs w:val="22"/>
                              </w:rPr>
                              <w:t xml:space="preserve">У дітей, вік дитини і доступні рецепти. </w:t>
                            </w:r>
                          </w:p>
                          <w:p w:rsidR="00395867" w:rsidRPr="001F691B" w:rsidRDefault="00395867">
                            <w:pPr>
                              <w:rPr>
                                <w:rFonts w:asciiTheme="minorHAnsi" w:hAnsiTheme="minorHAnsi" w:cstheme="minorHAnsi"/>
                                <w:sz w:val="16"/>
                              </w:rPr>
                            </w:pPr>
                          </w:p>
                        </w:txbxContent>
                      </v:textbox>
                      <w10:wrap anchorx="page" anchory="page"/>
                    </v:shape>
                  </w:pict>
                </mc:Fallback>
              </mc:AlternateContent>
            </w:r>
            <w:r w:rsidRPr="006263CF">
              <w:rPr>
                <w:rFonts w:asciiTheme="minorHAnsi" w:hAnsiTheme="minorHAnsi" w:cstheme="minorHAnsi"/>
                <w:noProof/>
                <w:sz w:val="18"/>
              </w:rPr>
              <w:drawing>
                <wp:inline distT="0" distB="0" distL="0" distR="0" wp14:anchorId="6A334D7F" wp14:editId="4D30E218">
                  <wp:extent cx="5901055" cy="6656705"/>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1055" cy="6656705"/>
                          </a:xfrm>
                          <a:prstGeom prst="rect">
                            <a:avLst/>
                          </a:prstGeom>
                          <a:noFill/>
                          <a:ln>
                            <a:noFill/>
                          </a:ln>
                        </pic:spPr>
                      </pic:pic>
                    </a:graphicData>
                  </a:graphic>
                </wp:inline>
              </w:drawing>
            </w:r>
          </w:p>
        </w:tc>
      </w:tr>
      <w:tr w:rsidR="005225B5" w:rsidRPr="006263CF" w:rsidTr="001F691B">
        <w:trPr>
          <w:trHeight w:hRule="exact" w:val="1565"/>
        </w:trPr>
        <w:tc>
          <w:tcPr>
            <w:tcW w:w="9298" w:type="dxa"/>
            <w:tcBorders>
              <w:top w:val="nil"/>
              <w:left w:val="nil"/>
              <w:bottom w:val="nil"/>
              <w:right w:val="nil"/>
            </w:tcBorders>
            <w:shd w:val="clear" w:color="auto" w:fill="FFFFFF"/>
          </w:tcPr>
          <w:p w:rsidR="005225B5" w:rsidRPr="006263CF" w:rsidRDefault="005225B5" w:rsidP="006263CF">
            <w:pPr>
              <w:ind w:right="38"/>
              <w:jc w:val="both"/>
              <w:rPr>
                <w:rFonts w:asciiTheme="minorHAnsi" w:hAnsiTheme="minorHAnsi" w:cstheme="minorHAnsi"/>
                <w:sz w:val="18"/>
              </w:rPr>
            </w:pPr>
            <w:bookmarkStart w:id="26" w:name="bookmark25"/>
            <w:r w:rsidRPr="006263CF">
              <w:rPr>
                <w:rFonts w:asciiTheme="minorHAnsi" w:hAnsiTheme="minorHAnsi" w:cstheme="minorHAnsi"/>
                <w:sz w:val="18"/>
              </w:rPr>
              <w:t>С</w:t>
            </w:r>
            <w:bookmarkEnd w:id="26"/>
            <w:r w:rsidRPr="006263CF">
              <w:rPr>
                <w:rFonts w:asciiTheme="minorHAnsi" w:hAnsiTheme="minorHAnsi" w:cstheme="minorHAnsi"/>
                <w:sz w:val="18"/>
              </w:rPr>
              <w:t>тійкість, що виходить за рамки МР-ТБ, включаючи МР-ТБ з фторхінолоновою стійкістю, знижує ймовірність успішного лікування (79, 80).</w:t>
            </w:r>
            <w:r w:rsidRPr="006263CF">
              <w:rPr>
                <w:rFonts w:asciiTheme="minorHAnsi" w:hAnsiTheme="minorHAnsi" w:cstheme="minorHAnsi"/>
                <w:color w:val="000000"/>
                <w:szCs w:val="22"/>
              </w:rPr>
              <w:t xml:space="preserve"> Ризик МР-ТБ зі стійкістю до фторхінолонів набагато вище в деяких умовах (наприклад, в східноєвропейських країнах). Без лікування МР-ТБ з фторхінолоновою стійкістю має високу смертність, особливо у людей, які живуть з ВІЛ (ЛЖВ), і штами, які отримали стійкість, не продемонстрували жодного трансмісивного послаблення; такі штами були залучені в великі вогнища, причому значна частина загального тягаря відноситься до первинної передачі інфекції (81-83).</w:t>
            </w:r>
          </w:p>
        </w:tc>
      </w:tr>
      <w:tr w:rsidR="005225B5" w:rsidRPr="006263CF">
        <w:trPr>
          <w:trHeight w:hRule="exact" w:val="1550"/>
        </w:trPr>
        <w:tc>
          <w:tcPr>
            <w:tcW w:w="9298" w:type="dxa"/>
            <w:tcBorders>
              <w:top w:val="nil"/>
              <w:left w:val="nil"/>
              <w:bottom w:val="nil"/>
              <w:right w:val="nil"/>
            </w:tcBorders>
            <w:shd w:val="clear" w:color="auto" w:fill="FFFFFF"/>
          </w:tcPr>
          <w:p w:rsidR="005225B5" w:rsidRPr="006263CF" w:rsidRDefault="005225B5" w:rsidP="006263CF">
            <w:pPr>
              <w:ind w:right="38"/>
              <w:jc w:val="both"/>
              <w:rPr>
                <w:rFonts w:asciiTheme="minorHAnsi" w:hAnsiTheme="minorHAnsi" w:cstheme="minorHAnsi"/>
                <w:sz w:val="18"/>
              </w:rPr>
            </w:pPr>
            <w:r w:rsidRPr="006263CF">
              <w:rPr>
                <w:rFonts w:asciiTheme="minorHAnsi" w:hAnsiTheme="minorHAnsi" w:cstheme="minorHAnsi"/>
                <w:color w:val="000000"/>
                <w:szCs w:val="22"/>
              </w:rPr>
              <w:t xml:space="preserve">Зі зменшенням значення аміноглікозидів в схемах лікування МР-ТБ користь діагностики МР-ТБ з ін'єкційної стійкістю, як це визначено в даний час, втратила свою цінність. Однак стійкість до фторхінолонів залишається важливою знахідкою для всіх схем лікування. Кроки, наведені в </w:t>
            </w:r>
            <w:r w:rsidRPr="006263CF">
              <w:rPr>
                <w:rFonts w:asciiTheme="minorHAnsi" w:hAnsiTheme="minorHAnsi" w:cstheme="minorHAnsi"/>
                <w:color w:val="1F61AA"/>
                <w:szCs w:val="22"/>
              </w:rPr>
              <w:t>Таблиці 6.1</w:t>
            </w:r>
            <w:r w:rsidRPr="006263CF">
              <w:rPr>
                <w:rFonts w:asciiTheme="minorHAnsi" w:hAnsiTheme="minorHAnsi" w:cstheme="minorHAnsi"/>
                <w:color w:val="000000"/>
                <w:szCs w:val="22"/>
              </w:rPr>
              <w:t>, застосовуються також для розробки схеми лікування фторхінолонової стійкості для МР-ТБ; крім того, вони охоплюють МР-ТБ зі стійкістю до фторхінолонів серед інших схем.</w:t>
            </w:r>
          </w:p>
        </w:tc>
      </w:tr>
    </w:tbl>
    <w:p w:rsidR="005225B5" w:rsidRPr="006263CF" w:rsidRDefault="005225B5" w:rsidP="006263CF">
      <w:pPr>
        <w:rPr>
          <w:rFonts w:asciiTheme="minorHAnsi" w:hAnsiTheme="minorHAnsi" w:cstheme="minorHAnsi"/>
          <w:sz w:val="18"/>
        </w:rPr>
        <w:sectPr w:rsidR="005225B5" w:rsidRPr="006263CF">
          <w:pgSz w:w="11904" w:h="16838"/>
          <w:pgMar w:top="1344" w:right="1262" w:bottom="1733" w:left="1344" w:header="708" w:footer="708" w:gutter="0"/>
          <w:cols w:space="60"/>
          <w:noEndnote/>
        </w:sectPr>
      </w:pPr>
    </w:p>
    <w:p w:rsidR="005225B5" w:rsidRPr="006263CF" w:rsidRDefault="005225B5" w:rsidP="006263CF">
      <w:pPr>
        <w:jc w:val="both"/>
        <w:rPr>
          <w:rFonts w:asciiTheme="minorHAnsi" w:hAnsiTheme="minorHAnsi" w:cstheme="minorHAnsi"/>
          <w:sz w:val="18"/>
        </w:rPr>
      </w:pPr>
      <w:r w:rsidRPr="006263CF">
        <w:rPr>
          <w:rFonts w:asciiTheme="minorHAnsi" w:hAnsiTheme="minorHAnsi" w:cstheme="minorHAnsi"/>
          <w:color w:val="000000"/>
          <w:szCs w:val="22"/>
        </w:rPr>
        <w:lastRenderedPageBreak/>
        <w:t>Багато з таких пацієнтів можуть мати коморбідні і небажані явища, які необхідно розглядати окремо. На певних етапах лікування може знадобитися госпіталізація, хірургія та інше допоміжне лікування. Повний моніторинг і психосоціальна підтримка важливі для забезпечення більш сприятливого процесу лікування. Можливо, буде потрібно забезпечити доступ до паліативних послуг та спеціальний догляд в кінці їх життя, приділяючи особливу увагу пацієнтам, для того, щоб полегшити страждання від цього захворювання і його лікування. Суворі заходи боротьби з респіраторними інфекціями в місцях лікування пацієнта, відслідковування контактів і консультування є важливими супутніми заходами для клінічної допомоги та громадської охорони здоров'я.</w:t>
      </w:r>
    </w:p>
    <w:p w:rsidR="005225B5" w:rsidRPr="006263CF" w:rsidRDefault="005225B5" w:rsidP="006263CF">
      <w:pPr>
        <w:spacing w:before="144"/>
        <w:jc w:val="both"/>
        <w:rPr>
          <w:rFonts w:asciiTheme="minorHAnsi" w:hAnsiTheme="minorHAnsi" w:cstheme="minorHAnsi"/>
          <w:sz w:val="18"/>
        </w:rPr>
      </w:pPr>
      <w:r w:rsidRPr="006263CF">
        <w:rPr>
          <w:rFonts w:asciiTheme="minorHAnsi" w:hAnsiTheme="minorHAnsi" w:cstheme="minorHAnsi"/>
          <w:sz w:val="18"/>
        </w:rPr>
        <w:t>У</w:t>
      </w:r>
      <w:r w:rsidR="001F691B">
        <w:rPr>
          <w:rFonts w:asciiTheme="minorHAnsi" w:hAnsiTheme="minorHAnsi" w:cstheme="minorHAnsi"/>
          <w:sz w:val="18"/>
        </w:rPr>
        <w:t xml:space="preserve"> </w:t>
      </w:r>
      <w:r w:rsidRPr="006263CF">
        <w:rPr>
          <w:rFonts w:asciiTheme="minorHAnsi" w:hAnsiTheme="minorHAnsi" w:cstheme="minorHAnsi"/>
          <w:color w:val="1F61AA"/>
          <w:szCs w:val="22"/>
        </w:rPr>
        <w:t xml:space="preserve">Таблиці 6.5 </w:t>
      </w:r>
      <w:r w:rsidRPr="006263CF">
        <w:rPr>
          <w:rFonts w:asciiTheme="minorHAnsi" w:hAnsiTheme="minorHAnsi" w:cstheme="minorHAnsi"/>
          <w:color w:val="000000"/>
          <w:szCs w:val="22"/>
        </w:rPr>
        <w:t>наведені деякі поширені ситуації, з якими може зіткнутися лікар, і рішення, які можуть бути прийняті для відповідного коригування схеми лікування. Пропоновані схеми лікування можуть варіюватися в залежності від індивідуальних клінічних обставин і наявності лікарських препаратів. Таблиця 6.5 не є докладною. Незважаючи на те, що спочатку рекомендується використовувати як мінімум чотири ефективних препарати, не всі схеми лікування, складені з використанням цього алгоритму, були протестовані безпосередньо в дослідних або польових умовах. Більш того, при включенні препаратів групи С кількість лікарських препаратів в схемі лікування може перевищувати чотири, що відображає невизначеність щодо ефективності деяких з цих лікарських препаратів. У таких ситуаціях поради фахівця важливі для забезпечення найбільш безпечної та ефективної схеми лікування (примітка: зміст іноді повторюється в таблиці з урахуванням перекриття різних сценаріїв).</w:t>
      </w:r>
    </w:p>
    <w:p w:rsidR="005225B5" w:rsidRPr="006263CF" w:rsidRDefault="005225B5" w:rsidP="006263CF">
      <w:pPr>
        <w:spacing w:before="144"/>
        <w:jc w:val="both"/>
        <w:rPr>
          <w:rFonts w:asciiTheme="minorHAnsi" w:hAnsiTheme="minorHAnsi" w:cstheme="minorHAnsi"/>
          <w:sz w:val="18"/>
        </w:rPr>
        <w:sectPr w:rsidR="005225B5" w:rsidRPr="006263CF" w:rsidSect="001F691B">
          <w:pgSz w:w="11904" w:h="16838"/>
          <w:pgMar w:top="1349" w:right="1416" w:bottom="7655" w:left="1416"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750"/>
        <w:gridCol w:w="1810"/>
        <w:gridCol w:w="1632"/>
        <w:gridCol w:w="3000"/>
        <w:gridCol w:w="4915"/>
      </w:tblGrid>
      <w:tr w:rsidR="005225B5" w:rsidRPr="006263CF" w:rsidTr="001F691B">
        <w:trPr>
          <w:trHeight w:hRule="exact" w:val="821"/>
        </w:trPr>
        <w:tc>
          <w:tcPr>
            <w:tcW w:w="14107" w:type="dxa"/>
            <w:gridSpan w:val="5"/>
            <w:tcBorders>
              <w:top w:val="nil"/>
              <w:left w:val="nil"/>
              <w:right w:val="nil"/>
            </w:tcBorders>
            <w:shd w:val="clear" w:color="auto" w:fill="FFFFFF"/>
          </w:tcPr>
          <w:p w:rsidR="005225B5" w:rsidRPr="006263CF" w:rsidRDefault="005225B5" w:rsidP="006263CF">
            <w:pPr>
              <w:rPr>
                <w:rFonts w:asciiTheme="minorHAnsi" w:hAnsiTheme="minorHAnsi" w:cstheme="minorHAnsi"/>
                <w:sz w:val="18"/>
              </w:rPr>
            </w:pPr>
            <w:bookmarkStart w:id="27" w:name="bookmark26"/>
            <w:r w:rsidRPr="006263CF">
              <w:rPr>
                <w:rFonts w:asciiTheme="minorHAnsi" w:hAnsiTheme="minorHAnsi" w:cstheme="minorHAnsi"/>
                <w:b/>
                <w:bCs/>
                <w:color w:val="636466"/>
                <w:sz w:val="22"/>
                <w:szCs w:val="24"/>
              </w:rPr>
              <w:lastRenderedPageBreak/>
              <w:t>T</w:t>
            </w:r>
            <w:bookmarkEnd w:id="27"/>
            <w:r w:rsidRPr="006263CF">
              <w:rPr>
                <w:rFonts w:asciiTheme="minorHAnsi" w:hAnsiTheme="minorHAnsi" w:cstheme="minorHAnsi"/>
                <w:b/>
                <w:bCs/>
                <w:color w:val="636466"/>
                <w:sz w:val="22"/>
                <w:szCs w:val="24"/>
              </w:rPr>
              <w:t>аблиця 6.5. Узагальнюючий алгоритм для довгострокової схеми лікування МР-ТБ в поширених ситуаціях, пов'язаних зі стійкою схемою або</w:t>
            </w:r>
          </w:p>
          <w:p w:rsidR="005225B5" w:rsidRPr="006263CF" w:rsidRDefault="005225B5" w:rsidP="006263CF">
            <w:pPr>
              <w:rPr>
                <w:rFonts w:asciiTheme="minorHAnsi" w:hAnsiTheme="minorHAnsi" w:cstheme="minorHAnsi"/>
                <w:sz w:val="18"/>
              </w:rPr>
            </w:pPr>
            <w:r w:rsidRPr="006263CF">
              <w:rPr>
                <w:rFonts w:asciiTheme="minorHAnsi" w:hAnsiTheme="minorHAnsi" w:cstheme="minorHAnsi"/>
                <w:b/>
                <w:bCs/>
                <w:color w:val="636466"/>
                <w:sz w:val="22"/>
                <w:szCs w:val="24"/>
              </w:rPr>
              <w:t>протипоказання</w:t>
            </w:r>
            <w:r w:rsidRPr="006263CF">
              <w:rPr>
                <w:rFonts w:asciiTheme="minorHAnsi" w:hAnsiTheme="minorHAnsi" w:cstheme="minorHAnsi"/>
                <w:b/>
                <w:bCs/>
                <w:color w:val="636466"/>
                <w:sz w:val="22"/>
                <w:szCs w:val="24"/>
                <w:vertAlign w:val="superscript"/>
              </w:rPr>
              <w:t>а</w:t>
            </w:r>
          </w:p>
        </w:tc>
      </w:tr>
      <w:tr w:rsidR="001F691B" w:rsidRPr="006263CF" w:rsidTr="001F691B">
        <w:trPr>
          <w:trHeight w:val="20"/>
        </w:trPr>
        <w:tc>
          <w:tcPr>
            <w:tcW w:w="2750" w:type="dxa"/>
            <w:vMerge w:val="restart"/>
            <w:tcBorders>
              <w:left w:val="nil"/>
              <w:right w:val="nil"/>
            </w:tcBorders>
            <w:shd w:val="clear" w:color="auto" w:fill="C1C8E4"/>
          </w:tcPr>
          <w:p w:rsidR="001F691B" w:rsidRPr="006263CF" w:rsidRDefault="001F691B" w:rsidP="001F691B">
            <w:pPr>
              <w:ind w:firstLine="14"/>
              <w:rPr>
                <w:rFonts w:asciiTheme="minorHAnsi" w:hAnsiTheme="minorHAnsi" w:cstheme="minorHAnsi"/>
                <w:sz w:val="18"/>
              </w:rPr>
            </w:pPr>
            <w:r w:rsidRPr="006263CF">
              <w:rPr>
                <w:rFonts w:asciiTheme="minorHAnsi" w:hAnsiTheme="minorHAnsi" w:cstheme="minorHAnsi"/>
                <w:b/>
                <w:bCs/>
                <w:color w:val="000000"/>
                <w:szCs w:val="22"/>
              </w:rPr>
              <w:t>Лікарські препарати, до яких проявляється стійкість або протипоказання при використанні</w:t>
            </w:r>
          </w:p>
        </w:tc>
        <w:tc>
          <w:tcPr>
            <w:tcW w:w="6442" w:type="dxa"/>
            <w:gridSpan w:val="3"/>
            <w:tcBorders>
              <w:left w:val="nil"/>
              <w:bottom w:val="nil"/>
              <w:right w:val="nil"/>
            </w:tcBorders>
            <w:shd w:val="clear" w:color="auto" w:fill="C1C8E4"/>
          </w:tcPr>
          <w:p w:rsidR="001F691B" w:rsidRPr="006263CF" w:rsidRDefault="001F691B" w:rsidP="001F691B">
            <w:pPr>
              <w:ind w:firstLine="14"/>
              <w:jc w:val="center"/>
              <w:rPr>
                <w:rFonts w:asciiTheme="minorHAnsi" w:hAnsiTheme="minorHAnsi" w:cstheme="minorHAnsi"/>
                <w:sz w:val="18"/>
              </w:rPr>
            </w:pPr>
            <w:r w:rsidRPr="006263CF">
              <w:rPr>
                <w:rFonts w:asciiTheme="minorHAnsi" w:hAnsiTheme="minorHAnsi" w:cstheme="minorHAnsi"/>
                <w:b/>
                <w:bCs/>
                <w:color w:val="000000"/>
                <w:szCs w:val="22"/>
              </w:rPr>
              <w:t>Розглянути питання про додавання лікарських препаратів, які, імовірно або точно довели свою ефективність</w:t>
            </w:r>
          </w:p>
        </w:tc>
        <w:tc>
          <w:tcPr>
            <w:tcW w:w="4915" w:type="dxa"/>
            <w:vMerge w:val="restart"/>
            <w:tcBorders>
              <w:left w:val="nil"/>
              <w:right w:val="nil"/>
            </w:tcBorders>
            <w:shd w:val="clear" w:color="auto" w:fill="C1C8E4"/>
            <w:vAlign w:val="center"/>
          </w:tcPr>
          <w:p w:rsidR="001F691B" w:rsidRPr="006263CF" w:rsidRDefault="001F691B" w:rsidP="001F691B">
            <w:pPr>
              <w:ind w:firstLine="14"/>
              <w:rPr>
                <w:rFonts w:asciiTheme="minorHAnsi" w:hAnsiTheme="minorHAnsi" w:cstheme="minorHAnsi"/>
                <w:sz w:val="18"/>
              </w:rPr>
            </w:pPr>
            <w:r w:rsidRPr="006263CF">
              <w:rPr>
                <w:rFonts w:asciiTheme="minorHAnsi" w:hAnsiTheme="minorHAnsi" w:cstheme="minorHAnsi"/>
                <w:b/>
                <w:bCs/>
                <w:color w:val="000000"/>
                <w:szCs w:val="22"/>
              </w:rPr>
              <w:t>Приклади схем лікування</w:t>
            </w:r>
          </w:p>
        </w:tc>
      </w:tr>
      <w:tr w:rsidR="001F691B" w:rsidRPr="006263CF" w:rsidTr="001F691B">
        <w:trPr>
          <w:trHeight w:val="20"/>
        </w:trPr>
        <w:tc>
          <w:tcPr>
            <w:tcW w:w="2750" w:type="dxa"/>
            <w:vMerge/>
            <w:tcBorders>
              <w:left w:val="nil"/>
              <w:bottom w:val="nil"/>
              <w:right w:val="nil"/>
            </w:tcBorders>
            <w:shd w:val="clear" w:color="auto" w:fill="FFFFFF"/>
          </w:tcPr>
          <w:p w:rsidR="001F691B" w:rsidRPr="006263CF" w:rsidRDefault="001F691B" w:rsidP="001F691B">
            <w:pPr>
              <w:ind w:firstLine="14"/>
              <w:rPr>
                <w:rFonts w:asciiTheme="minorHAnsi" w:hAnsiTheme="minorHAnsi" w:cstheme="minorHAnsi"/>
                <w:sz w:val="18"/>
              </w:rPr>
            </w:pPr>
          </w:p>
        </w:tc>
        <w:tc>
          <w:tcPr>
            <w:tcW w:w="1810" w:type="dxa"/>
            <w:tcBorders>
              <w:top w:val="nil"/>
              <w:left w:val="nil"/>
              <w:bottom w:val="nil"/>
              <w:right w:val="nil"/>
            </w:tcBorders>
            <w:shd w:val="clear" w:color="auto" w:fill="C1C8E4"/>
            <w:vAlign w:val="center"/>
          </w:tcPr>
          <w:p w:rsidR="001F691B" w:rsidRPr="006263CF" w:rsidRDefault="001F691B" w:rsidP="001F691B">
            <w:pPr>
              <w:ind w:firstLine="14"/>
              <w:jc w:val="center"/>
              <w:rPr>
                <w:rFonts w:asciiTheme="minorHAnsi" w:hAnsiTheme="minorHAnsi" w:cstheme="minorHAnsi"/>
                <w:sz w:val="18"/>
              </w:rPr>
            </w:pPr>
            <w:r w:rsidRPr="006263CF">
              <w:rPr>
                <w:rFonts w:asciiTheme="minorHAnsi" w:hAnsiTheme="minorHAnsi" w:cstheme="minorHAnsi"/>
                <w:b/>
                <w:bCs/>
                <w:color w:val="000000"/>
                <w:szCs w:val="22"/>
              </w:rPr>
              <w:t>Група А</w:t>
            </w:r>
          </w:p>
        </w:tc>
        <w:tc>
          <w:tcPr>
            <w:tcW w:w="1632" w:type="dxa"/>
            <w:tcBorders>
              <w:top w:val="nil"/>
              <w:left w:val="nil"/>
              <w:bottom w:val="nil"/>
              <w:right w:val="nil"/>
            </w:tcBorders>
            <w:shd w:val="clear" w:color="auto" w:fill="C1C8E4"/>
            <w:vAlign w:val="center"/>
          </w:tcPr>
          <w:p w:rsidR="001F691B" w:rsidRPr="006263CF" w:rsidRDefault="001F691B" w:rsidP="001F691B">
            <w:pPr>
              <w:ind w:firstLine="14"/>
              <w:jc w:val="center"/>
              <w:rPr>
                <w:rFonts w:asciiTheme="minorHAnsi" w:hAnsiTheme="minorHAnsi" w:cstheme="minorHAnsi"/>
                <w:sz w:val="18"/>
              </w:rPr>
            </w:pPr>
            <w:r w:rsidRPr="006263CF">
              <w:rPr>
                <w:rFonts w:asciiTheme="minorHAnsi" w:hAnsiTheme="minorHAnsi" w:cstheme="minorHAnsi"/>
                <w:b/>
                <w:bCs/>
                <w:color w:val="000000"/>
                <w:szCs w:val="22"/>
              </w:rPr>
              <w:t>Група B</w:t>
            </w:r>
          </w:p>
        </w:tc>
        <w:tc>
          <w:tcPr>
            <w:tcW w:w="3000" w:type="dxa"/>
            <w:tcBorders>
              <w:top w:val="nil"/>
              <w:left w:val="nil"/>
              <w:bottom w:val="nil"/>
              <w:right w:val="nil"/>
            </w:tcBorders>
            <w:shd w:val="clear" w:color="auto" w:fill="C1C8E4"/>
            <w:vAlign w:val="center"/>
          </w:tcPr>
          <w:p w:rsidR="001F691B" w:rsidRPr="006263CF" w:rsidRDefault="001F691B" w:rsidP="001F691B">
            <w:pPr>
              <w:ind w:firstLine="14"/>
              <w:jc w:val="center"/>
              <w:rPr>
                <w:rFonts w:asciiTheme="minorHAnsi" w:hAnsiTheme="minorHAnsi" w:cstheme="minorHAnsi"/>
                <w:sz w:val="18"/>
              </w:rPr>
            </w:pPr>
            <w:r w:rsidRPr="006263CF">
              <w:rPr>
                <w:rFonts w:asciiTheme="minorHAnsi" w:hAnsiTheme="minorHAnsi" w:cstheme="minorHAnsi"/>
                <w:b/>
                <w:bCs/>
                <w:color w:val="000000"/>
                <w:szCs w:val="22"/>
              </w:rPr>
              <w:t>Група C</w:t>
            </w:r>
            <w:r w:rsidRPr="006263CF">
              <w:rPr>
                <w:rFonts w:asciiTheme="minorHAnsi" w:hAnsiTheme="minorHAnsi" w:cstheme="minorHAnsi"/>
                <w:b/>
                <w:bCs/>
                <w:color w:val="000000"/>
                <w:szCs w:val="22"/>
                <w:vertAlign w:val="superscript"/>
              </w:rPr>
              <w:t>b</w:t>
            </w:r>
          </w:p>
        </w:tc>
        <w:tc>
          <w:tcPr>
            <w:tcW w:w="4915" w:type="dxa"/>
            <w:vMerge/>
            <w:tcBorders>
              <w:left w:val="nil"/>
              <w:bottom w:val="nil"/>
              <w:right w:val="nil"/>
            </w:tcBorders>
            <w:shd w:val="clear" w:color="auto" w:fill="FFFFFF"/>
          </w:tcPr>
          <w:p w:rsidR="001F691B" w:rsidRPr="006263CF" w:rsidRDefault="001F691B" w:rsidP="001F691B">
            <w:pPr>
              <w:ind w:firstLine="14"/>
              <w:rPr>
                <w:rFonts w:asciiTheme="minorHAnsi" w:hAnsiTheme="minorHAnsi" w:cstheme="minorHAnsi"/>
                <w:sz w:val="18"/>
              </w:rPr>
            </w:pPr>
          </w:p>
        </w:tc>
      </w:tr>
      <w:tr w:rsidR="005225B5" w:rsidRPr="006263CF" w:rsidTr="00A04C57">
        <w:trPr>
          <w:trHeight w:val="20"/>
        </w:trPr>
        <w:tc>
          <w:tcPr>
            <w:tcW w:w="2750" w:type="dxa"/>
            <w:tcBorders>
              <w:top w:val="nil"/>
              <w:left w:val="nil"/>
              <w:bottom w:val="single" w:sz="4" w:space="0" w:color="1F61AA"/>
              <w:right w:val="nil"/>
            </w:tcBorders>
            <w:shd w:val="clear" w:color="auto" w:fill="FFFFFF"/>
          </w:tcPr>
          <w:p w:rsidR="005225B5" w:rsidRPr="006263CF" w:rsidRDefault="005225B5" w:rsidP="00A04C57">
            <w:pPr>
              <w:ind w:left="244" w:hanging="230"/>
              <w:rPr>
                <w:rFonts w:asciiTheme="minorHAnsi" w:hAnsiTheme="minorHAnsi" w:cstheme="minorHAnsi"/>
                <w:sz w:val="18"/>
              </w:rPr>
            </w:pPr>
            <w:r w:rsidRPr="006263CF">
              <w:rPr>
                <w:rFonts w:asciiTheme="minorHAnsi" w:hAnsiTheme="minorHAnsi" w:cstheme="minorHAnsi"/>
                <w:color w:val="000000"/>
                <w:szCs w:val="22"/>
              </w:rPr>
              <w:t xml:space="preserve">1 </w:t>
            </w:r>
            <w:r w:rsidR="001F691B">
              <w:rPr>
                <w:rFonts w:asciiTheme="minorHAnsi" w:hAnsiTheme="minorHAnsi" w:cstheme="minorHAnsi"/>
                <w:color w:val="000000"/>
                <w:szCs w:val="22"/>
              </w:rPr>
              <w:tab/>
            </w:r>
            <w:r w:rsidRPr="006263CF">
              <w:rPr>
                <w:rFonts w:asciiTheme="minorHAnsi" w:hAnsiTheme="minorHAnsi" w:cstheme="minorHAnsi"/>
                <w:color w:val="000000"/>
                <w:szCs w:val="22"/>
              </w:rPr>
              <w:t>Жоден з лікарських препаратів</w:t>
            </w:r>
            <w:r w:rsidR="00A04C57">
              <w:rPr>
                <w:rFonts w:asciiTheme="minorHAnsi" w:hAnsiTheme="minorHAnsi" w:cstheme="minorHAnsi"/>
                <w:color w:val="000000"/>
                <w:szCs w:val="22"/>
              </w:rPr>
              <w:t xml:space="preserve"> </w:t>
            </w:r>
            <w:r w:rsidRPr="006263CF">
              <w:rPr>
                <w:rFonts w:asciiTheme="minorHAnsi" w:hAnsiTheme="minorHAnsi" w:cstheme="minorHAnsi"/>
                <w:color w:val="000000"/>
                <w:szCs w:val="22"/>
              </w:rPr>
              <w:t>Із Групи А і В</w:t>
            </w:r>
            <w:r w:rsidRPr="006263CF">
              <w:rPr>
                <w:rFonts w:asciiTheme="minorHAnsi" w:hAnsiTheme="minorHAnsi" w:cstheme="minorHAnsi"/>
                <w:color w:val="000000"/>
                <w:szCs w:val="22"/>
                <w:vertAlign w:val="superscript"/>
              </w:rPr>
              <w:t>c</w:t>
            </w:r>
          </w:p>
        </w:tc>
        <w:tc>
          <w:tcPr>
            <w:tcW w:w="1810" w:type="dxa"/>
            <w:tcBorders>
              <w:top w:val="nil"/>
              <w:left w:val="nil"/>
              <w:bottom w:val="single" w:sz="4" w:space="0" w:color="1F61AA"/>
              <w:right w:val="nil"/>
            </w:tcBorders>
            <w:shd w:val="clear" w:color="auto" w:fill="FFFFFF"/>
          </w:tcPr>
          <w:p w:rsidR="005225B5" w:rsidRPr="006263CF" w:rsidRDefault="005225B5" w:rsidP="001F691B">
            <w:pPr>
              <w:ind w:firstLine="14"/>
              <w:rPr>
                <w:rFonts w:asciiTheme="minorHAnsi" w:hAnsiTheme="minorHAnsi" w:cstheme="minorHAnsi"/>
                <w:sz w:val="18"/>
              </w:rPr>
            </w:pPr>
            <w:r w:rsidRPr="006263CF">
              <w:rPr>
                <w:rFonts w:asciiTheme="minorHAnsi" w:hAnsiTheme="minorHAnsi" w:cstheme="minorHAnsi"/>
                <w:color w:val="000000"/>
                <w:szCs w:val="22"/>
              </w:rPr>
              <w:t>Усі 3 лікарських препарати</w:t>
            </w:r>
          </w:p>
        </w:tc>
        <w:tc>
          <w:tcPr>
            <w:tcW w:w="1632" w:type="dxa"/>
            <w:tcBorders>
              <w:top w:val="nil"/>
              <w:left w:val="nil"/>
              <w:bottom w:val="single" w:sz="4" w:space="0" w:color="1F61AA"/>
              <w:right w:val="nil"/>
            </w:tcBorders>
            <w:shd w:val="clear" w:color="auto" w:fill="FFFFFF"/>
          </w:tcPr>
          <w:p w:rsidR="005225B5" w:rsidRPr="006263CF" w:rsidRDefault="005225B5" w:rsidP="001F691B">
            <w:pPr>
              <w:ind w:firstLine="14"/>
              <w:rPr>
                <w:rFonts w:asciiTheme="minorHAnsi" w:hAnsiTheme="minorHAnsi" w:cstheme="minorHAnsi"/>
                <w:sz w:val="18"/>
              </w:rPr>
            </w:pPr>
            <w:r w:rsidRPr="006263CF">
              <w:rPr>
                <w:rFonts w:asciiTheme="minorHAnsi" w:hAnsiTheme="minorHAnsi" w:cstheme="minorHAnsi"/>
                <w:color w:val="000000"/>
                <w:szCs w:val="22"/>
              </w:rPr>
              <w:t>1 лікарський препарат</w:t>
            </w:r>
          </w:p>
        </w:tc>
        <w:tc>
          <w:tcPr>
            <w:tcW w:w="3000" w:type="dxa"/>
            <w:tcBorders>
              <w:top w:val="nil"/>
              <w:left w:val="nil"/>
              <w:bottom w:val="single" w:sz="4" w:space="0" w:color="1F61AA"/>
              <w:right w:val="nil"/>
            </w:tcBorders>
            <w:shd w:val="clear" w:color="auto" w:fill="FFFFFF"/>
          </w:tcPr>
          <w:p w:rsidR="005225B5" w:rsidRPr="006263CF" w:rsidRDefault="005225B5" w:rsidP="001F691B">
            <w:pPr>
              <w:ind w:firstLine="14"/>
              <w:rPr>
                <w:rFonts w:asciiTheme="minorHAnsi" w:hAnsiTheme="minorHAnsi" w:cstheme="minorHAnsi"/>
                <w:sz w:val="18"/>
              </w:rPr>
            </w:pPr>
            <w:r w:rsidRPr="006263CF">
              <w:rPr>
                <w:rFonts w:asciiTheme="minorHAnsi" w:hAnsiTheme="minorHAnsi" w:cstheme="minorHAnsi"/>
                <w:color w:val="000000"/>
                <w:szCs w:val="22"/>
              </w:rPr>
              <w:t>Зазвичай не потрібні</w:t>
            </w:r>
          </w:p>
        </w:tc>
        <w:tc>
          <w:tcPr>
            <w:tcW w:w="4915" w:type="dxa"/>
            <w:tcBorders>
              <w:top w:val="nil"/>
              <w:left w:val="nil"/>
              <w:bottom w:val="single" w:sz="4" w:space="0" w:color="1F61AA"/>
              <w:right w:val="nil"/>
            </w:tcBorders>
            <w:shd w:val="clear" w:color="auto" w:fill="FFFFFF"/>
          </w:tcPr>
          <w:p w:rsidR="005225B5" w:rsidRPr="006263CF" w:rsidRDefault="005225B5" w:rsidP="001F691B">
            <w:pPr>
              <w:ind w:firstLine="14"/>
              <w:rPr>
                <w:rFonts w:asciiTheme="minorHAnsi" w:hAnsiTheme="minorHAnsi" w:cstheme="minorHAnsi"/>
                <w:sz w:val="18"/>
              </w:rPr>
            </w:pPr>
            <w:r w:rsidRPr="006263CF">
              <w:rPr>
                <w:rFonts w:asciiTheme="minorHAnsi" w:hAnsiTheme="minorHAnsi" w:cstheme="minorHAnsi"/>
                <w:color w:val="000000"/>
                <w:szCs w:val="22"/>
              </w:rPr>
              <w:t>18 БДК</w:t>
            </w:r>
            <w:r w:rsidRPr="006263CF">
              <w:rPr>
                <w:rFonts w:asciiTheme="minorHAnsi" w:hAnsiTheme="minorHAnsi" w:cstheme="minorHAnsi"/>
                <w:color w:val="000000"/>
                <w:szCs w:val="22"/>
                <w:vertAlign w:val="subscript"/>
              </w:rPr>
              <w:t>(6 місяців чи довше)</w:t>
            </w:r>
            <w:r w:rsidRPr="006263CF">
              <w:rPr>
                <w:rFonts w:asciiTheme="minorHAnsi" w:hAnsiTheme="minorHAnsi" w:cstheme="minorHAnsi"/>
                <w:color w:val="000000"/>
                <w:szCs w:val="22"/>
              </w:rPr>
              <w:t>-(ЛФЦ чи МФЦ)-ЛЗД-(КФЗ чи ЦС)</w:t>
            </w:r>
          </w:p>
        </w:tc>
      </w:tr>
      <w:tr w:rsidR="005225B5" w:rsidRPr="006263CF" w:rsidTr="00A04C57">
        <w:trPr>
          <w:trHeight w:val="20"/>
        </w:trPr>
        <w:tc>
          <w:tcPr>
            <w:tcW w:w="2750" w:type="dxa"/>
            <w:tcBorders>
              <w:top w:val="single" w:sz="4" w:space="0" w:color="1F61AA"/>
              <w:left w:val="nil"/>
              <w:bottom w:val="single" w:sz="4" w:space="0" w:color="1F61AA"/>
              <w:right w:val="nil"/>
            </w:tcBorders>
            <w:shd w:val="clear" w:color="auto" w:fill="FFFFFF"/>
          </w:tcPr>
          <w:p w:rsidR="005225B5" w:rsidRPr="006263CF" w:rsidRDefault="005225B5" w:rsidP="00A04C57">
            <w:pPr>
              <w:ind w:left="244" w:hanging="230"/>
              <w:rPr>
                <w:rFonts w:asciiTheme="minorHAnsi" w:hAnsiTheme="minorHAnsi" w:cstheme="minorHAnsi"/>
                <w:sz w:val="18"/>
              </w:rPr>
            </w:pPr>
            <w:r w:rsidRPr="006263CF">
              <w:rPr>
                <w:rFonts w:asciiTheme="minorHAnsi" w:hAnsiTheme="minorHAnsi" w:cstheme="minorHAnsi"/>
                <w:color w:val="000000"/>
                <w:szCs w:val="22"/>
              </w:rPr>
              <w:t xml:space="preserve">2 </w:t>
            </w:r>
            <w:r w:rsidR="00A04C57">
              <w:rPr>
                <w:rFonts w:asciiTheme="minorHAnsi" w:hAnsiTheme="minorHAnsi" w:cstheme="minorHAnsi"/>
                <w:color w:val="000000"/>
                <w:szCs w:val="22"/>
              </w:rPr>
              <w:tab/>
            </w:r>
            <w:r w:rsidRPr="006263CF">
              <w:rPr>
                <w:rFonts w:asciiTheme="minorHAnsi" w:hAnsiTheme="minorHAnsi" w:cstheme="minorHAnsi"/>
                <w:color w:val="000000"/>
                <w:szCs w:val="22"/>
              </w:rPr>
              <w:t>Один лікарський препарат групи А</w:t>
            </w:r>
          </w:p>
        </w:tc>
        <w:tc>
          <w:tcPr>
            <w:tcW w:w="1810" w:type="dxa"/>
            <w:tcBorders>
              <w:top w:val="single" w:sz="4" w:space="0" w:color="1F61AA"/>
              <w:left w:val="nil"/>
              <w:bottom w:val="single" w:sz="4" w:space="0" w:color="1F61AA"/>
              <w:right w:val="nil"/>
            </w:tcBorders>
            <w:shd w:val="clear" w:color="auto" w:fill="FFFFFF"/>
          </w:tcPr>
          <w:p w:rsidR="005225B5" w:rsidRPr="006263CF" w:rsidRDefault="005225B5" w:rsidP="001F691B">
            <w:pPr>
              <w:ind w:firstLine="14"/>
              <w:rPr>
                <w:rFonts w:asciiTheme="minorHAnsi" w:hAnsiTheme="minorHAnsi" w:cstheme="minorHAnsi"/>
                <w:sz w:val="18"/>
              </w:rPr>
            </w:pPr>
            <w:r w:rsidRPr="006263CF">
              <w:rPr>
                <w:rFonts w:asciiTheme="minorHAnsi" w:hAnsiTheme="minorHAnsi" w:cstheme="minorHAnsi"/>
                <w:color w:val="000000"/>
                <w:szCs w:val="22"/>
              </w:rPr>
              <w:t>Залишилось 2 лікарських препарати</w:t>
            </w:r>
          </w:p>
        </w:tc>
        <w:tc>
          <w:tcPr>
            <w:tcW w:w="1632" w:type="dxa"/>
            <w:tcBorders>
              <w:top w:val="single" w:sz="4" w:space="0" w:color="1F61AA"/>
              <w:left w:val="nil"/>
              <w:bottom w:val="single" w:sz="4" w:space="0" w:color="1F61AA"/>
              <w:right w:val="nil"/>
            </w:tcBorders>
            <w:shd w:val="clear" w:color="auto" w:fill="FFFFFF"/>
          </w:tcPr>
          <w:p w:rsidR="005225B5" w:rsidRPr="006263CF" w:rsidRDefault="005225B5" w:rsidP="001F691B">
            <w:pPr>
              <w:ind w:firstLine="14"/>
              <w:rPr>
                <w:rFonts w:asciiTheme="minorHAnsi" w:hAnsiTheme="minorHAnsi" w:cstheme="minorHAnsi"/>
                <w:sz w:val="18"/>
              </w:rPr>
            </w:pPr>
            <w:r w:rsidRPr="006263CF">
              <w:rPr>
                <w:rFonts w:asciiTheme="minorHAnsi" w:hAnsiTheme="minorHAnsi" w:cstheme="minorHAnsi"/>
                <w:color w:val="000000"/>
                <w:szCs w:val="22"/>
              </w:rPr>
              <w:t>Обидва лікарські препарати</w:t>
            </w:r>
          </w:p>
        </w:tc>
        <w:tc>
          <w:tcPr>
            <w:tcW w:w="3000" w:type="dxa"/>
            <w:tcBorders>
              <w:top w:val="single" w:sz="4" w:space="0" w:color="1F61AA"/>
              <w:left w:val="nil"/>
              <w:bottom w:val="single" w:sz="4" w:space="0" w:color="1F61AA"/>
              <w:right w:val="nil"/>
            </w:tcBorders>
            <w:shd w:val="clear" w:color="auto" w:fill="FFFFFF"/>
          </w:tcPr>
          <w:p w:rsidR="005225B5" w:rsidRPr="006263CF" w:rsidRDefault="005225B5" w:rsidP="001F691B">
            <w:pPr>
              <w:ind w:firstLine="14"/>
              <w:rPr>
                <w:rFonts w:asciiTheme="minorHAnsi" w:hAnsiTheme="minorHAnsi" w:cstheme="minorHAnsi"/>
                <w:sz w:val="18"/>
              </w:rPr>
            </w:pPr>
            <w:r w:rsidRPr="006263CF">
              <w:rPr>
                <w:rFonts w:asciiTheme="minorHAnsi" w:hAnsiTheme="minorHAnsi" w:cstheme="minorHAnsi"/>
                <w:color w:val="000000"/>
                <w:szCs w:val="22"/>
              </w:rPr>
              <w:t>Може знадобиться</w:t>
            </w:r>
          </w:p>
        </w:tc>
        <w:tc>
          <w:tcPr>
            <w:tcW w:w="4915" w:type="dxa"/>
            <w:tcBorders>
              <w:top w:val="single" w:sz="4" w:space="0" w:color="1F61AA"/>
              <w:left w:val="nil"/>
              <w:bottom w:val="single" w:sz="4" w:space="0" w:color="1F61AA"/>
              <w:right w:val="nil"/>
            </w:tcBorders>
            <w:shd w:val="clear" w:color="auto" w:fill="FFFFFF"/>
          </w:tcPr>
          <w:p w:rsidR="005225B5" w:rsidRPr="006263CF" w:rsidRDefault="005225B5" w:rsidP="001F691B">
            <w:pPr>
              <w:ind w:firstLine="14"/>
              <w:rPr>
                <w:rFonts w:asciiTheme="minorHAnsi" w:hAnsiTheme="minorHAnsi" w:cstheme="minorHAnsi"/>
                <w:sz w:val="18"/>
              </w:rPr>
            </w:pPr>
            <w:r w:rsidRPr="006263CF">
              <w:rPr>
                <w:rFonts w:asciiTheme="minorHAnsi" w:hAnsiTheme="minorHAnsi" w:cstheme="minorHAnsi"/>
                <w:color w:val="000000"/>
                <w:szCs w:val="22"/>
              </w:rPr>
              <w:t>18 БДК</w:t>
            </w:r>
            <w:r w:rsidRPr="006263CF">
              <w:rPr>
                <w:rFonts w:asciiTheme="minorHAnsi" w:hAnsiTheme="minorHAnsi" w:cstheme="minorHAnsi"/>
                <w:color w:val="000000"/>
                <w:szCs w:val="22"/>
                <w:vertAlign w:val="subscript"/>
              </w:rPr>
              <w:t>(6 місяців чи довше)</w:t>
            </w:r>
            <w:r w:rsidRPr="006263CF">
              <w:rPr>
                <w:rFonts w:asciiTheme="minorHAnsi" w:hAnsiTheme="minorHAnsi" w:cstheme="minorHAnsi"/>
                <w:color w:val="000000"/>
                <w:szCs w:val="22"/>
              </w:rPr>
              <w:t xml:space="preserve"> -(ЛФЦ чи МФЦ)-КФЗ-ЦС</w:t>
            </w:r>
          </w:p>
          <w:p w:rsidR="005225B5" w:rsidRPr="006263CF" w:rsidRDefault="005225B5" w:rsidP="001F691B">
            <w:pPr>
              <w:ind w:firstLine="14"/>
              <w:rPr>
                <w:rFonts w:asciiTheme="minorHAnsi" w:hAnsiTheme="minorHAnsi" w:cstheme="minorHAnsi"/>
                <w:sz w:val="18"/>
              </w:rPr>
            </w:pPr>
            <w:r w:rsidRPr="006263CF">
              <w:rPr>
                <w:rFonts w:asciiTheme="minorHAnsi" w:hAnsiTheme="minorHAnsi" w:cstheme="minorHAnsi"/>
                <w:color w:val="000000"/>
                <w:szCs w:val="22"/>
              </w:rPr>
              <w:t>18 БДК</w:t>
            </w:r>
            <w:r w:rsidRPr="006263CF">
              <w:rPr>
                <w:rFonts w:asciiTheme="minorHAnsi" w:hAnsiTheme="minorHAnsi" w:cstheme="minorHAnsi"/>
                <w:color w:val="000000"/>
                <w:szCs w:val="22"/>
                <w:vertAlign w:val="subscript"/>
              </w:rPr>
              <w:t>(6 місяців чи довше)</w:t>
            </w:r>
            <w:r w:rsidRPr="006263CF">
              <w:rPr>
                <w:rFonts w:asciiTheme="minorHAnsi" w:hAnsiTheme="minorHAnsi" w:cstheme="minorHAnsi"/>
                <w:color w:val="000000"/>
                <w:szCs w:val="22"/>
              </w:rPr>
              <w:t xml:space="preserve"> -(ЛФЦ чи МФЦ)-КФЗ-ЦС-ДЛМ</w:t>
            </w:r>
            <w:r w:rsidRPr="006263CF">
              <w:rPr>
                <w:rFonts w:asciiTheme="minorHAnsi" w:hAnsiTheme="minorHAnsi" w:cstheme="minorHAnsi"/>
                <w:color w:val="000000"/>
                <w:szCs w:val="22"/>
                <w:vertAlign w:val="subscript"/>
              </w:rPr>
              <w:t>(6 місяців чи довше)</w:t>
            </w:r>
          </w:p>
          <w:p w:rsidR="005225B5" w:rsidRPr="006263CF" w:rsidRDefault="005225B5" w:rsidP="001F691B">
            <w:pPr>
              <w:ind w:firstLine="14"/>
              <w:rPr>
                <w:rFonts w:asciiTheme="minorHAnsi" w:hAnsiTheme="minorHAnsi" w:cstheme="minorHAnsi"/>
                <w:sz w:val="18"/>
              </w:rPr>
            </w:pPr>
            <w:r w:rsidRPr="006263CF">
              <w:rPr>
                <w:rFonts w:asciiTheme="minorHAnsi" w:hAnsiTheme="minorHAnsi" w:cstheme="minorHAnsi"/>
                <w:color w:val="000000"/>
                <w:szCs w:val="22"/>
              </w:rPr>
              <w:t>Чи З чи Е)</w:t>
            </w:r>
          </w:p>
          <w:p w:rsidR="005225B5" w:rsidRPr="006263CF" w:rsidRDefault="005225B5" w:rsidP="001F691B">
            <w:pPr>
              <w:tabs>
                <w:tab w:val="left" w:leader="hyphen" w:pos="2304"/>
              </w:tabs>
              <w:ind w:firstLine="14"/>
              <w:rPr>
                <w:rFonts w:asciiTheme="minorHAnsi" w:hAnsiTheme="minorHAnsi" w:cstheme="minorHAnsi"/>
                <w:sz w:val="18"/>
              </w:rPr>
            </w:pPr>
            <w:r w:rsidRPr="006263CF">
              <w:rPr>
                <w:rFonts w:asciiTheme="minorHAnsi" w:hAnsiTheme="minorHAnsi" w:cstheme="minorHAnsi"/>
                <w:color w:val="000000"/>
                <w:szCs w:val="22"/>
              </w:rPr>
              <w:tab/>
            </w:r>
          </w:p>
          <w:p w:rsidR="005225B5" w:rsidRPr="006263CF" w:rsidRDefault="005225B5" w:rsidP="001F691B">
            <w:pPr>
              <w:ind w:firstLine="14"/>
              <w:rPr>
                <w:rFonts w:asciiTheme="minorHAnsi" w:hAnsiTheme="minorHAnsi" w:cstheme="minorHAnsi"/>
                <w:sz w:val="18"/>
              </w:rPr>
            </w:pPr>
            <w:r w:rsidRPr="006263CF">
              <w:rPr>
                <w:rFonts w:asciiTheme="minorHAnsi" w:hAnsiTheme="minorHAnsi" w:cstheme="minorHAnsi"/>
                <w:color w:val="000000"/>
                <w:szCs w:val="22"/>
              </w:rPr>
              <w:t>18(ЛФЦ чи МФЦ)-ЛЗД-КФЗ-ЦС</w:t>
            </w:r>
          </w:p>
          <w:p w:rsidR="005225B5" w:rsidRPr="006263CF" w:rsidRDefault="005225B5" w:rsidP="001F691B">
            <w:pPr>
              <w:ind w:firstLine="14"/>
              <w:rPr>
                <w:rFonts w:asciiTheme="minorHAnsi" w:hAnsiTheme="minorHAnsi" w:cstheme="minorHAnsi"/>
                <w:sz w:val="18"/>
              </w:rPr>
            </w:pPr>
            <w:r w:rsidRPr="006263CF">
              <w:rPr>
                <w:rFonts w:asciiTheme="minorHAnsi" w:hAnsiTheme="minorHAnsi" w:cstheme="minorHAnsi"/>
                <w:color w:val="000000"/>
                <w:szCs w:val="22"/>
              </w:rPr>
              <w:t>18(ЛФЦ чи МФЦ)-ЛЗД-КФЗ-ЦС-(ДЛМ</w:t>
            </w:r>
            <w:r w:rsidRPr="006263CF">
              <w:rPr>
                <w:rFonts w:asciiTheme="minorHAnsi" w:hAnsiTheme="minorHAnsi" w:cstheme="minorHAnsi"/>
                <w:color w:val="000000"/>
                <w:szCs w:val="22"/>
                <w:vertAlign w:val="subscript"/>
              </w:rPr>
              <w:t>(6 місяців чи довше)</w:t>
            </w:r>
            <w:r w:rsidRPr="006263CF">
              <w:rPr>
                <w:rFonts w:asciiTheme="minorHAnsi" w:hAnsiTheme="minorHAnsi" w:cstheme="minorHAnsi"/>
                <w:color w:val="000000"/>
                <w:szCs w:val="22"/>
              </w:rPr>
              <w:t xml:space="preserve"> чи З</w:t>
            </w:r>
          </w:p>
          <w:p w:rsidR="005225B5" w:rsidRPr="006263CF" w:rsidRDefault="005225B5" w:rsidP="001F691B">
            <w:pPr>
              <w:ind w:firstLine="14"/>
              <w:rPr>
                <w:rFonts w:asciiTheme="minorHAnsi" w:hAnsiTheme="minorHAnsi" w:cstheme="minorHAnsi"/>
                <w:sz w:val="18"/>
              </w:rPr>
            </w:pPr>
            <w:r w:rsidRPr="006263CF">
              <w:rPr>
                <w:rFonts w:asciiTheme="minorHAnsi" w:hAnsiTheme="minorHAnsi" w:cstheme="minorHAnsi"/>
                <w:color w:val="000000"/>
                <w:szCs w:val="22"/>
              </w:rPr>
              <w:t>Чи E)</w:t>
            </w:r>
          </w:p>
          <w:p w:rsidR="005225B5" w:rsidRPr="006263CF" w:rsidRDefault="005225B5" w:rsidP="001F691B">
            <w:pPr>
              <w:tabs>
                <w:tab w:val="left" w:leader="hyphen" w:pos="2395"/>
              </w:tabs>
              <w:ind w:firstLine="14"/>
              <w:rPr>
                <w:rFonts w:asciiTheme="minorHAnsi" w:hAnsiTheme="minorHAnsi" w:cstheme="minorHAnsi"/>
                <w:sz w:val="18"/>
              </w:rPr>
            </w:pPr>
            <w:r w:rsidRPr="006263CF">
              <w:rPr>
                <w:rFonts w:asciiTheme="minorHAnsi" w:hAnsiTheme="minorHAnsi" w:cstheme="minorHAnsi"/>
                <w:color w:val="000000"/>
                <w:szCs w:val="22"/>
              </w:rPr>
              <w:tab/>
            </w:r>
          </w:p>
          <w:p w:rsidR="005225B5" w:rsidRPr="006263CF" w:rsidRDefault="005225B5" w:rsidP="001F691B">
            <w:pPr>
              <w:ind w:firstLine="14"/>
              <w:rPr>
                <w:rFonts w:asciiTheme="minorHAnsi" w:hAnsiTheme="minorHAnsi" w:cstheme="minorHAnsi"/>
                <w:sz w:val="18"/>
              </w:rPr>
            </w:pPr>
            <w:r w:rsidRPr="006263CF">
              <w:rPr>
                <w:rFonts w:asciiTheme="minorHAnsi" w:hAnsiTheme="minorHAnsi" w:cstheme="minorHAnsi"/>
                <w:color w:val="000000"/>
                <w:szCs w:val="22"/>
              </w:rPr>
              <w:t>18 БДК</w:t>
            </w:r>
            <w:r w:rsidRPr="006263CF">
              <w:rPr>
                <w:rFonts w:asciiTheme="minorHAnsi" w:hAnsiTheme="minorHAnsi" w:cstheme="minorHAnsi"/>
                <w:color w:val="000000"/>
                <w:szCs w:val="22"/>
                <w:vertAlign w:val="subscript"/>
              </w:rPr>
              <w:t>(6 місяців чи довше)</w:t>
            </w:r>
            <w:r w:rsidRPr="006263CF">
              <w:rPr>
                <w:rFonts w:asciiTheme="minorHAnsi" w:hAnsiTheme="minorHAnsi" w:cstheme="minorHAnsi"/>
                <w:color w:val="000000"/>
                <w:szCs w:val="22"/>
              </w:rPr>
              <w:t xml:space="preserve"> -ЛЗД-КФЗ-ЦС</w:t>
            </w:r>
          </w:p>
          <w:p w:rsidR="005225B5" w:rsidRPr="006263CF" w:rsidRDefault="005225B5" w:rsidP="001F691B">
            <w:pPr>
              <w:ind w:firstLine="14"/>
              <w:rPr>
                <w:rFonts w:asciiTheme="minorHAnsi" w:hAnsiTheme="minorHAnsi" w:cstheme="minorHAnsi"/>
                <w:sz w:val="18"/>
              </w:rPr>
            </w:pPr>
            <w:r w:rsidRPr="006263CF">
              <w:rPr>
                <w:rFonts w:asciiTheme="minorHAnsi" w:hAnsiTheme="minorHAnsi" w:cstheme="minorHAnsi"/>
                <w:color w:val="000000"/>
                <w:szCs w:val="22"/>
              </w:rPr>
              <w:t>18 БДК</w:t>
            </w:r>
            <w:r w:rsidRPr="006263CF">
              <w:rPr>
                <w:rFonts w:asciiTheme="minorHAnsi" w:hAnsiTheme="minorHAnsi" w:cstheme="minorHAnsi"/>
                <w:color w:val="000000"/>
                <w:szCs w:val="22"/>
                <w:vertAlign w:val="subscript"/>
              </w:rPr>
              <w:t>(6 місяців чи довше)</w:t>
            </w:r>
            <w:r w:rsidRPr="006263CF">
              <w:rPr>
                <w:rFonts w:asciiTheme="minorHAnsi" w:hAnsiTheme="minorHAnsi" w:cstheme="minorHAnsi"/>
                <w:color w:val="000000"/>
                <w:szCs w:val="22"/>
              </w:rPr>
              <w:t xml:space="preserve"> -ЛЗД-КФЗ-ЦС-(ДЛМ</w:t>
            </w:r>
            <w:r w:rsidRPr="006263CF">
              <w:rPr>
                <w:rFonts w:asciiTheme="minorHAnsi" w:hAnsiTheme="minorHAnsi" w:cstheme="minorHAnsi"/>
                <w:color w:val="000000"/>
                <w:szCs w:val="22"/>
                <w:vertAlign w:val="subscript"/>
              </w:rPr>
              <w:t xml:space="preserve">(6 місяців чи довше) </w:t>
            </w:r>
            <w:r w:rsidRPr="006263CF">
              <w:rPr>
                <w:rFonts w:asciiTheme="minorHAnsi" w:hAnsiTheme="minorHAnsi" w:cstheme="minorHAnsi"/>
                <w:color w:val="000000"/>
                <w:szCs w:val="22"/>
              </w:rPr>
              <w:t>чи З</w:t>
            </w:r>
          </w:p>
          <w:p w:rsidR="005225B5" w:rsidRPr="006263CF" w:rsidRDefault="005225B5" w:rsidP="001F691B">
            <w:pPr>
              <w:ind w:firstLine="14"/>
              <w:rPr>
                <w:rFonts w:asciiTheme="minorHAnsi" w:hAnsiTheme="minorHAnsi" w:cstheme="minorHAnsi"/>
                <w:sz w:val="18"/>
              </w:rPr>
            </w:pPr>
            <w:r w:rsidRPr="006263CF">
              <w:rPr>
                <w:rFonts w:asciiTheme="minorHAnsi" w:hAnsiTheme="minorHAnsi" w:cstheme="minorHAnsi"/>
                <w:color w:val="000000"/>
                <w:szCs w:val="22"/>
              </w:rPr>
              <w:t>Чи E)</w:t>
            </w:r>
          </w:p>
          <w:p w:rsidR="005225B5" w:rsidRPr="006263CF" w:rsidRDefault="005225B5" w:rsidP="001F691B">
            <w:pPr>
              <w:ind w:firstLine="14"/>
              <w:rPr>
                <w:rFonts w:asciiTheme="minorHAnsi" w:hAnsiTheme="minorHAnsi" w:cstheme="minorHAnsi"/>
                <w:sz w:val="18"/>
              </w:rPr>
            </w:pPr>
            <w:r w:rsidRPr="006263CF">
              <w:rPr>
                <w:rFonts w:asciiTheme="minorHAnsi" w:hAnsiTheme="minorHAnsi" w:cstheme="minorHAnsi"/>
                <w:color w:val="000000"/>
                <w:szCs w:val="22"/>
              </w:rPr>
              <w:t>Замінити на лікарські засоби групи С, якщо є підозра на стійкість до Е або З</w:t>
            </w:r>
          </w:p>
        </w:tc>
      </w:tr>
      <w:tr w:rsidR="005225B5" w:rsidRPr="006263CF" w:rsidTr="00A04C57">
        <w:trPr>
          <w:trHeight w:val="20"/>
        </w:trPr>
        <w:tc>
          <w:tcPr>
            <w:tcW w:w="2750" w:type="dxa"/>
            <w:tcBorders>
              <w:top w:val="single" w:sz="4" w:space="0" w:color="1F61AA"/>
              <w:left w:val="nil"/>
              <w:bottom w:val="single" w:sz="4" w:space="0" w:color="1F61AA"/>
              <w:right w:val="nil"/>
            </w:tcBorders>
            <w:shd w:val="clear" w:color="auto" w:fill="FFFFFF"/>
          </w:tcPr>
          <w:p w:rsidR="005225B5" w:rsidRPr="006263CF" w:rsidRDefault="005225B5" w:rsidP="00A04C57">
            <w:pPr>
              <w:ind w:left="244" w:hanging="230"/>
              <w:rPr>
                <w:rFonts w:asciiTheme="minorHAnsi" w:hAnsiTheme="minorHAnsi" w:cstheme="minorHAnsi"/>
                <w:sz w:val="18"/>
              </w:rPr>
            </w:pPr>
            <w:r w:rsidRPr="006263CF">
              <w:rPr>
                <w:rFonts w:asciiTheme="minorHAnsi" w:hAnsiTheme="minorHAnsi" w:cstheme="minorHAnsi"/>
                <w:color w:val="000000"/>
                <w:szCs w:val="22"/>
              </w:rPr>
              <w:t xml:space="preserve">3 </w:t>
            </w:r>
            <w:r w:rsidR="00A04C57">
              <w:rPr>
                <w:rFonts w:asciiTheme="minorHAnsi" w:hAnsiTheme="minorHAnsi" w:cstheme="minorHAnsi"/>
                <w:color w:val="000000"/>
                <w:szCs w:val="22"/>
              </w:rPr>
              <w:tab/>
            </w:r>
            <w:r w:rsidRPr="006263CF">
              <w:rPr>
                <w:rFonts w:asciiTheme="minorHAnsi" w:hAnsiTheme="minorHAnsi" w:cstheme="minorHAnsi"/>
                <w:color w:val="000000"/>
                <w:szCs w:val="22"/>
              </w:rPr>
              <w:t>Два лікарських препарати з Групи А</w:t>
            </w:r>
          </w:p>
        </w:tc>
        <w:tc>
          <w:tcPr>
            <w:tcW w:w="1810" w:type="dxa"/>
            <w:tcBorders>
              <w:top w:val="single" w:sz="4" w:space="0" w:color="1F61AA"/>
              <w:left w:val="nil"/>
              <w:bottom w:val="single" w:sz="4" w:space="0" w:color="1F61AA"/>
              <w:right w:val="nil"/>
            </w:tcBorders>
            <w:shd w:val="clear" w:color="auto" w:fill="FFFFFF"/>
          </w:tcPr>
          <w:p w:rsidR="005225B5" w:rsidRPr="006263CF" w:rsidRDefault="005225B5" w:rsidP="001F691B">
            <w:pPr>
              <w:ind w:firstLine="14"/>
              <w:rPr>
                <w:rFonts w:asciiTheme="minorHAnsi" w:hAnsiTheme="minorHAnsi" w:cstheme="minorHAnsi"/>
                <w:sz w:val="18"/>
              </w:rPr>
            </w:pPr>
            <w:r w:rsidRPr="006263CF">
              <w:rPr>
                <w:rFonts w:asciiTheme="minorHAnsi" w:hAnsiTheme="minorHAnsi" w:cstheme="minorHAnsi"/>
                <w:color w:val="000000"/>
                <w:szCs w:val="22"/>
              </w:rPr>
              <w:t>Решта лікарських препарати</w:t>
            </w:r>
          </w:p>
        </w:tc>
        <w:tc>
          <w:tcPr>
            <w:tcW w:w="1632" w:type="dxa"/>
            <w:tcBorders>
              <w:top w:val="single" w:sz="4" w:space="0" w:color="1F61AA"/>
              <w:left w:val="nil"/>
              <w:bottom w:val="single" w:sz="4" w:space="0" w:color="1F61AA"/>
              <w:right w:val="nil"/>
            </w:tcBorders>
            <w:shd w:val="clear" w:color="auto" w:fill="FFFFFF"/>
          </w:tcPr>
          <w:p w:rsidR="005225B5" w:rsidRPr="006263CF" w:rsidRDefault="005225B5" w:rsidP="001F691B">
            <w:pPr>
              <w:ind w:firstLine="14"/>
              <w:rPr>
                <w:rFonts w:asciiTheme="minorHAnsi" w:hAnsiTheme="minorHAnsi" w:cstheme="minorHAnsi"/>
                <w:sz w:val="18"/>
              </w:rPr>
            </w:pPr>
            <w:r w:rsidRPr="006263CF">
              <w:rPr>
                <w:rFonts w:asciiTheme="minorHAnsi" w:hAnsiTheme="minorHAnsi" w:cstheme="minorHAnsi"/>
                <w:color w:val="000000"/>
                <w:szCs w:val="22"/>
              </w:rPr>
              <w:t>Обидва лікарські препарати</w:t>
            </w:r>
          </w:p>
        </w:tc>
        <w:tc>
          <w:tcPr>
            <w:tcW w:w="3000" w:type="dxa"/>
            <w:tcBorders>
              <w:top w:val="single" w:sz="4" w:space="0" w:color="1F61AA"/>
              <w:left w:val="nil"/>
              <w:bottom w:val="single" w:sz="4" w:space="0" w:color="1F61AA"/>
              <w:right w:val="nil"/>
            </w:tcBorders>
            <w:shd w:val="clear" w:color="auto" w:fill="FFFFFF"/>
          </w:tcPr>
          <w:p w:rsidR="005225B5" w:rsidRPr="006263CF" w:rsidRDefault="005225B5" w:rsidP="001F691B">
            <w:pPr>
              <w:ind w:firstLine="14"/>
              <w:rPr>
                <w:rFonts w:asciiTheme="minorHAnsi" w:hAnsiTheme="minorHAnsi" w:cstheme="minorHAnsi"/>
                <w:sz w:val="18"/>
              </w:rPr>
            </w:pPr>
            <w:r w:rsidRPr="006263CF">
              <w:rPr>
                <w:rFonts w:asciiTheme="minorHAnsi" w:hAnsiTheme="minorHAnsi" w:cstheme="minorHAnsi"/>
                <w:color w:val="000000"/>
                <w:szCs w:val="22"/>
              </w:rPr>
              <w:t>Як мінімум 1 лікарський препарат</w:t>
            </w:r>
          </w:p>
        </w:tc>
        <w:tc>
          <w:tcPr>
            <w:tcW w:w="4915" w:type="dxa"/>
            <w:tcBorders>
              <w:top w:val="single" w:sz="4" w:space="0" w:color="1F61AA"/>
              <w:left w:val="nil"/>
              <w:bottom w:val="single" w:sz="4" w:space="0" w:color="1F61AA"/>
              <w:right w:val="nil"/>
            </w:tcBorders>
            <w:shd w:val="clear" w:color="auto" w:fill="FFFFFF"/>
          </w:tcPr>
          <w:p w:rsidR="005225B5" w:rsidRPr="006263CF" w:rsidRDefault="005225B5" w:rsidP="001F691B">
            <w:pPr>
              <w:ind w:firstLine="14"/>
              <w:rPr>
                <w:rFonts w:asciiTheme="minorHAnsi" w:hAnsiTheme="minorHAnsi" w:cstheme="minorHAnsi"/>
                <w:sz w:val="18"/>
              </w:rPr>
            </w:pPr>
            <w:r w:rsidRPr="006263CF">
              <w:rPr>
                <w:rFonts w:asciiTheme="minorHAnsi" w:hAnsiTheme="minorHAnsi" w:cstheme="minorHAnsi"/>
                <w:color w:val="000000"/>
                <w:szCs w:val="22"/>
              </w:rPr>
              <w:t>18 БДК(6 місяців чи більше)-КФЗ-ЦС-ДЛМ(6 місяців чи довше) -(З чи E) 18 ЛЗД-ЦФЗ-ЦЗ-ДЛМ</w:t>
            </w:r>
            <w:r w:rsidRPr="006263CF">
              <w:rPr>
                <w:rFonts w:asciiTheme="minorHAnsi" w:hAnsiTheme="minorHAnsi" w:cstheme="minorHAnsi"/>
                <w:color w:val="000000"/>
                <w:szCs w:val="22"/>
                <w:vertAlign w:val="subscript"/>
              </w:rPr>
              <w:t>(6 місяців чи довше)</w:t>
            </w:r>
            <w:r w:rsidRPr="006263CF">
              <w:rPr>
                <w:rFonts w:asciiTheme="minorHAnsi" w:hAnsiTheme="minorHAnsi" w:cstheme="minorHAnsi"/>
                <w:color w:val="000000"/>
                <w:szCs w:val="22"/>
              </w:rPr>
              <w:t xml:space="preserve"> -(З чи E) 18 ЛФЦ-КФЗ-ЦС-ДЛМ</w:t>
            </w:r>
            <w:r w:rsidRPr="006263CF">
              <w:rPr>
                <w:rFonts w:asciiTheme="minorHAnsi" w:hAnsiTheme="minorHAnsi" w:cstheme="minorHAnsi"/>
                <w:color w:val="000000"/>
                <w:szCs w:val="22"/>
                <w:vertAlign w:val="subscript"/>
              </w:rPr>
              <w:t>(6 місяців чи довше)</w:t>
            </w:r>
            <w:r w:rsidRPr="006263CF">
              <w:rPr>
                <w:rFonts w:asciiTheme="minorHAnsi" w:hAnsiTheme="minorHAnsi" w:cstheme="minorHAnsi"/>
                <w:color w:val="000000"/>
                <w:szCs w:val="22"/>
              </w:rPr>
              <w:t xml:space="preserve"> -(З чи E)</w:t>
            </w:r>
          </w:p>
          <w:p w:rsidR="005225B5" w:rsidRPr="006263CF" w:rsidRDefault="005225B5" w:rsidP="001F691B">
            <w:pPr>
              <w:ind w:firstLine="14"/>
              <w:rPr>
                <w:rFonts w:asciiTheme="minorHAnsi" w:hAnsiTheme="minorHAnsi" w:cstheme="minorHAnsi"/>
                <w:sz w:val="18"/>
              </w:rPr>
            </w:pPr>
            <w:r w:rsidRPr="006263CF">
              <w:rPr>
                <w:rFonts w:asciiTheme="minorHAnsi" w:hAnsiTheme="minorHAnsi" w:cstheme="minorHAnsi"/>
                <w:color w:val="000000"/>
                <w:szCs w:val="22"/>
              </w:rPr>
              <w:t>Замінити на лікарські засоби групи С, якщо є підозра на стійкість до Е або З</w:t>
            </w:r>
          </w:p>
        </w:tc>
      </w:tr>
      <w:tr w:rsidR="005225B5" w:rsidRPr="006263CF" w:rsidTr="00A04C57">
        <w:trPr>
          <w:trHeight w:val="20"/>
        </w:trPr>
        <w:tc>
          <w:tcPr>
            <w:tcW w:w="2750" w:type="dxa"/>
            <w:tcBorders>
              <w:top w:val="single" w:sz="4" w:space="0" w:color="1F61AA"/>
              <w:left w:val="nil"/>
              <w:bottom w:val="single" w:sz="4" w:space="0" w:color="1F61AA"/>
              <w:right w:val="nil"/>
            </w:tcBorders>
            <w:shd w:val="clear" w:color="auto" w:fill="FFFFFF"/>
          </w:tcPr>
          <w:p w:rsidR="00A04C57" w:rsidRPr="006263CF" w:rsidRDefault="005225B5" w:rsidP="00A04C57">
            <w:pPr>
              <w:ind w:left="244" w:hanging="230"/>
              <w:rPr>
                <w:rFonts w:asciiTheme="minorHAnsi" w:hAnsiTheme="minorHAnsi" w:cstheme="minorHAnsi"/>
                <w:sz w:val="18"/>
              </w:rPr>
            </w:pPr>
            <w:r w:rsidRPr="006263CF">
              <w:rPr>
                <w:rFonts w:asciiTheme="minorHAnsi" w:hAnsiTheme="minorHAnsi" w:cstheme="minorHAnsi"/>
                <w:color w:val="000000"/>
                <w:szCs w:val="22"/>
              </w:rPr>
              <w:t xml:space="preserve">4 </w:t>
            </w:r>
            <w:r w:rsidR="00A04C57">
              <w:rPr>
                <w:rFonts w:asciiTheme="minorHAnsi" w:hAnsiTheme="minorHAnsi" w:cstheme="minorHAnsi"/>
                <w:color w:val="000000"/>
                <w:szCs w:val="22"/>
              </w:rPr>
              <w:tab/>
            </w:r>
            <w:r w:rsidRPr="006263CF">
              <w:rPr>
                <w:rFonts w:asciiTheme="minorHAnsi" w:hAnsiTheme="minorHAnsi" w:cstheme="minorHAnsi"/>
                <w:color w:val="000000"/>
                <w:szCs w:val="22"/>
              </w:rPr>
              <w:t>Один лікарський препарат групи В</w:t>
            </w:r>
          </w:p>
        </w:tc>
        <w:tc>
          <w:tcPr>
            <w:tcW w:w="1810" w:type="dxa"/>
            <w:tcBorders>
              <w:top w:val="single" w:sz="4" w:space="0" w:color="1F61AA"/>
              <w:left w:val="nil"/>
              <w:bottom w:val="single" w:sz="4" w:space="0" w:color="1F61AA"/>
              <w:right w:val="nil"/>
            </w:tcBorders>
            <w:shd w:val="clear" w:color="auto" w:fill="FFFFFF"/>
          </w:tcPr>
          <w:p w:rsidR="005225B5" w:rsidRPr="006263CF" w:rsidRDefault="005225B5" w:rsidP="001F691B">
            <w:pPr>
              <w:ind w:firstLine="14"/>
              <w:rPr>
                <w:rFonts w:asciiTheme="minorHAnsi" w:hAnsiTheme="minorHAnsi" w:cstheme="minorHAnsi"/>
                <w:sz w:val="18"/>
              </w:rPr>
            </w:pPr>
            <w:r w:rsidRPr="006263CF">
              <w:rPr>
                <w:rFonts w:asciiTheme="minorHAnsi" w:hAnsiTheme="minorHAnsi" w:cstheme="minorHAnsi"/>
                <w:color w:val="000000"/>
                <w:szCs w:val="22"/>
              </w:rPr>
              <w:t>Усі 3 лікарських препарати</w:t>
            </w:r>
          </w:p>
        </w:tc>
        <w:tc>
          <w:tcPr>
            <w:tcW w:w="1632" w:type="dxa"/>
            <w:tcBorders>
              <w:top w:val="single" w:sz="4" w:space="0" w:color="1F61AA"/>
              <w:left w:val="nil"/>
              <w:bottom w:val="single" w:sz="4" w:space="0" w:color="1F61AA"/>
              <w:right w:val="nil"/>
            </w:tcBorders>
            <w:shd w:val="clear" w:color="auto" w:fill="FFFFFF"/>
          </w:tcPr>
          <w:p w:rsidR="005225B5" w:rsidRPr="006263CF" w:rsidRDefault="005225B5" w:rsidP="001F691B">
            <w:pPr>
              <w:ind w:firstLine="14"/>
              <w:rPr>
                <w:rFonts w:asciiTheme="minorHAnsi" w:hAnsiTheme="minorHAnsi" w:cstheme="minorHAnsi"/>
                <w:sz w:val="18"/>
              </w:rPr>
            </w:pPr>
            <w:r w:rsidRPr="006263CF">
              <w:rPr>
                <w:rFonts w:asciiTheme="minorHAnsi" w:hAnsiTheme="minorHAnsi" w:cstheme="minorHAnsi"/>
                <w:color w:val="000000"/>
                <w:szCs w:val="22"/>
              </w:rPr>
              <w:t>Решта лікарських препарати</w:t>
            </w:r>
          </w:p>
        </w:tc>
        <w:tc>
          <w:tcPr>
            <w:tcW w:w="3000" w:type="dxa"/>
            <w:tcBorders>
              <w:top w:val="single" w:sz="4" w:space="0" w:color="1F61AA"/>
              <w:left w:val="nil"/>
              <w:bottom w:val="single" w:sz="4" w:space="0" w:color="1F61AA"/>
              <w:right w:val="nil"/>
            </w:tcBorders>
            <w:shd w:val="clear" w:color="auto" w:fill="FFFFFF"/>
          </w:tcPr>
          <w:p w:rsidR="005225B5" w:rsidRPr="006263CF" w:rsidRDefault="005225B5" w:rsidP="001F691B">
            <w:pPr>
              <w:ind w:firstLine="14"/>
              <w:rPr>
                <w:rFonts w:asciiTheme="minorHAnsi" w:hAnsiTheme="minorHAnsi" w:cstheme="minorHAnsi"/>
                <w:sz w:val="18"/>
              </w:rPr>
            </w:pPr>
            <w:r w:rsidRPr="006263CF">
              <w:rPr>
                <w:rFonts w:asciiTheme="minorHAnsi" w:hAnsiTheme="minorHAnsi" w:cstheme="minorHAnsi"/>
                <w:color w:val="000000"/>
                <w:szCs w:val="22"/>
              </w:rPr>
              <w:t>Може не знадобиться</w:t>
            </w:r>
          </w:p>
        </w:tc>
        <w:tc>
          <w:tcPr>
            <w:tcW w:w="4915" w:type="dxa"/>
            <w:tcBorders>
              <w:top w:val="single" w:sz="4" w:space="0" w:color="1F61AA"/>
              <w:left w:val="nil"/>
              <w:bottom w:val="single" w:sz="4" w:space="0" w:color="1F61AA"/>
              <w:right w:val="nil"/>
            </w:tcBorders>
            <w:shd w:val="clear" w:color="auto" w:fill="FFFFFF"/>
          </w:tcPr>
          <w:p w:rsidR="005225B5" w:rsidRPr="006263CF" w:rsidRDefault="005225B5" w:rsidP="001F691B">
            <w:pPr>
              <w:ind w:firstLine="14"/>
              <w:rPr>
                <w:rFonts w:asciiTheme="minorHAnsi" w:hAnsiTheme="minorHAnsi" w:cstheme="minorHAnsi"/>
                <w:sz w:val="18"/>
              </w:rPr>
            </w:pPr>
            <w:r w:rsidRPr="006263CF">
              <w:rPr>
                <w:rFonts w:asciiTheme="minorHAnsi" w:hAnsiTheme="minorHAnsi" w:cstheme="minorHAnsi"/>
                <w:color w:val="000000"/>
                <w:szCs w:val="22"/>
              </w:rPr>
              <w:t>18 БДК</w:t>
            </w:r>
            <w:r w:rsidRPr="006263CF">
              <w:rPr>
                <w:rFonts w:asciiTheme="minorHAnsi" w:hAnsiTheme="minorHAnsi" w:cstheme="minorHAnsi"/>
                <w:color w:val="000000"/>
                <w:szCs w:val="22"/>
                <w:vertAlign w:val="subscript"/>
              </w:rPr>
              <w:t>(6 місяців чи довше)</w:t>
            </w:r>
            <w:r w:rsidRPr="006263CF">
              <w:rPr>
                <w:rFonts w:asciiTheme="minorHAnsi" w:hAnsiTheme="minorHAnsi" w:cstheme="minorHAnsi"/>
                <w:color w:val="000000"/>
                <w:szCs w:val="22"/>
              </w:rPr>
              <w:t>-(ЛФЦ чи МФЦ)-ЛЗД-(КФЗ чи ЦС)</w:t>
            </w:r>
          </w:p>
        </w:tc>
      </w:tr>
    </w:tbl>
    <w:p w:rsidR="005225B5" w:rsidRPr="006263CF" w:rsidRDefault="005225B5" w:rsidP="006263CF">
      <w:pPr>
        <w:rPr>
          <w:rFonts w:asciiTheme="minorHAnsi" w:hAnsiTheme="minorHAnsi" w:cstheme="minorHAnsi"/>
          <w:sz w:val="18"/>
        </w:rPr>
        <w:sectPr w:rsidR="005225B5" w:rsidRPr="006263CF" w:rsidSect="00445738">
          <w:headerReference w:type="default" r:id="rId31"/>
          <w:footerReference w:type="default" r:id="rId32"/>
          <w:pgSz w:w="16838" w:h="11904" w:orient="landscape"/>
          <w:pgMar w:top="1315" w:right="1387" w:bottom="0" w:left="1344"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726"/>
        <w:gridCol w:w="1795"/>
        <w:gridCol w:w="1608"/>
        <w:gridCol w:w="3077"/>
        <w:gridCol w:w="4834"/>
      </w:tblGrid>
      <w:tr w:rsidR="00A04C57" w:rsidRPr="006263CF" w:rsidTr="00A04C57">
        <w:trPr>
          <w:trHeight w:val="20"/>
        </w:trPr>
        <w:tc>
          <w:tcPr>
            <w:tcW w:w="2726" w:type="dxa"/>
            <w:vMerge w:val="restart"/>
            <w:tcBorders>
              <w:left w:val="nil"/>
              <w:right w:val="nil"/>
            </w:tcBorders>
            <w:shd w:val="clear" w:color="auto" w:fill="C1C8E4"/>
          </w:tcPr>
          <w:p w:rsidR="00A04C57" w:rsidRPr="006263CF" w:rsidRDefault="00A04C57" w:rsidP="00A04C57">
            <w:pPr>
              <w:ind w:left="62"/>
              <w:rPr>
                <w:rFonts w:asciiTheme="minorHAnsi" w:hAnsiTheme="minorHAnsi" w:cstheme="minorHAnsi"/>
                <w:sz w:val="18"/>
              </w:rPr>
            </w:pPr>
            <w:r w:rsidRPr="006263CF">
              <w:rPr>
                <w:rFonts w:asciiTheme="minorHAnsi" w:hAnsiTheme="minorHAnsi" w:cstheme="minorHAnsi"/>
                <w:b/>
                <w:bCs/>
                <w:color w:val="000000"/>
                <w:szCs w:val="22"/>
              </w:rPr>
              <w:lastRenderedPageBreak/>
              <w:t>Лікарські препарати, до яких проявляється стійкість або протипоказання при використанні</w:t>
            </w:r>
          </w:p>
        </w:tc>
        <w:tc>
          <w:tcPr>
            <w:tcW w:w="6480" w:type="dxa"/>
            <w:gridSpan w:val="3"/>
            <w:tcBorders>
              <w:left w:val="nil"/>
              <w:bottom w:val="nil"/>
              <w:right w:val="nil"/>
            </w:tcBorders>
            <w:shd w:val="clear" w:color="auto" w:fill="C1C8E4"/>
          </w:tcPr>
          <w:p w:rsidR="00A04C57" w:rsidRPr="006263CF" w:rsidRDefault="00A04C57" w:rsidP="00A04C57">
            <w:pPr>
              <w:ind w:left="62"/>
              <w:jc w:val="center"/>
              <w:rPr>
                <w:rFonts w:asciiTheme="minorHAnsi" w:hAnsiTheme="minorHAnsi" w:cstheme="minorHAnsi"/>
                <w:sz w:val="18"/>
              </w:rPr>
            </w:pPr>
            <w:r w:rsidRPr="006263CF">
              <w:rPr>
                <w:rFonts w:asciiTheme="minorHAnsi" w:hAnsiTheme="minorHAnsi" w:cstheme="minorHAnsi"/>
                <w:b/>
                <w:bCs/>
                <w:color w:val="000000"/>
                <w:szCs w:val="22"/>
              </w:rPr>
              <w:t>Розглянути питання про додавання лікарських препаратів, які, імовірно або точно довели свою ефективність</w:t>
            </w:r>
          </w:p>
        </w:tc>
        <w:tc>
          <w:tcPr>
            <w:tcW w:w="4834" w:type="dxa"/>
            <w:vMerge w:val="restart"/>
            <w:tcBorders>
              <w:left w:val="nil"/>
              <w:right w:val="nil"/>
            </w:tcBorders>
            <w:shd w:val="clear" w:color="auto" w:fill="C1C8E4"/>
            <w:vAlign w:val="center"/>
          </w:tcPr>
          <w:p w:rsidR="00A04C57" w:rsidRPr="006263CF" w:rsidRDefault="00A04C57" w:rsidP="00A04C57">
            <w:pPr>
              <w:ind w:left="62"/>
              <w:rPr>
                <w:rFonts w:asciiTheme="minorHAnsi" w:hAnsiTheme="minorHAnsi" w:cstheme="minorHAnsi"/>
                <w:sz w:val="18"/>
              </w:rPr>
            </w:pPr>
            <w:r w:rsidRPr="006263CF">
              <w:rPr>
                <w:rFonts w:asciiTheme="minorHAnsi" w:hAnsiTheme="minorHAnsi" w:cstheme="minorHAnsi"/>
                <w:b/>
                <w:bCs/>
                <w:color w:val="000000"/>
                <w:szCs w:val="22"/>
              </w:rPr>
              <w:t>Приклади схем лікування</w:t>
            </w:r>
          </w:p>
        </w:tc>
      </w:tr>
      <w:tr w:rsidR="00A04C57" w:rsidRPr="006263CF" w:rsidTr="00A04C57">
        <w:trPr>
          <w:trHeight w:val="20"/>
        </w:trPr>
        <w:tc>
          <w:tcPr>
            <w:tcW w:w="2726" w:type="dxa"/>
            <w:vMerge/>
            <w:tcBorders>
              <w:left w:val="nil"/>
              <w:bottom w:val="nil"/>
              <w:right w:val="nil"/>
            </w:tcBorders>
            <w:shd w:val="clear" w:color="auto" w:fill="FFFFFF"/>
          </w:tcPr>
          <w:p w:rsidR="00A04C57" w:rsidRPr="006263CF" w:rsidRDefault="00A04C57" w:rsidP="00A04C57">
            <w:pPr>
              <w:ind w:left="62"/>
              <w:rPr>
                <w:rFonts w:asciiTheme="minorHAnsi" w:hAnsiTheme="minorHAnsi" w:cstheme="minorHAnsi"/>
                <w:sz w:val="18"/>
              </w:rPr>
            </w:pPr>
          </w:p>
        </w:tc>
        <w:tc>
          <w:tcPr>
            <w:tcW w:w="1795" w:type="dxa"/>
            <w:tcBorders>
              <w:top w:val="nil"/>
              <w:left w:val="nil"/>
              <w:bottom w:val="nil"/>
              <w:right w:val="nil"/>
            </w:tcBorders>
            <w:shd w:val="clear" w:color="auto" w:fill="C1C8E4"/>
            <w:vAlign w:val="center"/>
          </w:tcPr>
          <w:p w:rsidR="00A04C57" w:rsidRPr="006263CF" w:rsidRDefault="00A04C57" w:rsidP="00A04C57">
            <w:pPr>
              <w:ind w:left="62"/>
              <w:jc w:val="center"/>
              <w:rPr>
                <w:rFonts w:asciiTheme="minorHAnsi" w:hAnsiTheme="minorHAnsi" w:cstheme="minorHAnsi"/>
                <w:sz w:val="18"/>
              </w:rPr>
            </w:pPr>
            <w:r w:rsidRPr="006263CF">
              <w:rPr>
                <w:rFonts w:asciiTheme="minorHAnsi" w:hAnsiTheme="minorHAnsi" w:cstheme="minorHAnsi"/>
                <w:b/>
                <w:bCs/>
                <w:color w:val="000000"/>
                <w:szCs w:val="22"/>
              </w:rPr>
              <w:t>Група А</w:t>
            </w:r>
          </w:p>
        </w:tc>
        <w:tc>
          <w:tcPr>
            <w:tcW w:w="1608" w:type="dxa"/>
            <w:tcBorders>
              <w:top w:val="nil"/>
              <w:left w:val="nil"/>
              <w:bottom w:val="nil"/>
              <w:right w:val="nil"/>
            </w:tcBorders>
            <w:shd w:val="clear" w:color="auto" w:fill="C1C8E4"/>
            <w:vAlign w:val="center"/>
          </w:tcPr>
          <w:p w:rsidR="00A04C57" w:rsidRPr="006263CF" w:rsidRDefault="00A04C57" w:rsidP="00A04C57">
            <w:pPr>
              <w:ind w:left="62"/>
              <w:jc w:val="center"/>
              <w:rPr>
                <w:rFonts w:asciiTheme="minorHAnsi" w:hAnsiTheme="minorHAnsi" w:cstheme="minorHAnsi"/>
                <w:sz w:val="18"/>
              </w:rPr>
            </w:pPr>
            <w:r w:rsidRPr="006263CF">
              <w:rPr>
                <w:rFonts w:asciiTheme="minorHAnsi" w:hAnsiTheme="minorHAnsi" w:cstheme="minorHAnsi"/>
                <w:b/>
                <w:bCs/>
                <w:color w:val="000000"/>
                <w:szCs w:val="22"/>
              </w:rPr>
              <w:t>Група B</w:t>
            </w:r>
          </w:p>
        </w:tc>
        <w:tc>
          <w:tcPr>
            <w:tcW w:w="3077" w:type="dxa"/>
            <w:tcBorders>
              <w:top w:val="nil"/>
              <w:left w:val="nil"/>
              <w:bottom w:val="nil"/>
              <w:right w:val="nil"/>
            </w:tcBorders>
            <w:shd w:val="clear" w:color="auto" w:fill="C1C8E4"/>
            <w:vAlign w:val="center"/>
          </w:tcPr>
          <w:p w:rsidR="00A04C57" w:rsidRPr="006263CF" w:rsidRDefault="00A04C57" w:rsidP="00A04C57">
            <w:pPr>
              <w:ind w:left="62"/>
              <w:jc w:val="center"/>
              <w:rPr>
                <w:rFonts w:asciiTheme="minorHAnsi" w:hAnsiTheme="minorHAnsi" w:cstheme="minorHAnsi"/>
                <w:sz w:val="18"/>
              </w:rPr>
            </w:pPr>
            <w:r w:rsidRPr="006263CF">
              <w:rPr>
                <w:rFonts w:asciiTheme="minorHAnsi" w:hAnsiTheme="minorHAnsi" w:cstheme="minorHAnsi"/>
                <w:b/>
                <w:bCs/>
                <w:color w:val="000000"/>
                <w:szCs w:val="22"/>
              </w:rPr>
              <w:t>Група C</w:t>
            </w:r>
            <w:r w:rsidRPr="006263CF">
              <w:rPr>
                <w:rFonts w:asciiTheme="minorHAnsi" w:hAnsiTheme="minorHAnsi" w:cstheme="minorHAnsi"/>
                <w:b/>
                <w:bCs/>
                <w:color w:val="000000"/>
                <w:szCs w:val="22"/>
                <w:vertAlign w:val="superscript"/>
              </w:rPr>
              <w:t>b</w:t>
            </w:r>
          </w:p>
        </w:tc>
        <w:tc>
          <w:tcPr>
            <w:tcW w:w="4834" w:type="dxa"/>
            <w:vMerge/>
            <w:tcBorders>
              <w:left w:val="nil"/>
              <w:bottom w:val="nil"/>
              <w:right w:val="nil"/>
            </w:tcBorders>
            <w:shd w:val="clear" w:color="auto" w:fill="FFFFFF"/>
            <w:vAlign w:val="center"/>
          </w:tcPr>
          <w:p w:rsidR="00A04C57" w:rsidRPr="006263CF" w:rsidRDefault="00A04C57" w:rsidP="00A04C57">
            <w:pPr>
              <w:rPr>
                <w:rFonts w:asciiTheme="minorHAnsi" w:hAnsiTheme="minorHAnsi" w:cstheme="minorHAnsi"/>
                <w:sz w:val="18"/>
              </w:rPr>
            </w:pPr>
          </w:p>
        </w:tc>
      </w:tr>
      <w:tr w:rsidR="005225B5" w:rsidRPr="006263CF" w:rsidTr="00A04C57">
        <w:trPr>
          <w:trHeight w:val="20"/>
        </w:trPr>
        <w:tc>
          <w:tcPr>
            <w:tcW w:w="2726" w:type="dxa"/>
            <w:tcBorders>
              <w:top w:val="nil"/>
              <w:left w:val="nil"/>
              <w:bottom w:val="single" w:sz="4" w:space="0" w:color="1F61AA"/>
              <w:right w:val="nil"/>
            </w:tcBorders>
            <w:shd w:val="clear" w:color="auto" w:fill="FFFFFF"/>
          </w:tcPr>
          <w:p w:rsidR="005225B5" w:rsidRPr="006263CF" w:rsidRDefault="005225B5" w:rsidP="00A04C57">
            <w:pPr>
              <w:ind w:left="244" w:hanging="182"/>
              <w:rPr>
                <w:rFonts w:asciiTheme="minorHAnsi" w:hAnsiTheme="minorHAnsi" w:cstheme="minorHAnsi"/>
                <w:sz w:val="18"/>
              </w:rPr>
            </w:pPr>
            <w:r w:rsidRPr="006263CF">
              <w:rPr>
                <w:rFonts w:asciiTheme="minorHAnsi" w:hAnsiTheme="minorHAnsi" w:cstheme="minorHAnsi"/>
                <w:color w:val="000000"/>
                <w:szCs w:val="22"/>
              </w:rPr>
              <w:t>5 Обидва лікарських препарати групи В</w:t>
            </w:r>
          </w:p>
        </w:tc>
        <w:tc>
          <w:tcPr>
            <w:tcW w:w="1795" w:type="dxa"/>
            <w:tcBorders>
              <w:top w:val="nil"/>
              <w:left w:val="nil"/>
              <w:bottom w:val="single" w:sz="4" w:space="0" w:color="1F61AA"/>
              <w:right w:val="nil"/>
            </w:tcBorders>
            <w:shd w:val="clear" w:color="auto" w:fill="FFFFFF"/>
          </w:tcPr>
          <w:p w:rsidR="005225B5" w:rsidRPr="006263CF" w:rsidRDefault="005225B5" w:rsidP="00A04C57">
            <w:pPr>
              <w:ind w:left="62"/>
              <w:rPr>
                <w:rFonts w:asciiTheme="minorHAnsi" w:hAnsiTheme="minorHAnsi" w:cstheme="minorHAnsi"/>
                <w:sz w:val="18"/>
              </w:rPr>
            </w:pPr>
            <w:r w:rsidRPr="006263CF">
              <w:rPr>
                <w:rFonts w:asciiTheme="minorHAnsi" w:hAnsiTheme="minorHAnsi" w:cstheme="minorHAnsi"/>
                <w:color w:val="000000"/>
                <w:szCs w:val="22"/>
              </w:rPr>
              <w:t>Усі 3 лікарських препарати</w:t>
            </w:r>
          </w:p>
        </w:tc>
        <w:tc>
          <w:tcPr>
            <w:tcW w:w="1608" w:type="dxa"/>
            <w:tcBorders>
              <w:top w:val="nil"/>
              <w:left w:val="nil"/>
              <w:bottom w:val="single" w:sz="4" w:space="0" w:color="1F61AA"/>
              <w:right w:val="nil"/>
            </w:tcBorders>
            <w:shd w:val="clear" w:color="auto" w:fill="FFFFFF"/>
          </w:tcPr>
          <w:p w:rsidR="005225B5" w:rsidRPr="006263CF" w:rsidRDefault="005225B5" w:rsidP="00A04C57">
            <w:pPr>
              <w:ind w:left="62"/>
              <w:rPr>
                <w:rFonts w:asciiTheme="minorHAnsi" w:hAnsiTheme="minorHAnsi" w:cstheme="minorHAnsi"/>
                <w:sz w:val="18"/>
              </w:rPr>
            </w:pPr>
            <w:r w:rsidRPr="006263CF">
              <w:rPr>
                <w:rFonts w:asciiTheme="minorHAnsi" w:hAnsiTheme="minorHAnsi" w:cstheme="minorHAnsi"/>
                <w:color w:val="000000"/>
                <w:szCs w:val="22"/>
              </w:rPr>
              <w:t>Жоден</w:t>
            </w:r>
          </w:p>
        </w:tc>
        <w:tc>
          <w:tcPr>
            <w:tcW w:w="3077" w:type="dxa"/>
            <w:tcBorders>
              <w:top w:val="nil"/>
              <w:left w:val="nil"/>
              <w:bottom w:val="single" w:sz="4" w:space="0" w:color="1F61AA"/>
              <w:right w:val="nil"/>
            </w:tcBorders>
            <w:shd w:val="clear" w:color="auto" w:fill="FFFFFF"/>
          </w:tcPr>
          <w:p w:rsidR="005225B5" w:rsidRPr="006263CF" w:rsidRDefault="005225B5" w:rsidP="00A04C57">
            <w:pPr>
              <w:ind w:left="62"/>
              <w:rPr>
                <w:rFonts w:asciiTheme="minorHAnsi" w:hAnsiTheme="minorHAnsi" w:cstheme="minorHAnsi"/>
                <w:sz w:val="18"/>
              </w:rPr>
            </w:pPr>
            <w:r w:rsidRPr="006263CF">
              <w:rPr>
                <w:rFonts w:asciiTheme="minorHAnsi" w:hAnsiTheme="minorHAnsi" w:cstheme="minorHAnsi"/>
                <w:color w:val="000000"/>
                <w:szCs w:val="22"/>
              </w:rPr>
              <w:t>1 чи 2 лікарських препарати</w:t>
            </w:r>
          </w:p>
        </w:tc>
        <w:tc>
          <w:tcPr>
            <w:tcW w:w="4834" w:type="dxa"/>
            <w:tcBorders>
              <w:top w:val="nil"/>
              <w:left w:val="nil"/>
              <w:bottom w:val="single" w:sz="4" w:space="0" w:color="1F61AA"/>
              <w:right w:val="nil"/>
            </w:tcBorders>
            <w:shd w:val="clear" w:color="auto" w:fill="FFFFFF"/>
          </w:tcPr>
          <w:p w:rsidR="005225B5" w:rsidRPr="006263CF" w:rsidRDefault="005225B5" w:rsidP="00A04C57">
            <w:pPr>
              <w:ind w:left="62"/>
              <w:rPr>
                <w:rFonts w:asciiTheme="minorHAnsi" w:hAnsiTheme="minorHAnsi" w:cstheme="minorHAnsi"/>
                <w:sz w:val="18"/>
              </w:rPr>
            </w:pPr>
            <w:r w:rsidRPr="006263CF">
              <w:rPr>
                <w:rFonts w:asciiTheme="minorHAnsi" w:hAnsiTheme="minorHAnsi" w:cstheme="minorHAnsi"/>
                <w:color w:val="000000"/>
                <w:szCs w:val="22"/>
              </w:rPr>
              <w:t>18 БДК</w:t>
            </w:r>
            <w:r w:rsidRPr="006263CF">
              <w:rPr>
                <w:rFonts w:asciiTheme="minorHAnsi" w:hAnsiTheme="minorHAnsi" w:cstheme="minorHAnsi"/>
                <w:color w:val="000000"/>
                <w:szCs w:val="22"/>
                <w:vertAlign w:val="subscript"/>
              </w:rPr>
              <w:t>(6 місяців чи довше)</w:t>
            </w:r>
            <w:r w:rsidRPr="006263CF">
              <w:rPr>
                <w:rFonts w:asciiTheme="minorHAnsi" w:hAnsiTheme="minorHAnsi" w:cstheme="minorHAnsi"/>
                <w:color w:val="000000"/>
                <w:szCs w:val="22"/>
              </w:rPr>
              <w:t xml:space="preserve"> -(ЛФЦ чи МФЦ)-ЛЗД-ДЛМ</w:t>
            </w:r>
            <w:r w:rsidRPr="006263CF">
              <w:rPr>
                <w:rFonts w:asciiTheme="minorHAnsi" w:hAnsiTheme="minorHAnsi" w:cstheme="minorHAnsi"/>
                <w:color w:val="000000"/>
                <w:szCs w:val="22"/>
                <w:vertAlign w:val="subscript"/>
              </w:rPr>
              <w:t>(6 місяців чи довше)</w:t>
            </w:r>
          </w:p>
          <w:p w:rsidR="005225B5" w:rsidRPr="006263CF" w:rsidRDefault="005225B5" w:rsidP="00A04C57">
            <w:pPr>
              <w:ind w:left="62"/>
              <w:rPr>
                <w:rFonts w:asciiTheme="minorHAnsi" w:hAnsiTheme="minorHAnsi" w:cstheme="minorHAnsi"/>
                <w:sz w:val="18"/>
              </w:rPr>
            </w:pPr>
            <w:r w:rsidRPr="006263CF">
              <w:rPr>
                <w:rFonts w:asciiTheme="minorHAnsi" w:hAnsiTheme="minorHAnsi" w:cstheme="minorHAnsi"/>
                <w:color w:val="000000"/>
                <w:szCs w:val="22"/>
              </w:rPr>
              <w:t>-(З чи Е)</w:t>
            </w:r>
          </w:p>
          <w:p w:rsidR="005225B5" w:rsidRPr="006263CF" w:rsidRDefault="005225B5" w:rsidP="00A04C57">
            <w:pPr>
              <w:ind w:left="62"/>
              <w:rPr>
                <w:rFonts w:asciiTheme="minorHAnsi" w:hAnsiTheme="minorHAnsi" w:cstheme="minorHAnsi"/>
                <w:sz w:val="18"/>
              </w:rPr>
            </w:pPr>
            <w:r w:rsidRPr="006263CF">
              <w:rPr>
                <w:rFonts w:asciiTheme="minorHAnsi" w:hAnsiTheme="minorHAnsi" w:cstheme="minorHAnsi"/>
                <w:color w:val="000000"/>
                <w:szCs w:val="22"/>
              </w:rPr>
              <w:t>Замінити на лікарські засоби групи С, якщо є підозра на стійкість до Е або З</w:t>
            </w:r>
          </w:p>
        </w:tc>
      </w:tr>
      <w:tr w:rsidR="005225B5" w:rsidRPr="006263CF" w:rsidTr="00A04C57">
        <w:trPr>
          <w:trHeight w:val="20"/>
        </w:trPr>
        <w:tc>
          <w:tcPr>
            <w:tcW w:w="2726" w:type="dxa"/>
            <w:tcBorders>
              <w:top w:val="single" w:sz="4" w:space="0" w:color="1F61AA"/>
              <w:left w:val="nil"/>
              <w:bottom w:val="single" w:sz="4" w:space="0" w:color="1F61AA"/>
              <w:right w:val="nil"/>
            </w:tcBorders>
            <w:shd w:val="clear" w:color="auto" w:fill="FFFFFF"/>
          </w:tcPr>
          <w:p w:rsidR="005225B5" w:rsidRPr="006263CF" w:rsidRDefault="005225B5" w:rsidP="00A04C57">
            <w:pPr>
              <w:ind w:left="244" w:hanging="182"/>
              <w:rPr>
                <w:rFonts w:asciiTheme="minorHAnsi" w:hAnsiTheme="minorHAnsi" w:cstheme="minorHAnsi"/>
                <w:sz w:val="18"/>
              </w:rPr>
            </w:pPr>
            <w:r w:rsidRPr="006263CF">
              <w:rPr>
                <w:rFonts w:asciiTheme="minorHAnsi" w:hAnsiTheme="minorHAnsi" w:cstheme="minorHAnsi"/>
                <w:color w:val="000000"/>
                <w:szCs w:val="22"/>
              </w:rPr>
              <w:t xml:space="preserve">6 Один лікарський препарат із Групи А чи обидва лікарських препарати із Групи В </w:t>
            </w:r>
          </w:p>
        </w:tc>
        <w:tc>
          <w:tcPr>
            <w:tcW w:w="1795" w:type="dxa"/>
            <w:tcBorders>
              <w:top w:val="single" w:sz="4" w:space="0" w:color="1F61AA"/>
              <w:left w:val="nil"/>
              <w:bottom w:val="single" w:sz="4" w:space="0" w:color="1F61AA"/>
              <w:right w:val="nil"/>
            </w:tcBorders>
            <w:shd w:val="clear" w:color="auto" w:fill="FFFFFF"/>
          </w:tcPr>
          <w:p w:rsidR="005225B5" w:rsidRPr="006263CF" w:rsidRDefault="005225B5" w:rsidP="00A04C57">
            <w:pPr>
              <w:ind w:left="62"/>
              <w:rPr>
                <w:rFonts w:asciiTheme="minorHAnsi" w:hAnsiTheme="minorHAnsi" w:cstheme="minorHAnsi"/>
                <w:sz w:val="18"/>
              </w:rPr>
            </w:pPr>
            <w:r w:rsidRPr="006263CF">
              <w:rPr>
                <w:rFonts w:asciiTheme="minorHAnsi" w:hAnsiTheme="minorHAnsi" w:cstheme="minorHAnsi"/>
                <w:color w:val="000000"/>
                <w:szCs w:val="22"/>
              </w:rPr>
              <w:t>Залишилось 2 лікарських препарати</w:t>
            </w:r>
          </w:p>
        </w:tc>
        <w:tc>
          <w:tcPr>
            <w:tcW w:w="1608" w:type="dxa"/>
            <w:tcBorders>
              <w:top w:val="single" w:sz="4" w:space="0" w:color="1F61AA"/>
              <w:left w:val="nil"/>
              <w:bottom w:val="single" w:sz="4" w:space="0" w:color="1F61AA"/>
              <w:right w:val="nil"/>
            </w:tcBorders>
            <w:shd w:val="clear" w:color="auto" w:fill="FFFFFF"/>
          </w:tcPr>
          <w:p w:rsidR="005225B5" w:rsidRPr="006263CF" w:rsidRDefault="005225B5" w:rsidP="00A04C57">
            <w:pPr>
              <w:ind w:left="62"/>
              <w:rPr>
                <w:rFonts w:asciiTheme="minorHAnsi" w:hAnsiTheme="minorHAnsi" w:cstheme="minorHAnsi"/>
                <w:sz w:val="18"/>
              </w:rPr>
            </w:pPr>
            <w:r w:rsidRPr="006263CF">
              <w:rPr>
                <w:rFonts w:asciiTheme="minorHAnsi" w:hAnsiTheme="minorHAnsi" w:cstheme="minorHAnsi"/>
                <w:color w:val="000000"/>
                <w:szCs w:val="22"/>
              </w:rPr>
              <w:t>Жоден</w:t>
            </w:r>
          </w:p>
        </w:tc>
        <w:tc>
          <w:tcPr>
            <w:tcW w:w="3077" w:type="dxa"/>
            <w:tcBorders>
              <w:top w:val="single" w:sz="4" w:space="0" w:color="1F61AA"/>
              <w:left w:val="nil"/>
              <w:bottom w:val="single" w:sz="4" w:space="0" w:color="1F61AA"/>
              <w:right w:val="nil"/>
            </w:tcBorders>
            <w:shd w:val="clear" w:color="auto" w:fill="FFFFFF"/>
          </w:tcPr>
          <w:p w:rsidR="005225B5" w:rsidRPr="006263CF" w:rsidRDefault="005225B5" w:rsidP="00A04C57">
            <w:pPr>
              <w:ind w:left="62"/>
              <w:rPr>
                <w:rFonts w:asciiTheme="minorHAnsi" w:hAnsiTheme="minorHAnsi" w:cstheme="minorHAnsi"/>
                <w:sz w:val="18"/>
              </w:rPr>
            </w:pPr>
            <w:r w:rsidRPr="006263CF">
              <w:rPr>
                <w:rFonts w:asciiTheme="minorHAnsi" w:hAnsiTheme="minorHAnsi" w:cstheme="minorHAnsi"/>
                <w:color w:val="000000"/>
                <w:szCs w:val="22"/>
              </w:rPr>
              <w:t>Як мінімум 3 лікарських препарати</w:t>
            </w:r>
          </w:p>
        </w:tc>
        <w:tc>
          <w:tcPr>
            <w:tcW w:w="4834" w:type="dxa"/>
            <w:tcBorders>
              <w:top w:val="single" w:sz="4" w:space="0" w:color="1F61AA"/>
              <w:left w:val="nil"/>
              <w:bottom w:val="single" w:sz="4" w:space="0" w:color="1F61AA"/>
              <w:right w:val="nil"/>
            </w:tcBorders>
            <w:shd w:val="clear" w:color="auto" w:fill="FFFFFF"/>
          </w:tcPr>
          <w:p w:rsidR="005225B5" w:rsidRPr="006263CF" w:rsidRDefault="005225B5" w:rsidP="00A04C57">
            <w:pPr>
              <w:ind w:left="62"/>
              <w:rPr>
                <w:rFonts w:asciiTheme="minorHAnsi" w:hAnsiTheme="minorHAnsi" w:cstheme="minorHAnsi"/>
                <w:sz w:val="18"/>
              </w:rPr>
            </w:pPr>
            <w:r w:rsidRPr="006263CF">
              <w:rPr>
                <w:rFonts w:asciiTheme="minorHAnsi" w:hAnsiTheme="minorHAnsi" w:cstheme="minorHAnsi"/>
                <w:color w:val="000000"/>
                <w:szCs w:val="22"/>
              </w:rPr>
              <w:t>18 БДК</w:t>
            </w:r>
            <w:r w:rsidRPr="006263CF">
              <w:rPr>
                <w:rFonts w:asciiTheme="minorHAnsi" w:hAnsiTheme="minorHAnsi" w:cstheme="minorHAnsi"/>
                <w:color w:val="000000"/>
                <w:szCs w:val="22"/>
                <w:vertAlign w:val="subscript"/>
              </w:rPr>
              <w:t>(6 місяців чи довше)</w:t>
            </w:r>
            <w:r w:rsidRPr="006263CF">
              <w:rPr>
                <w:rFonts w:asciiTheme="minorHAnsi" w:hAnsiTheme="minorHAnsi" w:cstheme="minorHAnsi"/>
                <w:color w:val="000000"/>
                <w:szCs w:val="22"/>
              </w:rPr>
              <w:t xml:space="preserve"> -(ЛФЦ чи МФЦ)-ДЛМ</w:t>
            </w:r>
            <w:r w:rsidRPr="006263CF">
              <w:rPr>
                <w:rFonts w:asciiTheme="minorHAnsi" w:hAnsiTheme="minorHAnsi" w:cstheme="minorHAnsi"/>
                <w:color w:val="000000"/>
                <w:szCs w:val="22"/>
                <w:vertAlign w:val="subscript"/>
              </w:rPr>
              <w:t xml:space="preserve">(6 місяців чи довше) </w:t>
            </w:r>
            <w:r w:rsidRPr="006263CF">
              <w:rPr>
                <w:rFonts w:asciiTheme="minorHAnsi" w:hAnsiTheme="minorHAnsi" w:cstheme="minorHAnsi"/>
                <w:color w:val="000000"/>
                <w:szCs w:val="22"/>
              </w:rPr>
              <w:t>-З-Е</w:t>
            </w:r>
          </w:p>
          <w:p w:rsidR="005225B5" w:rsidRPr="006263CF" w:rsidRDefault="005225B5" w:rsidP="00A04C57">
            <w:pPr>
              <w:tabs>
                <w:tab w:val="left" w:leader="hyphen" w:pos="2251"/>
              </w:tabs>
              <w:ind w:left="62"/>
              <w:rPr>
                <w:rFonts w:asciiTheme="minorHAnsi" w:hAnsiTheme="minorHAnsi" w:cstheme="minorHAnsi"/>
                <w:sz w:val="18"/>
              </w:rPr>
            </w:pPr>
            <w:r w:rsidRPr="006263CF">
              <w:rPr>
                <w:rFonts w:asciiTheme="minorHAnsi" w:hAnsiTheme="minorHAnsi" w:cstheme="minorHAnsi"/>
                <w:color w:val="000000"/>
                <w:szCs w:val="22"/>
              </w:rPr>
              <w:tab/>
            </w:r>
          </w:p>
          <w:p w:rsidR="005225B5" w:rsidRPr="006263CF" w:rsidRDefault="005225B5" w:rsidP="00A04C57">
            <w:pPr>
              <w:ind w:left="62"/>
              <w:rPr>
                <w:rFonts w:asciiTheme="minorHAnsi" w:hAnsiTheme="minorHAnsi" w:cstheme="minorHAnsi"/>
                <w:sz w:val="18"/>
              </w:rPr>
            </w:pPr>
            <w:r w:rsidRPr="006263CF">
              <w:rPr>
                <w:rFonts w:asciiTheme="minorHAnsi" w:hAnsiTheme="minorHAnsi" w:cstheme="minorHAnsi"/>
                <w:color w:val="000000"/>
                <w:szCs w:val="22"/>
              </w:rPr>
              <w:t>18(ЛФЦ чи МФЦ)-ЛЗД-ДЛМ</w:t>
            </w:r>
            <w:r w:rsidRPr="006263CF">
              <w:rPr>
                <w:rFonts w:asciiTheme="minorHAnsi" w:hAnsiTheme="minorHAnsi" w:cstheme="minorHAnsi"/>
                <w:color w:val="000000"/>
                <w:szCs w:val="22"/>
                <w:vertAlign w:val="subscript"/>
              </w:rPr>
              <w:t>(6 місяців чи довше)</w:t>
            </w:r>
            <w:r w:rsidRPr="006263CF">
              <w:rPr>
                <w:rFonts w:asciiTheme="minorHAnsi" w:hAnsiTheme="minorHAnsi" w:cstheme="minorHAnsi"/>
                <w:color w:val="000000"/>
                <w:szCs w:val="22"/>
              </w:rPr>
              <w:t xml:space="preserve"> - З- Е</w:t>
            </w:r>
          </w:p>
          <w:p w:rsidR="005225B5" w:rsidRPr="006263CF" w:rsidRDefault="005225B5" w:rsidP="00A04C57">
            <w:pPr>
              <w:tabs>
                <w:tab w:val="left" w:leader="hyphen" w:pos="2342"/>
              </w:tabs>
              <w:ind w:left="62"/>
              <w:rPr>
                <w:rFonts w:asciiTheme="minorHAnsi" w:hAnsiTheme="minorHAnsi" w:cstheme="minorHAnsi"/>
                <w:sz w:val="18"/>
              </w:rPr>
            </w:pPr>
            <w:r w:rsidRPr="006263CF">
              <w:rPr>
                <w:rFonts w:asciiTheme="minorHAnsi" w:hAnsiTheme="minorHAnsi" w:cstheme="minorHAnsi"/>
                <w:color w:val="000000"/>
                <w:szCs w:val="22"/>
              </w:rPr>
              <w:tab/>
            </w:r>
          </w:p>
          <w:p w:rsidR="005225B5" w:rsidRPr="006263CF" w:rsidRDefault="005225B5" w:rsidP="00A04C57">
            <w:pPr>
              <w:ind w:left="62"/>
              <w:rPr>
                <w:rFonts w:asciiTheme="minorHAnsi" w:hAnsiTheme="minorHAnsi" w:cstheme="minorHAnsi"/>
                <w:sz w:val="18"/>
              </w:rPr>
            </w:pPr>
            <w:r w:rsidRPr="006263CF">
              <w:rPr>
                <w:rFonts w:asciiTheme="minorHAnsi" w:hAnsiTheme="minorHAnsi" w:cstheme="minorHAnsi"/>
                <w:color w:val="000000"/>
                <w:szCs w:val="22"/>
              </w:rPr>
              <w:t>18 БДК</w:t>
            </w:r>
            <w:r w:rsidRPr="006263CF">
              <w:rPr>
                <w:rFonts w:asciiTheme="minorHAnsi" w:hAnsiTheme="minorHAnsi" w:cstheme="minorHAnsi"/>
                <w:color w:val="000000"/>
                <w:szCs w:val="22"/>
                <w:vertAlign w:val="subscript"/>
              </w:rPr>
              <w:t>(6</w:t>
            </w:r>
            <w:r w:rsidRPr="006263CF">
              <w:rPr>
                <w:rFonts w:asciiTheme="minorHAnsi" w:hAnsiTheme="minorHAnsi" w:cstheme="minorHAnsi"/>
                <w:color w:val="000000"/>
                <w:sz w:val="18"/>
                <w:vertAlign w:val="subscript"/>
              </w:rPr>
              <w:t xml:space="preserve"> місяців чи довше)-ЛЗД-ДЛМ(6 місяців чи довше)</w:t>
            </w:r>
            <w:r w:rsidRPr="006263CF">
              <w:rPr>
                <w:rFonts w:asciiTheme="minorHAnsi" w:hAnsiTheme="minorHAnsi" w:cstheme="minorHAnsi"/>
                <w:color w:val="000000"/>
                <w:szCs w:val="22"/>
              </w:rPr>
              <w:t xml:space="preserve"> -З-E</w:t>
            </w:r>
          </w:p>
          <w:p w:rsidR="005225B5" w:rsidRPr="006263CF" w:rsidRDefault="005225B5" w:rsidP="00A04C57">
            <w:pPr>
              <w:ind w:left="62"/>
              <w:rPr>
                <w:rFonts w:asciiTheme="minorHAnsi" w:hAnsiTheme="minorHAnsi" w:cstheme="minorHAnsi"/>
                <w:sz w:val="18"/>
              </w:rPr>
            </w:pPr>
            <w:r w:rsidRPr="006263CF">
              <w:rPr>
                <w:rFonts w:asciiTheme="minorHAnsi" w:hAnsiTheme="minorHAnsi" w:cstheme="minorHAnsi"/>
                <w:color w:val="000000"/>
                <w:szCs w:val="22"/>
              </w:rPr>
              <w:t>Замінити на лікарські засоби групи С, якщо є підозра на стійкість до Е або З</w:t>
            </w:r>
          </w:p>
        </w:tc>
      </w:tr>
      <w:tr w:rsidR="005225B5" w:rsidRPr="006263CF" w:rsidTr="00A04C57">
        <w:trPr>
          <w:trHeight w:val="20"/>
        </w:trPr>
        <w:tc>
          <w:tcPr>
            <w:tcW w:w="2726" w:type="dxa"/>
            <w:tcBorders>
              <w:top w:val="single" w:sz="4" w:space="0" w:color="1F61AA"/>
              <w:left w:val="nil"/>
              <w:bottom w:val="single" w:sz="4" w:space="0" w:color="1F61AA"/>
              <w:right w:val="nil"/>
            </w:tcBorders>
            <w:shd w:val="clear" w:color="auto" w:fill="FFFFFF"/>
          </w:tcPr>
          <w:p w:rsidR="005225B5" w:rsidRPr="006263CF" w:rsidRDefault="005225B5" w:rsidP="00A04C57">
            <w:pPr>
              <w:ind w:left="244" w:right="134" w:hanging="182"/>
              <w:rPr>
                <w:rFonts w:asciiTheme="minorHAnsi" w:hAnsiTheme="minorHAnsi" w:cstheme="minorHAnsi"/>
                <w:sz w:val="18"/>
              </w:rPr>
            </w:pPr>
            <w:r w:rsidRPr="006263CF">
              <w:rPr>
                <w:rFonts w:asciiTheme="minorHAnsi" w:hAnsiTheme="minorHAnsi" w:cstheme="minorHAnsi"/>
                <w:color w:val="000000"/>
                <w:szCs w:val="22"/>
              </w:rPr>
              <w:t>7 Усі лікарські засоби з Групи А</w:t>
            </w:r>
          </w:p>
        </w:tc>
        <w:tc>
          <w:tcPr>
            <w:tcW w:w="1795" w:type="dxa"/>
            <w:tcBorders>
              <w:top w:val="single" w:sz="4" w:space="0" w:color="1F61AA"/>
              <w:left w:val="nil"/>
              <w:bottom w:val="single" w:sz="4" w:space="0" w:color="1F61AA"/>
              <w:right w:val="nil"/>
            </w:tcBorders>
            <w:shd w:val="clear" w:color="auto" w:fill="FFFFFF"/>
          </w:tcPr>
          <w:p w:rsidR="005225B5" w:rsidRPr="006263CF" w:rsidRDefault="005225B5" w:rsidP="00A04C57">
            <w:pPr>
              <w:ind w:left="62"/>
              <w:rPr>
                <w:rFonts w:asciiTheme="minorHAnsi" w:hAnsiTheme="minorHAnsi" w:cstheme="minorHAnsi"/>
                <w:sz w:val="18"/>
              </w:rPr>
            </w:pPr>
            <w:r w:rsidRPr="006263CF">
              <w:rPr>
                <w:rFonts w:asciiTheme="minorHAnsi" w:hAnsiTheme="minorHAnsi" w:cstheme="minorHAnsi"/>
                <w:color w:val="000000"/>
                <w:szCs w:val="22"/>
              </w:rPr>
              <w:t>Жоден</w:t>
            </w:r>
            <w:r w:rsidRPr="006263CF">
              <w:rPr>
                <w:rFonts w:asciiTheme="minorHAnsi" w:hAnsiTheme="minorHAnsi" w:cstheme="minorHAnsi"/>
                <w:color w:val="000000"/>
                <w:szCs w:val="22"/>
                <w:vertAlign w:val="superscript"/>
              </w:rPr>
              <w:t>d</w:t>
            </w:r>
          </w:p>
        </w:tc>
        <w:tc>
          <w:tcPr>
            <w:tcW w:w="1608" w:type="dxa"/>
            <w:tcBorders>
              <w:top w:val="single" w:sz="4" w:space="0" w:color="1F61AA"/>
              <w:left w:val="nil"/>
              <w:bottom w:val="single" w:sz="4" w:space="0" w:color="1F61AA"/>
              <w:right w:val="nil"/>
            </w:tcBorders>
            <w:shd w:val="clear" w:color="auto" w:fill="FFFFFF"/>
          </w:tcPr>
          <w:p w:rsidR="005225B5" w:rsidRPr="006263CF" w:rsidRDefault="005225B5" w:rsidP="00A04C57">
            <w:pPr>
              <w:ind w:left="62"/>
              <w:rPr>
                <w:rFonts w:asciiTheme="minorHAnsi" w:hAnsiTheme="minorHAnsi" w:cstheme="minorHAnsi"/>
                <w:sz w:val="18"/>
              </w:rPr>
            </w:pPr>
            <w:r w:rsidRPr="006263CF">
              <w:rPr>
                <w:rFonts w:asciiTheme="minorHAnsi" w:hAnsiTheme="minorHAnsi" w:cstheme="minorHAnsi"/>
                <w:color w:val="000000"/>
                <w:szCs w:val="22"/>
              </w:rPr>
              <w:t>Обидва</w:t>
            </w:r>
          </w:p>
        </w:tc>
        <w:tc>
          <w:tcPr>
            <w:tcW w:w="3077" w:type="dxa"/>
            <w:tcBorders>
              <w:top w:val="single" w:sz="4" w:space="0" w:color="1F61AA"/>
              <w:left w:val="nil"/>
              <w:bottom w:val="single" w:sz="4" w:space="0" w:color="1F61AA"/>
              <w:right w:val="nil"/>
            </w:tcBorders>
            <w:shd w:val="clear" w:color="auto" w:fill="FFFFFF"/>
          </w:tcPr>
          <w:p w:rsidR="005225B5" w:rsidRPr="006263CF" w:rsidRDefault="005225B5" w:rsidP="00A04C57">
            <w:pPr>
              <w:ind w:left="62"/>
              <w:rPr>
                <w:rFonts w:asciiTheme="minorHAnsi" w:hAnsiTheme="minorHAnsi" w:cstheme="minorHAnsi"/>
                <w:sz w:val="18"/>
              </w:rPr>
            </w:pPr>
            <w:r w:rsidRPr="006263CF">
              <w:rPr>
                <w:rFonts w:asciiTheme="minorHAnsi" w:hAnsiTheme="minorHAnsi" w:cstheme="minorHAnsi"/>
                <w:color w:val="000000"/>
                <w:szCs w:val="22"/>
              </w:rPr>
              <w:t>3 чи більше лікарських препарати</w:t>
            </w:r>
          </w:p>
        </w:tc>
        <w:tc>
          <w:tcPr>
            <w:tcW w:w="4834" w:type="dxa"/>
            <w:tcBorders>
              <w:top w:val="single" w:sz="4" w:space="0" w:color="1F61AA"/>
              <w:left w:val="nil"/>
              <w:bottom w:val="single" w:sz="4" w:space="0" w:color="1F61AA"/>
              <w:right w:val="nil"/>
            </w:tcBorders>
            <w:shd w:val="clear" w:color="auto" w:fill="FFFFFF"/>
          </w:tcPr>
          <w:p w:rsidR="005225B5" w:rsidRPr="006263CF" w:rsidRDefault="005225B5" w:rsidP="00A04C57">
            <w:pPr>
              <w:ind w:left="62"/>
              <w:rPr>
                <w:rFonts w:asciiTheme="minorHAnsi" w:hAnsiTheme="minorHAnsi" w:cstheme="minorHAnsi"/>
                <w:sz w:val="18"/>
              </w:rPr>
            </w:pPr>
            <w:r w:rsidRPr="006263CF">
              <w:rPr>
                <w:rFonts w:asciiTheme="minorHAnsi" w:hAnsiTheme="minorHAnsi" w:cstheme="minorHAnsi"/>
                <w:color w:val="000000"/>
                <w:szCs w:val="22"/>
              </w:rPr>
              <w:t>18-20 КФЗ-ЦС-ДЛМ-З-Е</w:t>
            </w:r>
          </w:p>
          <w:p w:rsidR="005225B5" w:rsidRPr="006263CF" w:rsidRDefault="005225B5" w:rsidP="00A04C57">
            <w:pPr>
              <w:ind w:left="62"/>
              <w:rPr>
                <w:rFonts w:asciiTheme="minorHAnsi" w:hAnsiTheme="minorHAnsi" w:cstheme="minorHAnsi"/>
                <w:sz w:val="18"/>
              </w:rPr>
            </w:pPr>
            <w:r w:rsidRPr="006263CF">
              <w:rPr>
                <w:rFonts w:asciiTheme="minorHAnsi" w:hAnsiTheme="minorHAnsi" w:cstheme="minorHAnsi"/>
                <w:color w:val="000000"/>
                <w:szCs w:val="22"/>
              </w:rPr>
              <w:t>або інші комбінації лікарських засобів групи С в залежності від відомої або передбачуваної стійкості</w:t>
            </w:r>
          </w:p>
        </w:tc>
      </w:tr>
      <w:tr w:rsidR="005225B5" w:rsidRPr="006263CF" w:rsidTr="00A04C57">
        <w:trPr>
          <w:trHeight w:hRule="exact" w:val="3427"/>
        </w:trPr>
        <w:tc>
          <w:tcPr>
            <w:tcW w:w="14040" w:type="dxa"/>
            <w:gridSpan w:val="5"/>
            <w:tcBorders>
              <w:top w:val="single" w:sz="4" w:space="0" w:color="1F61AA"/>
              <w:left w:val="nil"/>
              <w:bottom w:val="nil"/>
              <w:right w:val="nil"/>
            </w:tcBorders>
            <w:shd w:val="clear" w:color="auto" w:fill="FFFFFF"/>
          </w:tcPr>
          <w:p w:rsidR="005225B5" w:rsidRPr="006263CF" w:rsidRDefault="005225B5" w:rsidP="00A04C57">
            <w:pPr>
              <w:spacing w:before="100"/>
              <w:rPr>
                <w:rFonts w:asciiTheme="minorHAnsi" w:hAnsiTheme="minorHAnsi" w:cstheme="minorHAnsi"/>
                <w:sz w:val="18"/>
              </w:rPr>
            </w:pPr>
            <w:r w:rsidRPr="006263CF">
              <w:rPr>
                <w:rFonts w:asciiTheme="minorHAnsi" w:hAnsiTheme="minorHAnsi" w:cstheme="minorHAnsi"/>
                <w:color w:val="000000"/>
                <w:sz w:val="14"/>
                <w:szCs w:val="16"/>
              </w:rPr>
              <w:t>БДК: бедаквілін; КФЗ: Клофазимін; ЦС: циклосерин; ДЛМ: деламанід; Е: етамбутол; ЛФЦ: лінезолід; м: місяці; МФЦ: моксифлоксацин; МІК: мінімальна інгібуюча концентрація; ТБ: туберкульоз; З: піразинамід.</w:t>
            </w:r>
          </w:p>
          <w:p w:rsidR="005225B5" w:rsidRPr="006263CF" w:rsidRDefault="00A04C57" w:rsidP="00A04C57">
            <w:pPr>
              <w:ind w:left="102" w:hanging="102"/>
              <w:rPr>
                <w:rFonts w:asciiTheme="minorHAnsi" w:hAnsiTheme="minorHAnsi" w:cstheme="minorHAnsi"/>
                <w:sz w:val="18"/>
              </w:rPr>
            </w:pPr>
            <w:r w:rsidRPr="006263CF">
              <w:rPr>
                <w:rFonts w:asciiTheme="minorHAnsi" w:hAnsiTheme="minorHAnsi" w:cstheme="minorHAnsi"/>
                <w:color w:val="000000"/>
                <w:sz w:val="14"/>
                <w:szCs w:val="16"/>
                <w:vertAlign w:val="superscript"/>
              </w:rPr>
              <w:t>a</w:t>
            </w:r>
            <w:r w:rsidR="005225B5" w:rsidRPr="006263CF">
              <w:rPr>
                <w:rFonts w:asciiTheme="minorHAnsi" w:hAnsiTheme="minorHAnsi" w:cstheme="minorHAnsi"/>
                <w:color w:val="000000"/>
                <w:sz w:val="14"/>
                <w:szCs w:val="16"/>
              </w:rPr>
              <w:t xml:space="preserve"> Представлені ситуації не є вичерпними. На вибір можуть впливати інші фактори, такі як ризик поганого результату для пацієнта або взаємодія лікарських засобів, уподобання лікаря і пацієнта і доступність лікарських препаратів. Можна додати більше лікарських препаратів, ніж рекомендований мінімум, при наявності граничної впевненості в ефективності всіх компонентів схеми лікування, якщо пацієнт піддався впливу в умовах, де часто зустрічається резистентність до лікарських засобів другої лінії і довгострокові схеми лікування МР-ТБ працюють погано, незважаючи на гарний програмний супровід МР/Риф-ТБ. Для МР-ТБ з підтвердженою стійкістю до фторхінолонів не використовується фторхінолон, і в разі необхідності застосування препаратів з групи С буде застосовуватися рекомендована класифікація ВООЗ з урахуванням співвідношення користь/ризик і індивідуальними обставинами.</w:t>
            </w:r>
          </w:p>
          <w:p w:rsidR="005225B5" w:rsidRPr="006263CF" w:rsidRDefault="00A04C57" w:rsidP="00A04C57">
            <w:pPr>
              <w:ind w:left="102" w:hanging="102"/>
              <w:rPr>
                <w:rFonts w:asciiTheme="minorHAnsi" w:hAnsiTheme="minorHAnsi" w:cstheme="minorHAnsi"/>
                <w:sz w:val="18"/>
              </w:rPr>
            </w:pPr>
            <w:r w:rsidRPr="006263CF">
              <w:rPr>
                <w:rFonts w:asciiTheme="minorHAnsi" w:hAnsiTheme="minorHAnsi" w:cstheme="minorHAnsi"/>
                <w:color w:val="000000"/>
                <w:sz w:val="14"/>
                <w:szCs w:val="16"/>
                <w:vertAlign w:val="superscript"/>
              </w:rPr>
              <w:t>b</w:t>
            </w:r>
            <w:r w:rsidR="005225B5" w:rsidRPr="006263CF">
              <w:rPr>
                <w:rFonts w:asciiTheme="minorHAnsi" w:hAnsiTheme="minorHAnsi" w:cstheme="minorHAnsi"/>
                <w:color w:val="000000"/>
                <w:sz w:val="14"/>
                <w:szCs w:val="16"/>
              </w:rPr>
              <w:t xml:space="preserve"> Вибір і кількість включених до групи С лікарських препаратів залежить від впевненості в ефективності лікарських препаратів цієї групи і інших компонентів схеми, таким чином: Якщо у групу 4 включені препарати групи А і Б, і є впевненість в кожному з них, то препарати групи С не потрібні. Якщо у групу 3 включені препарати групи А і Б, і є впевненість в кожному з них, то додаються щонайменше три препарати групи С. Якщо у групу 2 включені препарати групи А і Б, і є впевненість в кожному з них, то додаються щонайменше три препарати групи С.</w:t>
            </w:r>
          </w:p>
          <w:p w:rsidR="005225B5" w:rsidRPr="006263CF" w:rsidRDefault="00A04C57" w:rsidP="00A04C57">
            <w:pPr>
              <w:ind w:left="102" w:hanging="102"/>
              <w:rPr>
                <w:rFonts w:asciiTheme="minorHAnsi" w:hAnsiTheme="minorHAnsi" w:cstheme="minorHAnsi"/>
                <w:sz w:val="18"/>
              </w:rPr>
            </w:pPr>
            <w:r w:rsidRPr="006263CF">
              <w:rPr>
                <w:rFonts w:asciiTheme="minorHAnsi" w:hAnsiTheme="minorHAnsi" w:cstheme="minorHAnsi"/>
                <w:color w:val="000000"/>
                <w:sz w:val="14"/>
                <w:szCs w:val="16"/>
                <w:vertAlign w:val="superscript"/>
              </w:rPr>
              <w:t>c</w:t>
            </w:r>
            <w:r w:rsidR="005225B5" w:rsidRPr="006263CF">
              <w:rPr>
                <w:rFonts w:asciiTheme="minorHAnsi" w:hAnsiTheme="minorHAnsi" w:cstheme="minorHAnsi"/>
                <w:color w:val="000000"/>
                <w:sz w:val="14"/>
                <w:szCs w:val="16"/>
              </w:rPr>
              <w:t xml:space="preserve"> Незалежно від стійкості або протипоказань для лікарських препаратів групи С.</w:t>
            </w:r>
          </w:p>
          <w:p w:rsidR="005225B5" w:rsidRPr="006263CF" w:rsidRDefault="00A04C57" w:rsidP="00A04C57">
            <w:pPr>
              <w:ind w:left="102" w:hanging="102"/>
              <w:rPr>
                <w:rFonts w:asciiTheme="minorHAnsi" w:hAnsiTheme="minorHAnsi" w:cstheme="minorHAnsi"/>
                <w:sz w:val="18"/>
              </w:rPr>
            </w:pPr>
            <w:r w:rsidRPr="006263CF">
              <w:rPr>
                <w:rFonts w:asciiTheme="minorHAnsi" w:hAnsiTheme="minorHAnsi" w:cstheme="minorHAnsi"/>
                <w:color w:val="000000"/>
                <w:sz w:val="14"/>
                <w:szCs w:val="16"/>
                <w:vertAlign w:val="superscript"/>
              </w:rPr>
              <w:t>d</w:t>
            </w:r>
            <w:r w:rsidR="005225B5" w:rsidRPr="006263CF">
              <w:rPr>
                <w:rFonts w:asciiTheme="minorHAnsi" w:hAnsiTheme="minorHAnsi" w:cstheme="minorHAnsi"/>
                <w:color w:val="000000"/>
                <w:sz w:val="14"/>
                <w:szCs w:val="16"/>
              </w:rPr>
              <w:t xml:space="preserve"> Моксифлоксацин, фторхінолон більш пізнього покоління, все ще може бути ефективний при високих дозах, коли фторхінолон МІК знаходиться нижче клінічної критичної точки. Якщо MIC підвищений, то фторхінолони не застосовуються, і знадобляться додаткові препарати групи C.</w:t>
            </w:r>
          </w:p>
        </w:tc>
      </w:tr>
    </w:tbl>
    <w:p w:rsidR="005225B5" w:rsidRPr="006263CF" w:rsidRDefault="005225B5" w:rsidP="006263CF">
      <w:pPr>
        <w:rPr>
          <w:rFonts w:asciiTheme="minorHAnsi" w:hAnsiTheme="minorHAnsi" w:cstheme="minorHAnsi"/>
          <w:sz w:val="18"/>
        </w:rPr>
        <w:sectPr w:rsidR="005225B5" w:rsidRPr="006263CF">
          <w:headerReference w:type="even" r:id="rId33"/>
          <w:footerReference w:type="even" r:id="rId34"/>
          <w:pgSz w:w="16838" w:h="11904" w:orient="landscape"/>
          <w:pgMar w:top="1397" w:right="1416" w:bottom="1603" w:left="1382" w:header="708" w:footer="708" w:gutter="0"/>
          <w:cols w:space="60"/>
          <w:noEndnote/>
        </w:sectPr>
      </w:pPr>
    </w:p>
    <w:p w:rsidR="005225B5" w:rsidRPr="006263CF" w:rsidRDefault="005225B5" w:rsidP="006263CF">
      <w:pPr>
        <w:tabs>
          <w:tab w:val="left" w:pos="614"/>
        </w:tabs>
        <w:ind w:right="5"/>
        <w:jc w:val="both"/>
        <w:rPr>
          <w:rFonts w:asciiTheme="minorHAnsi" w:hAnsiTheme="minorHAnsi" w:cstheme="minorHAnsi"/>
          <w:sz w:val="18"/>
        </w:rPr>
      </w:pPr>
      <w:bookmarkStart w:id="28" w:name="bookmark27"/>
      <w:r w:rsidRPr="006263CF">
        <w:rPr>
          <w:rFonts w:asciiTheme="minorHAnsi" w:hAnsiTheme="minorHAnsi" w:cstheme="minorHAnsi"/>
          <w:b/>
          <w:bCs/>
          <w:color w:val="1F61AA"/>
          <w:sz w:val="36"/>
          <w:szCs w:val="38"/>
        </w:rPr>
        <w:lastRenderedPageBreak/>
        <w:t>6</w:t>
      </w:r>
      <w:bookmarkEnd w:id="28"/>
      <w:r w:rsidRPr="006263CF">
        <w:rPr>
          <w:rFonts w:asciiTheme="minorHAnsi" w:hAnsiTheme="minorHAnsi" w:cstheme="minorHAnsi"/>
          <w:b/>
          <w:bCs/>
          <w:color w:val="1F61AA"/>
          <w:sz w:val="36"/>
          <w:szCs w:val="38"/>
        </w:rPr>
        <w:t>.4</w:t>
      </w:r>
      <w:r w:rsidRPr="006263CF">
        <w:rPr>
          <w:rFonts w:asciiTheme="minorHAnsi" w:hAnsiTheme="minorHAnsi" w:cstheme="minorHAnsi"/>
          <w:b/>
          <w:bCs/>
          <w:color w:val="1F61AA"/>
          <w:sz w:val="36"/>
          <w:szCs w:val="38"/>
        </w:rPr>
        <w:tab/>
        <w:t>Тривале застосування бедаквіліну і одночасне застосування бедаквіліну і деламаніду</w:t>
      </w:r>
    </w:p>
    <w:p w:rsidR="005225B5" w:rsidRPr="006263CF" w:rsidRDefault="005225B5" w:rsidP="006263CF">
      <w:pPr>
        <w:spacing w:before="106"/>
        <w:jc w:val="both"/>
        <w:rPr>
          <w:rFonts w:asciiTheme="minorHAnsi" w:hAnsiTheme="minorHAnsi" w:cstheme="minorHAnsi"/>
          <w:sz w:val="18"/>
        </w:rPr>
      </w:pPr>
      <w:r w:rsidRPr="006263CF">
        <w:rPr>
          <w:rFonts w:asciiTheme="minorHAnsi" w:hAnsiTheme="minorHAnsi" w:cstheme="minorHAnsi"/>
          <w:color w:val="000000"/>
          <w:szCs w:val="22"/>
        </w:rPr>
        <w:t xml:space="preserve">Нинішня політика ВООЗ не містить ніяких рекомендацій щодо одночасного застосування бедаквіліну і деламаніду у одного і того ж пацієнта або щодо їх індивідуального або комбінованого застосування протягом більше 6 місяців. Ніяких рекомендацій GRADE на користь або проти такого використання не було зроблено, враховуючи обмежений досвід в таких ситуаціях і обмежені дані спостережень (46, 48, 50, 84, 85). Однак в 2019 році з'явилися нові дані про безпечність при тривалому застосуванні бедаквіліну, які підтверджують його безпечне використання протягом більше 6 місяців у пацієнтів, які отримують відповідні графіки базового і подальшого моніторингу. Додаткова вигода від використання бедаквіліну протягом більше 6 місяців залишається неясною </w:t>
      </w:r>
      <w:r w:rsidRPr="006263CF">
        <w:rPr>
          <w:rFonts w:asciiTheme="minorHAnsi" w:hAnsiTheme="minorHAnsi" w:cstheme="minorHAnsi"/>
          <w:i/>
          <w:iCs/>
          <w:color w:val="000000"/>
          <w:szCs w:val="22"/>
        </w:rPr>
        <w:t>(1)</w:t>
      </w:r>
      <w:r w:rsidRPr="006263CF">
        <w:rPr>
          <w:rFonts w:asciiTheme="minorHAnsi" w:hAnsiTheme="minorHAnsi" w:cstheme="minorHAnsi"/>
          <w:color w:val="000000"/>
          <w:szCs w:val="22"/>
        </w:rPr>
        <w:t>.</w:t>
      </w:r>
    </w:p>
    <w:p w:rsidR="005225B5" w:rsidRPr="006263CF" w:rsidRDefault="005225B5" w:rsidP="006263CF">
      <w:pPr>
        <w:spacing w:before="86"/>
        <w:jc w:val="both"/>
        <w:rPr>
          <w:rFonts w:asciiTheme="minorHAnsi" w:hAnsiTheme="minorHAnsi" w:cstheme="minorHAnsi"/>
          <w:sz w:val="18"/>
        </w:rPr>
      </w:pPr>
      <w:r w:rsidRPr="006263CF">
        <w:rPr>
          <w:rFonts w:asciiTheme="minorHAnsi" w:hAnsiTheme="minorHAnsi" w:cstheme="minorHAnsi"/>
          <w:color w:val="000000"/>
          <w:szCs w:val="22"/>
        </w:rPr>
        <w:t xml:space="preserve">Дані про одночасне використання бедаквіліну і деламаніду також є мізерними </w:t>
      </w:r>
      <w:r w:rsidRPr="006263CF">
        <w:rPr>
          <w:rFonts w:asciiTheme="minorHAnsi" w:hAnsiTheme="minorHAnsi" w:cstheme="minorHAnsi"/>
          <w:i/>
          <w:iCs/>
          <w:color w:val="000000"/>
          <w:szCs w:val="22"/>
        </w:rPr>
        <w:t>(49, 86)</w:t>
      </w:r>
      <w:r w:rsidRPr="006263CF">
        <w:rPr>
          <w:rFonts w:asciiTheme="minorHAnsi" w:hAnsiTheme="minorHAnsi" w:cstheme="minorHAnsi"/>
          <w:color w:val="000000"/>
          <w:szCs w:val="22"/>
        </w:rPr>
        <w:t>, і не дозволяють провести змістовний аналіз; отже, офіційна рекомендація ВООЗ з цього питання відсутня. Проте, обидва лікарських препарати можуть використовуватися одночасно у пацієнтів з обмеженими можливостями лікування, за умови наявності відповідного моніторингу лікування (включаючи базовий і подальший ЕКГ і електролітний моніторинг).</w:t>
      </w:r>
    </w:p>
    <w:p w:rsidR="005225B5" w:rsidRPr="006263CF" w:rsidRDefault="005225B5" w:rsidP="006263CF">
      <w:pPr>
        <w:spacing w:before="144"/>
        <w:jc w:val="both"/>
        <w:rPr>
          <w:rFonts w:asciiTheme="minorHAnsi" w:hAnsiTheme="minorHAnsi" w:cstheme="minorHAnsi"/>
          <w:sz w:val="18"/>
        </w:rPr>
      </w:pPr>
      <w:r w:rsidRPr="006263CF">
        <w:rPr>
          <w:rFonts w:asciiTheme="minorHAnsi" w:hAnsiTheme="minorHAnsi" w:cstheme="minorHAnsi"/>
          <w:color w:val="000000"/>
          <w:szCs w:val="22"/>
        </w:rPr>
        <w:t>У випадках, коли всі інші можливості були вичерпані, лікарі можуть запропонувати варіанти лікування, які мають достовірну базу, навіть якщо опубліковані докази відсутні. Програми і лікарі можуть в кожному конкретному випадку за своїм вибором використовувати бедаквілін і деламанід разом або протягом більше 6 місяців, з огляду на серйозні наслідки, з якими при таких обставинах стикаються пацієнти з МР/Риф-ТБ зі стійкістю до фторхінолонів.</w:t>
      </w:r>
    </w:p>
    <w:p w:rsidR="005225B5" w:rsidRPr="006263CF" w:rsidRDefault="005225B5" w:rsidP="006263CF">
      <w:pPr>
        <w:spacing w:before="144"/>
        <w:jc w:val="both"/>
        <w:rPr>
          <w:rFonts w:asciiTheme="minorHAnsi" w:hAnsiTheme="minorHAnsi" w:cstheme="minorHAnsi"/>
          <w:sz w:val="18"/>
        </w:rPr>
      </w:pPr>
      <w:r w:rsidRPr="006263CF">
        <w:rPr>
          <w:rFonts w:asciiTheme="minorHAnsi" w:hAnsiTheme="minorHAnsi" w:cstheme="minorHAnsi"/>
          <w:color w:val="000000"/>
          <w:szCs w:val="22"/>
        </w:rPr>
        <w:t>Рекомендується, щоб національна програма боротьби з туберкульозом розробила практичний документ з критеріями використання, коли мінімальна кількість ефективних препаратів не може бути досягнута, або пацієнт ризикує отримати поганий результат, зупиняючи лікування на 6 місяців або не приймаючи обидва препарати (тобто бедаквініл і деламанід) разом. Цей документ повинен також містити детальну інформацію про те, як контролювати безпечність застосування (особливо при подовження інтервалу QT) і відповідь на лікування, а також що робити в разі виникнення небажаних явищ (8).</w:t>
      </w:r>
    </w:p>
    <w:p w:rsidR="005225B5" w:rsidRPr="006263CF" w:rsidRDefault="005225B5" w:rsidP="006263CF">
      <w:pPr>
        <w:tabs>
          <w:tab w:val="left" w:pos="614"/>
        </w:tabs>
        <w:spacing w:before="278"/>
        <w:ind w:right="1536"/>
        <w:rPr>
          <w:rFonts w:asciiTheme="minorHAnsi" w:hAnsiTheme="minorHAnsi" w:cstheme="minorHAnsi"/>
          <w:sz w:val="18"/>
        </w:rPr>
      </w:pPr>
      <w:bookmarkStart w:id="29" w:name="bookmark28"/>
      <w:r w:rsidRPr="006263CF">
        <w:rPr>
          <w:rFonts w:asciiTheme="minorHAnsi" w:hAnsiTheme="minorHAnsi" w:cstheme="minorHAnsi"/>
          <w:b/>
          <w:bCs/>
          <w:color w:val="1F61AA"/>
          <w:sz w:val="36"/>
          <w:szCs w:val="38"/>
        </w:rPr>
        <w:t>6</w:t>
      </w:r>
      <w:bookmarkEnd w:id="29"/>
      <w:r w:rsidRPr="006263CF">
        <w:rPr>
          <w:rFonts w:asciiTheme="minorHAnsi" w:hAnsiTheme="minorHAnsi" w:cstheme="minorHAnsi"/>
          <w:b/>
          <w:bCs/>
          <w:color w:val="1F61AA"/>
          <w:sz w:val="36"/>
          <w:szCs w:val="38"/>
        </w:rPr>
        <w:t>.5</w:t>
      </w:r>
      <w:r w:rsidRPr="006263CF">
        <w:rPr>
          <w:rFonts w:asciiTheme="minorHAnsi" w:hAnsiTheme="minorHAnsi" w:cstheme="minorHAnsi"/>
          <w:b/>
          <w:bCs/>
          <w:color w:val="1F61AA"/>
          <w:sz w:val="36"/>
          <w:szCs w:val="38"/>
        </w:rPr>
        <w:tab/>
        <w:t xml:space="preserve"> Дозування компонентів довгострокових схем лікування МР-ТБ</w:t>
      </w:r>
    </w:p>
    <w:p w:rsidR="005225B5" w:rsidRPr="006263CF" w:rsidRDefault="005225B5" w:rsidP="006263CF">
      <w:pPr>
        <w:spacing w:before="106"/>
        <w:jc w:val="both"/>
        <w:rPr>
          <w:rFonts w:asciiTheme="minorHAnsi" w:hAnsiTheme="minorHAnsi" w:cstheme="minorHAnsi"/>
          <w:sz w:val="18"/>
        </w:rPr>
      </w:pPr>
      <w:r w:rsidRPr="006263CF">
        <w:rPr>
          <w:rFonts w:asciiTheme="minorHAnsi" w:hAnsiTheme="minorHAnsi" w:cstheme="minorHAnsi"/>
          <w:color w:val="000000"/>
          <w:szCs w:val="22"/>
        </w:rPr>
        <w:t xml:space="preserve">Дозування окремих лікарських препаратів часто визначається масою тіла окремо для дорослих і дітей. Запропоновані схеми дозування на основі ваги приведені в </w:t>
      </w:r>
      <w:r w:rsidRPr="006263CF">
        <w:rPr>
          <w:rFonts w:asciiTheme="minorHAnsi" w:hAnsiTheme="minorHAnsi" w:cstheme="minorHAnsi"/>
          <w:color w:val="1F61AA"/>
          <w:szCs w:val="22"/>
        </w:rPr>
        <w:t>Додатку I</w:t>
      </w:r>
      <w:r w:rsidRPr="006263CF">
        <w:rPr>
          <w:rFonts w:asciiTheme="minorHAnsi" w:hAnsiTheme="minorHAnsi" w:cstheme="minorHAnsi"/>
          <w:color w:val="000000"/>
          <w:szCs w:val="22"/>
        </w:rPr>
        <w:t xml:space="preserve">, а додаткова інформація по кожному з лікарських препаратів груп А, В і С наведена в інформаційних листах про лікарські препарати </w:t>
      </w:r>
      <w:r w:rsidRPr="006263CF">
        <w:rPr>
          <w:rFonts w:asciiTheme="minorHAnsi" w:hAnsiTheme="minorHAnsi" w:cstheme="minorHAnsi"/>
          <w:i/>
          <w:iCs/>
          <w:color w:val="000000"/>
          <w:szCs w:val="22"/>
        </w:rPr>
        <w:t>(5)</w:t>
      </w:r>
      <w:r w:rsidRPr="006263CF">
        <w:rPr>
          <w:rFonts w:asciiTheme="minorHAnsi" w:hAnsiTheme="minorHAnsi" w:cstheme="minorHAnsi"/>
          <w:color w:val="000000"/>
          <w:szCs w:val="22"/>
        </w:rPr>
        <w:t>. Дози можуть потребувати коригування через супроводжуючі лікарські препарати або супутні захворювання. У ситуаціях, коли можливість коригування дози через формулу лікарського засобу обмежена (наприклад, деламанід у дітей віком 3-5 років), загальний принцип полягає в тому, щоб розглянути питання про включення лікарського препарату, якщо очікується, що користь переважує шкоду, і прагнути до дози, яка досягає терапевтичного діапазону. Потім слід уважно спостерігати за пацієнтами на предмет небажаних явищ, які слід усувати якомога швидше і ефективніше у разі їх виникнення.</w:t>
      </w:r>
    </w:p>
    <w:p w:rsidR="005225B5" w:rsidRPr="006263CF" w:rsidRDefault="005225B5" w:rsidP="006263CF">
      <w:pPr>
        <w:spacing w:before="149"/>
        <w:jc w:val="both"/>
        <w:rPr>
          <w:rFonts w:asciiTheme="minorHAnsi" w:hAnsiTheme="minorHAnsi" w:cstheme="minorHAnsi"/>
          <w:sz w:val="18"/>
        </w:rPr>
      </w:pPr>
      <w:r w:rsidRPr="006263CF">
        <w:rPr>
          <w:rFonts w:asciiTheme="minorHAnsi" w:hAnsiTheme="minorHAnsi" w:cstheme="minorHAnsi"/>
          <w:color w:val="000000"/>
          <w:szCs w:val="22"/>
        </w:rPr>
        <w:t>Всі протитуберкульозні препарати можна починати з повної дози. Поява реакцій на лікарський засіб може також потребувати переривання - тимчасового або постійного - препарату або зміни його дозування. Якщо толерантність є проблемою, циклосерин, етіонамід і ПАС кислота можуть прийматися в малих дозах, а потім поступово збільшуватися (тобто підвищуватися) протягом 2-х тижневого періоду (90). Велика частина досвіду застосування клофазиміну, як при короткострокових, так і при довгострокових схемах лікування була пов'язана з фіксованою добовою дозою протягом усього курсу лікування; відсутні емпіричні дані, які підтверджують, що спочатку в схемах лікування МР-ТБ вводиться навантажувальна доза.</w:t>
      </w:r>
      <w:r w:rsidRPr="006263CF">
        <w:rPr>
          <w:rFonts w:asciiTheme="minorHAnsi" w:hAnsiTheme="minorHAnsi" w:cstheme="minorHAnsi"/>
          <w:color w:val="000000"/>
          <w:szCs w:val="22"/>
          <w:vertAlign w:val="superscript"/>
        </w:rPr>
        <w:t>12</w:t>
      </w:r>
    </w:p>
    <w:p w:rsidR="000344A4" w:rsidRDefault="000344A4" w:rsidP="000344A4">
      <w:pPr>
        <w:spacing w:before="413"/>
        <w:jc w:val="both"/>
        <w:rPr>
          <w:rFonts w:asciiTheme="minorHAnsi" w:hAnsiTheme="minorHAnsi" w:cstheme="minorHAnsi"/>
          <w:color w:val="000000"/>
          <w:sz w:val="14"/>
          <w:szCs w:val="16"/>
          <w:vertAlign w:val="superscript"/>
        </w:rPr>
      </w:pPr>
      <w:r>
        <w:rPr>
          <w:rFonts w:asciiTheme="minorHAnsi" w:hAnsiTheme="minorHAnsi" w:cstheme="minorHAnsi"/>
          <w:color w:val="000000"/>
          <w:sz w:val="14"/>
          <w:szCs w:val="16"/>
          <w:u w:val="single"/>
          <w:vertAlign w:val="superscript"/>
        </w:rPr>
        <w:tab/>
      </w:r>
      <w:r>
        <w:rPr>
          <w:rFonts w:asciiTheme="minorHAnsi" w:hAnsiTheme="minorHAnsi" w:cstheme="minorHAnsi"/>
          <w:color w:val="000000"/>
          <w:sz w:val="14"/>
          <w:szCs w:val="16"/>
          <w:u w:val="single"/>
          <w:vertAlign w:val="superscript"/>
        </w:rPr>
        <w:tab/>
      </w:r>
      <w:r>
        <w:rPr>
          <w:rFonts w:asciiTheme="minorHAnsi" w:hAnsiTheme="minorHAnsi" w:cstheme="minorHAnsi"/>
          <w:color w:val="000000"/>
          <w:sz w:val="14"/>
          <w:szCs w:val="16"/>
          <w:u w:val="single"/>
          <w:vertAlign w:val="superscript"/>
        </w:rPr>
        <w:tab/>
      </w:r>
    </w:p>
    <w:p w:rsidR="005225B5" w:rsidRPr="006263CF" w:rsidRDefault="005225B5" w:rsidP="000344A4">
      <w:pPr>
        <w:ind w:left="221" w:hanging="221"/>
        <w:jc w:val="both"/>
        <w:rPr>
          <w:rFonts w:asciiTheme="minorHAnsi" w:hAnsiTheme="minorHAnsi" w:cstheme="minorHAnsi"/>
          <w:sz w:val="18"/>
        </w:rPr>
      </w:pPr>
      <w:r w:rsidRPr="006263CF">
        <w:rPr>
          <w:rFonts w:asciiTheme="minorHAnsi" w:hAnsiTheme="minorHAnsi" w:cstheme="minorHAnsi"/>
          <w:color w:val="000000"/>
          <w:sz w:val="14"/>
          <w:szCs w:val="16"/>
          <w:vertAlign w:val="superscript"/>
        </w:rPr>
        <w:t>12</w:t>
      </w:r>
      <w:r w:rsidRPr="006263CF">
        <w:rPr>
          <w:rFonts w:asciiTheme="minorHAnsi" w:hAnsiTheme="minorHAnsi" w:cstheme="minorHAnsi"/>
          <w:color w:val="000000"/>
          <w:sz w:val="14"/>
          <w:szCs w:val="16"/>
        </w:rPr>
        <w:t xml:space="preserve"> </w:t>
      </w:r>
      <w:r w:rsidR="00A04C57">
        <w:rPr>
          <w:rFonts w:asciiTheme="minorHAnsi" w:hAnsiTheme="minorHAnsi" w:cstheme="minorHAnsi"/>
          <w:color w:val="000000"/>
          <w:sz w:val="14"/>
          <w:szCs w:val="16"/>
        </w:rPr>
        <w:tab/>
      </w:r>
      <w:r w:rsidRPr="006263CF">
        <w:rPr>
          <w:rFonts w:asciiTheme="minorHAnsi" w:hAnsiTheme="minorHAnsi" w:cstheme="minorHAnsi"/>
          <w:color w:val="000000"/>
          <w:sz w:val="14"/>
          <w:szCs w:val="16"/>
        </w:rPr>
        <w:t>Клофазимін діє в першу чергу як стерилізуючий препарат, що означає, що його роль менш важлива на першому етапі лікування. Висока початкова доза може також підвищити ризик виникнення небажаних явищ, особливо з огляду на її відносно тривалий період напіврозпаду, при цьому кардіотоксичність викликає особливе занепокоєння (60).</w:t>
      </w:r>
    </w:p>
    <w:p w:rsidR="005225B5" w:rsidRPr="006263CF" w:rsidRDefault="005225B5" w:rsidP="006263CF">
      <w:pPr>
        <w:spacing w:before="413"/>
        <w:ind w:left="221" w:hanging="221"/>
        <w:jc w:val="both"/>
        <w:rPr>
          <w:rFonts w:asciiTheme="minorHAnsi" w:hAnsiTheme="minorHAnsi" w:cstheme="minorHAnsi"/>
          <w:sz w:val="18"/>
        </w:rPr>
        <w:sectPr w:rsidR="005225B5" w:rsidRPr="006263CF">
          <w:headerReference w:type="default" r:id="rId35"/>
          <w:footerReference w:type="default" r:id="rId36"/>
          <w:pgSz w:w="11904" w:h="16838"/>
          <w:pgMar w:top="1291" w:right="1416" w:bottom="1310" w:left="1416" w:header="708" w:footer="708" w:gutter="0"/>
          <w:cols w:space="60"/>
          <w:noEndnote/>
        </w:sectPr>
      </w:pPr>
    </w:p>
    <w:p w:rsidR="005225B5" w:rsidRPr="006263CF" w:rsidRDefault="005225B5" w:rsidP="006263CF">
      <w:pPr>
        <w:ind w:right="5"/>
        <w:jc w:val="both"/>
        <w:rPr>
          <w:rFonts w:asciiTheme="minorHAnsi" w:hAnsiTheme="minorHAnsi" w:cstheme="minorHAnsi"/>
          <w:sz w:val="18"/>
        </w:rPr>
      </w:pPr>
      <w:bookmarkStart w:id="30" w:name="bookmark29"/>
      <w:bookmarkEnd w:id="30"/>
      <w:r w:rsidRPr="00A04C57">
        <w:rPr>
          <w:rFonts w:asciiTheme="minorHAnsi" w:hAnsiTheme="minorHAnsi" w:cstheme="minorHAnsi"/>
        </w:rPr>
        <w:lastRenderedPageBreak/>
        <w:t>Більшість препаратів призначаються в одній добовій дозі.</w:t>
      </w:r>
      <w:r w:rsidRPr="00A04C57">
        <w:rPr>
          <w:rFonts w:asciiTheme="minorHAnsi" w:hAnsiTheme="minorHAnsi" w:cstheme="minorHAnsi"/>
          <w:color w:val="000000"/>
        </w:rPr>
        <w:t xml:space="preserve"> Циклосерин і ПАС кислоту можна приймати в розділених дозах для зниження ймовірності виникнення небажаних явищ (етіонамід/протіонамід вказує на смертність від </w:t>
      </w:r>
      <w:r w:rsidRPr="00A04C57">
        <w:rPr>
          <w:rFonts w:asciiTheme="minorHAnsi" w:hAnsiTheme="minorHAnsi" w:cstheme="minorHAnsi"/>
          <w:i/>
          <w:iCs/>
          <w:color w:val="000000"/>
        </w:rPr>
        <w:t>M. tuberculosis</w:t>
      </w:r>
      <w:r w:rsidRPr="00A04C57">
        <w:rPr>
          <w:rFonts w:asciiTheme="minorHAnsi" w:hAnsiTheme="minorHAnsi" w:cstheme="minorHAnsi"/>
          <w:color w:val="000000"/>
        </w:rPr>
        <w:t xml:space="preserve"> в залежності від концентрації, тому слід уникати щоденного прийому подвійної дози). Лінезолід зазвичай приймають один раз на день. Бедаквілін і деламанід приймають разом з іншими лікарськими препаратами в схемі лікування МР-ТБ; другу дозу деламаніду зазвичай приймають самостійно, тому контроль за лікуванням повинен це враховувати. Ін'єкційні препарати (при крайній необхідності) також зазвичай вводяться внутрішньом'язово 1 раз на день, і дозу не слід ділити</w:t>
      </w:r>
      <w:r w:rsidRPr="006263CF">
        <w:rPr>
          <w:rFonts w:asciiTheme="minorHAnsi" w:hAnsiTheme="minorHAnsi" w:cstheme="minorHAnsi"/>
          <w:color w:val="000000"/>
          <w:szCs w:val="22"/>
        </w:rPr>
        <w:t xml:space="preserve"> (за винятком іміпенем-циластатину і меропенему, які вводяться внутрішньовенно в розділених дозах). Всі лікарські препарати приймаються під час їжі, з огляду на те, що легка їжа сприяє всмоктуванню.</w:t>
      </w:r>
      <w:r w:rsidRPr="006263CF">
        <w:rPr>
          <w:rFonts w:asciiTheme="minorHAnsi" w:hAnsiTheme="minorHAnsi" w:cstheme="minorHAnsi"/>
          <w:color w:val="000000"/>
          <w:szCs w:val="22"/>
          <w:vertAlign w:val="superscript"/>
        </w:rPr>
        <w:t>13</w:t>
      </w:r>
      <w:r w:rsidRPr="006263CF">
        <w:rPr>
          <w:rFonts w:asciiTheme="minorHAnsi" w:hAnsiTheme="minorHAnsi" w:cstheme="minorHAnsi"/>
          <w:color w:val="000000"/>
          <w:szCs w:val="22"/>
        </w:rPr>
        <w:t xml:space="preserve"> Пероральні препарати зазвичай приймаються кожного дня протягом тижня. Бедаквілін приймається щоденно протягом перших 2 тижнів і 3 рази на день протягом тижня протягом наступних 22 тижнів.</w:t>
      </w:r>
    </w:p>
    <w:p w:rsidR="005225B5" w:rsidRPr="006263CF" w:rsidRDefault="005225B5" w:rsidP="006263CF">
      <w:pPr>
        <w:spacing w:before="144"/>
        <w:jc w:val="both"/>
        <w:rPr>
          <w:rFonts w:asciiTheme="minorHAnsi" w:hAnsiTheme="minorHAnsi" w:cstheme="minorHAnsi"/>
          <w:sz w:val="18"/>
        </w:rPr>
      </w:pPr>
      <w:r w:rsidRPr="006263CF">
        <w:rPr>
          <w:rFonts w:asciiTheme="minorHAnsi" w:hAnsiTheme="minorHAnsi" w:cstheme="minorHAnsi"/>
          <w:color w:val="000000"/>
          <w:szCs w:val="22"/>
        </w:rPr>
        <w:t>Що стосується пропущених доз, то, як правило, якщо всі ліки, які повинні бути прийняті в даний день, пропущені, то лікування відновлюється на наступний день і до закінчення схеми лікування додається додатковий день. Однак в разі пропуску дози протягом перших 2 тижнів лікування пацієнти не повинні компенсувати пропущену дозу, а повинні дотримуватися звичайного графіка дозування. Це означає, що вони не повинні додавати пропущену дозу в кінці 2-тижневого періоду. Починаючи з третього тижня, якщо пропущена доза 200 мг, пацієнти повинні прийняти пропущену дозу якомога швидше, а потім відновити прийом препарату три рази на тиждень. Якщо пропущена доза деламаніду, пацієнти повинні приймати її якомога швидше після пропуску. Якщо час прийому наступної дози близько, то забута доза може бути пропущена, а пацієнт не повинен приймати подвійну дозу, щоб компенсувати прийом пропущеної таблетки.</w:t>
      </w:r>
    </w:p>
    <w:p w:rsidR="005225B5" w:rsidRPr="006263CF" w:rsidRDefault="005225B5" w:rsidP="006263CF">
      <w:pPr>
        <w:spacing w:before="283"/>
        <w:rPr>
          <w:rFonts w:asciiTheme="minorHAnsi" w:hAnsiTheme="minorHAnsi" w:cstheme="minorHAnsi"/>
          <w:sz w:val="18"/>
        </w:rPr>
      </w:pPr>
      <w:r w:rsidRPr="006263CF">
        <w:rPr>
          <w:rFonts w:asciiTheme="minorHAnsi" w:hAnsiTheme="minorHAnsi" w:cstheme="minorHAnsi"/>
          <w:b/>
          <w:bCs/>
          <w:color w:val="1F61AA"/>
          <w:sz w:val="36"/>
          <w:szCs w:val="38"/>
        </w:rPr>
        <w:t>6.6 Тривалість довгострокових схем лікування МР-ТБ</w:t>
      </w:r>
    </w:p>
    <w:p w:rsidR="005225B5" w:rsidRPr="006263CF" w:rsidRDefault="005225B5" w:rsidP="006263CF">
      <w:pPr>
        <w:spacing w:before="110"/>
        <w:rPr>
          <w:rFonts w:asciiTheme="minorHAnsi" w:hAnsiTheme="minorHAnsi" w:cstheme="minorHAnsi"/>
          <w:sz w:val="18"/>
        </w:rPr>
      </w:pPr>
      <w:r w:rsidRPr="006263CF">
        <w:rPr>
          <w:rFonts w:asciiTheme="minorHAnsi" w:hAnsiTheme="minorHAnsi" w:cstheme="minorHAnsi"/>
          <w:color w:val="000000"/>
          <w:szCs w:val="22"/>
        </w:rPr>
        <w:t>Три науково-обґрунтованих рекомендації визначають тривалість довгострокових схем лікування МР-ТБ:</w:t>
      </w:r>
    </w:p>
    <w:p w:rsidR="005225B5" w:rsidRPr="006263CF" w:rsidRDefault="005225B5" w:rsidP="006263CF">
      <w:pPr>
        <w:spacing w:before="144"/>
        <w:ind w:left="221" w:right="235"/>
        <w:jc w:val="both"/>
        <w:rPr>
          <w:rFonts w:asciiTheme="minorHAnsi" w:hAnsiTheme="minorHAnsi" w:cstheme="minorHAnsi"/>
          <w:sz w:val="18"/>
        </w:rPr>
      </w:pPr>
      <w:r w:rsidRPr="006263CF">
        <w:rPr>
          <w:rFonts w:asciiTheme="minorHAnsi" w:hAnsiTheme="minorHAnsi" w:cstheme="minorHAnsi"/>
          <w:b/>
          <w:bCs/>
          <w:color w:val="000000"/>
          <w:szCs w:val="22"/>
        </w:rPr>
        <w:t>Рекомендація 3.15 Для пацієнтів з МР/Риф-ТБ на довгострокових схемах лікування пропонується загальна тривалість лікування 18-20 місяців; тривалість може бути змінена в залежності від відповіді пацієнта на терапію.</w:t>
      </w:r>
    </w:p>
    <w:p w:rsidR="005225B5" w:rsidRPr="006263CF" w:rsidRDefault="005225B5" w:rsidP="006263CF">
      <w:pPr>
        <w:ind w:left="221"/>
        <w:rPr>
          <w:rFonts w:asciiTheme="minorHAnsi" w:hAnsiTheme="minorHAnsi" w:cstheme="minorHAnsi"/>
          <w:sz w:val="18"/>
        </w:rPr>
      </w:pPr>
      <w:r w:rsidRPr="006263CF">
        <w:rPr>
          <w:rFonts w:asciiTheme="minorHAnsi" w:hAnsiTheme="minorHAnsi" w:cstheme="minorHAnsi"/>
          <w:i/>
          <w:iCs/>
          <w:color w:val="000000"/>
          <w:szCs w:val="22"/>
        </w:rPr>
        <w:t>(Умовна рекомендація, дуже низька визначеність в оцінках ефекту)</w:t>
      </w:r>
    </w:p>
    <w:p w:rsidR="005225B5" w:rsidRPr="006263CF" w:rsidRDefault="005225B5" w:rsidP="006263CF">
      <w:pPr>
        <w:spacing w:before="144"/>
        <w:ind w:left="221" w:right="235"/>
        <w:jc w:val="both"/>
        <w:rPr>
          <w:rFonts w:asciiTheme="minorHAnsi" w:hAnsiTheme="minorHAnsi" w:cstheme="minorHAnsi"/>
          <w:sz w:val="18"/>
        </w:rPr>
      </w:pPr>
      <w:r w:rsidRPr="006263CF">
        <w:rPr>
          <w:rFonts w:asciiTheme="minorHAnsi" w:hAnsiTheme="minorHAnsi" w:cstheme="minorHAnsi"/>
          <w:b/>
          <w:bCs/>
          <w:color w:val="000000"/>
          <w:szCs w:val="22"/>
        </w:rPr>
        <w:t>Рекомендація 3.16 Для пацієнтів з МР/Риф-ТБ на довгострокових схемах лікування пропонується загальна тривалість лікування 15-17 місяців після перетворення культури; тривалість може бути змінена в залежності від відповіді пацієнта на терапію.</w:t>
      </w:r>
    </w:p>
    <w:p w:rsidR="005225B5" w:rsidRPr="006263CF" w:rsidRDefault="005225B5" w:rsidP="006263CF">
      <w:pPr>
        <w:ind w:left="221"/>
        <w:rPr>
          <w:rFonts w:asciiTheme="minorHAnsi" w:hAnsiTheme="minorHAnsi" w:cstheme="minorHAnsi"/>
          <w:sz w:val="18"/>
        </w:rPr>
      </w:pPr>
      <w:r w:rsidRPr="006263CF">
        <w:rPr>
          <w:rFonts w:asciiTheme="minorHAnsi" w:hAnsiTheme="minorHAnsi" w:cstheme="minorHAnsi"/>
          <w:i/>
          <w:iCs/>
          <w:color w:val="000000"/>
          <w:szCs w:val="22"/>
        </w:rPr>
        <w:t>(Умовна рекомендація, дуже низька визначеність в оцінках ефекту)</w:t>
      </w:r>
    </w:p>
    <w:p w:rsidR="005225B5" w:rsidRPr="006263CF" w:rsidRDefault="005225B5" w:rsidP="006263CF">
      <w:pPr>
        <w:spacing w:before="144"/>
        <w:ind w:left="221" w:right="235"/>
        <w:jc w:val="both"/>
        <w:rPr>
          <w:rFonts w:asciiTheme="minorHAnsi" w:hAnsiTheme="minorHAnsi" w:cstheme="minorHAnsi"/>
          <w:sz w:val="18"/>
        </w:rPr>
      </w:pPr>
      <w:r w:rsidRPr="006263CF">
        <w:rPr>
          <w:rFonts w:asciiTheme="minorHAnsi" w:hAnsiTheme="minorHAnsi" w:cstheme="minorHAnsi"/>
          <w:b/>
          <w:bCs/>
          <w:color w:val="000000"/>
          <w:szCs w:val="22"/>
        </w:rPr>
        <w:t>Рекомендація 3.17 Для більшості пацієнтів з МР/Риф-ТБ на довгострокових схемах лікування, що містить амікацин і стрептоміцин, пропонується загальна тривалість лікування 6-7 місяців; тривалість може бути змінена в залежності від відповіді пацієнта на терапію.</w:t>
      </w:r>
    </w:p>
    <w:p w:rsidR="005225B5" w:rsidRPr="006263CF" w:rsidRDefault="005225B5" w:rsidP="006263CF">
      <w:pPr>
        <w:ind w:left="221"/>
        <w:rPr>
          <w:rFonts w:asciiTheme="minorHAnsi" w:hAnsiTheme="minorHAnsi" w:cstheme="minorHAnsi"/>
          <w:sz w:val="18"/>
        </w:rPr>
      </w:pPr>
      <w:r w:rsidRPr="006263CF">
        <w:rPr>
          <w:rFonts w:asciiTheme="minorHAnsi" w:hAnsiTheme="minorHAnsi" w:cstheme="minorHAnsi"/>
          <w:i/>
          <w:iCs/>
          <w:color w:val="000000"/>
          <w:szCs w:val="22"/>
        </w:rPr>
        <w:t>(Умовна рекомендація, дуже низька визначеність в оцінках ефекту)</w:t>
      </w:r>
    </w:p>
    <w:p w:rsidR="005225B5" w:rsidRPr="006263CF" w:rsidRDefault="005225B5" w:rsidP="006263CF">
      <w:pPr>
        <w:spacing w:before="144"/>
        <w:ind w:right="5"/>
        <w:jc w:val="both"/>
        <w:rPr>
          <w:rFonts w:asciiTheme="minorHAnsi" w:hAnsiTheme="minorHAnsi" w:cstheme="minorHAnsi"/>
          <w:sz w:val="18"/>
        </w:rPr>
      </w:pPr>
      <w:r w:rsidRPr="006263CF">
        <w:rPr>
          <w:rFonts w:asciiTheme="minorHAnsi" w:hAnsiTheme="minorHAnsi" w:cstheme="minorHAnsi"/>
          <w:color w:val="000000"/>
          <w:szCs w:val="22"/>
        </w:rPr>
        <w:t>Все пероральні довгострокові схеми лікування МР-ТБ не мають інтенсивної фази. Тривалість застосування різних лікарських препаратів буде залежати від їх клінічних показань (наприклад, бедаквілін і деламанід пропонуються для використання протягом 6 місяців, але цей період може бути продовжений), переносимість пацієнтів (наприклад, лінезолід, який застосовується до тих пір, поки не виникне серйозне небажане явище) та індивідуальна реакція на лікування (наприклад, негативна активність культури), до завершення очікуваної загальної тривалості лікування.</w:t>
      </w:r>
    </w:p>
    <w:p w:rsidR="005225B5" w:rsidRPr="006263CF" w:rsidRDefault="005225B5" w:rsidP="006263CF">
      <w:pPr>
        <w:spacing w:before="144"/>
        <w:ind w:right="5"/>
        <w:jc w:val="both"/>
        <w:rPr>
          <w:rFonts w:asciiTheme="minorHAnsi" w:hAnsiTheme="minorHAnsi" w:cstheme="minorHAnsi"/>
          <w:sz w:val="18"/>
        </w:rPr>
      </w:pPr>
      <w:r w:rsidRPr="006263CF">
        <w:rPr>
          <w:rFonts w:asciiTheme="minorHAnsi" w:hAnsiTheme="minorHAnsi" w:cstheme="minorHAnsi"/>
          <w:color w:val="000000"/>
          <w:szCs w:val="22"/>
        </w:rPr>
        <w:t>Передбачається, що загальна тривалість лікування у більшості пацієнтів складає близько 18-20 місяців, хоча в залежності від реакції пацієнтів на лікування, можливо, буде потрібно змінити його тривалість. Рекомендація також може бути застосована до пацієнтів, яких раніше лікували за схемами 2-го ряду, і до пацієнтів зі стійким до фторхінолону туберкульозом. Може знадобиться продовжити лікування довше, ніж 18-20 місяців у МР/Риф-ТБ випадках з додатковою стійкістю, в залежності від клінічної відповіді на лікування.</w:t>
      </w:r>
    </w:p>
    <w:p w:rsidR="000344A4" w:rsidRDefault="000344A4" w:rsidP="000344A4">
      <w:pPr>
        <w:spacing w:before="240"/>
        <w:ind w:right="5"/>
        <w:jc w:val="both"/>
        <w:rPr>
          <w:rFonts w:asciiTheme="minorHAnsi" w:hAnsiTheme="minorHAnsi" w:cstheme="minorHAnsi"/>
          <w:color w:val="000000"/>
          <w:sz w:val="14"/>
          <w:szCs w:val="16"/>
          <w:vertAlign w:val="superscript"/>
        </w:rPr>
      </w:pPr>
      <w:r>
        <w:rPr>
          <w:rFonts w:asciiTheme="minorHAnsi" w:hAnsiTheme="minorHAnsi" w:cstheme="minorHAnsi"/>
          <w:color w:val="000000"/>
          <w:sz w:val="14"/>
          <w:szCs w:val="16"/>
          <w:u w:val="single"/>
          <w:vertAlign w:val="superscript"/>
        </w:rPr>
        <w:tab/>
      </w:r>
      <w:r>
        <w:rPr>
          <w:rFonts w:asciiTheme="minorHAnsi" w:hAnsiTheme="minorHAnsi" w:cstheme="minorHAnsi"/>
          <w:color w:val="000000"/>
          <w:sz w:val="14"/>
          <w:szCs w:val="16"/>
          <w:u w:val="single"/>
          <w:vertAlign w:val="superscript"/>
        </w:rPr>
        <w:tab/>
      </w:r>
      <w:r>
        <w:rPr>
          <w:rFonts w:asciiTheme="minorHAnsi" w:hAnsiTheme="minorHAnsi" w:cstheme="minorHAnsi"/>
          <w:color w:val="000000"/>
          <w:sz w:val="14"/>
          <w:szCs w:val="16"/>
          <w:u w:val="single"/>
          <w:vertAlign w:val="superscript"/>
        </w:rPr>
        <w:tab/>
      </w:r>
    </w:p>
    <w:p w:rsidR="005225B5" w:rsidRPr="006263CF" w:rsidRDefault="005225B5" w:rsidP="000344A4">
      <w:pPr>
        <w:ind w:left="221" w:right="5" w:hanging="221"/>
        <w:jc w:val="both"/>
        <w:rPr>
          <w:rFonts w:asciiTheme="minorHAnsi" w:hAnsiTheme="minorHAnsi" w:cstheme="minorHAnsi"/>
          <w:sz w:val="18"/>
        </w:rPr>
      </w:pPr>
      <w:r w:rsidRPr="006263CF">
        <w:rPr>
          <w:rFonts w:asciiTheme="minorHAnsi" w:hAnsiTheme="minorHAnsi" w:cstheme="minorHAnsi"/>
          <w:color w:val="000000"/>
          <w:sz w:val="14"/>
          <w:szCs w:val="16"/>
          <w:vertAlign w:val="superscript"/>
        </w:rPr>
        <w:t>13</w:t>
      </w:r>
      <w:r w:rsidRPr="006263CF">
        <w:rPr>
          <w:rFonts w:asciiTheme="minorHAnsi" w:hAnsiTheme="minorHAnsi" w:cstheme="minorHAnsi"/>
          <w:color w:val="000000"/>
          <w:sz w:val="14"/>
          <w:szCs w:val="16"/>
        </w:rPr>
        <w:t xml:space="preserve"> Застосовуються рекомендації з раціону харчування, які стосуються МР-ТБ: уникати вживання алкоголю і великих обсягів жирної їжі, які можуть перешкоджати всмоктуванню деяких протитуберкульозних препаратів (наприклад, циклосерину і ізоніазиду) або збільшувати швидкість і ступінь всмоктування (наприклад, клофазимін). Молоко та молочні продукти можуть знизити всмоктування певних фторхінолонів.</w:t>
      </w:r>
    </w:p>
    <w:p w:rsidR="005225B5" w:rsidRPr="006263CF" w:rsidRDefault="005225B5" w:rsidP="006263CF">
      <w:pPr>
        <w:spacing w:before="480"/>
        <w:ind w:left="221" w:right="5" w:hanging="221"/>
        <w:jc w:val="both"/>
        <w:rPr>
          <w:rFonts w:asciiTheme="minorHAnsi" w:hAnsiTheme="minorHAnsi" w:cstheme="minorHAnsi"/>
          <w:sz w:val="18"/>
        </w:rPr>
        <w:sectPr w:rsidR="005225B5" w:rsidRPr="006263CF">
          <w:headerReference w:type="even" r:id="rId37"/>
          <w:footerReference w:type="even" r:id="rId38"/>
          <w:pgSz w:w="11904" w:h="16838"/>
          <w:pgMar w:top="1349" w:right="1411" w:bottom="1354" w:left="1416" w:header="708" w:footer="708" w:gutter="0"/>
          <w:cols w:space="60"/>
          <w:noEndnote/>
        </w:sectPr>
      </w:pPr>
    </w:p>
    <w:p w:rsidR="005225B5" w:rsidRPr="006263CF" w:rsidRDefault="005225B5" w:rsidP="006263CF">
      <w:pPr>
        <w:ind w:right="5"/>
        <w:jc w:val="both"/>
        <w:rPr>
          <w:rFonts w:asciiTheme="minorHAnsi" w:hAnsiTheme="minorHAnsi" w:cstheme="minorHAnsi"/>
          <w:sz w:val="18"/>
        </w:rPr>
      </w:pPr>
      <w:bookmarkStart w:id="31" w:name="bookmark30"/>
      <w:bookmarkEnd w:id="31"/>
      <w:r w:rsidRPr="006263CF">
        <w:rPr>
          <w:rFonts w:asciiTheme="minorHAnsi" w:hAnsiTheme="minorHAnsi" w:cstheme="minorHAnsi"/>
          <w:color w:val="000000"/>
          <w:szCs w:val="22"/>
        </w:rPr>
        <w:lastRenderedPageBreak/>
        <w:t>Докази, які оцінені з використанням ІДП</w:t>
      </w:r>
      <w:r w:rsidRPr="006263CF">
        <w:rPr>
          <w:rFonts w:asciiTheme="minorHAnsi" w:hAnsiTheme="minorHAnsi" w:cstheme="minorHAnsi"/>
          <w:color w:val="000000"/>
          <w:szCs w:val="22"/>
          <w:vertAlign w:val="superscript"/>
        </w:rPr>
        <w:t>14</w:t>
      </w:r>
      <w:r w:rsidRPr="006263CF">
        <w:rPr>
          <w:rFonts w:asciiTheme="minorHAnsi" w:hAnsiTheme="minorHAnsi" w:cstheme="minorHAnsi"/>
          <w:color w:val="000000"/>
          <w:szCs w:val="22"/>
        </w:rPr>
        <w:t xml:space="preserve"> показали, що ризик неефективності лікування або рецидиву незначно зріс, коли тривалість лікування МР-ТБ становила 20-22 місяці (в порівнянні з 17,5-20,0 місяцями), а 18-20 місяців були визначені як оптимальна тривалість лікування для досягнення максимального успіху </w:t>
      </w:r>
      <w:r w:rsidRPr="006263CF">
        <w:rPr>
          <w:rFonts w:asciiTheme="minorHAnsi" w:hAnsiTheme="minorHAnsi" w:cstheme="minorHAnsi"/>
          <w:i/>
          <w:iCs/>
          <w:color w:val="000000"/>
          <w:szCs w:val="22"/>
        </w:rPr>
        <w:t>(1)</w:t>
      </w:r>
      <w:r w:rsidRPr="006263CF">
        <w:rPr>
          <w:rFonts w:asciiTheme="minorHAnsi" w:hAnsiTheme="minorHAnsi" w:cstheme="minorHAnsi"/>
          <w:color w:val="000000"/>
          <w:szCs w:val="22"/>
        </w:rPr>
        <w:t>. На практиці для реалізації цілей НПБТ можна вибрати фіксовану тривалість (наприклад, 18 місяців). Необхідні подальші дослідження для визначення оптимальної та мінімальної тривалості лікування МР/Риф-ТБ у пацієнтів з негативною реакцією, на яких ці рекомендації можуть не розповсюджуватись.</w:t>
      </w:r>
    </w:p>
    <w:p w:rsidR="005225B5" w:rsidRPr="006263CF" w:rsidRDefault="005225B5" w:rsidP="006263CF">
      <w:pPr>
        <w:spacing w:before="278"/>
        <w:rPr>
          <w:rFonts w:asciiTheme="minorHAnsi" w:hAnsiTheme="minorHAnsi" w:cstheme="minorHAnsi"/>
          <w:sz w:val="18"/>
        </w:rPr>
      </w:pPr>
      <w:r w:rsidRPr="006263CF">
        <w:rPr>
          <w:rFonts w:asciiTheme="minorHAnsi" w:hAnsiTheme="minorHAnsi" w:cstheme="minorHAnsi"/>
          <w:b/>
          <w:bCs/>
          <w:color w:val="1F61AA"/>
          <w:sz w:val="36"/>
          <w:szCs w:val="38"/>
        </w:rPr>
        <w:t>6.7 Ключові підгрупи</w:t>
      </w:r>
    </w:p>
    <w:p w:rsidR="005225B5" w:rsidRPr="006263CF" w:rsidRDefault="005225B5" w:rsidP="006263CF">
      <w:pPr>
        <w:spacing w:before="106"/>
        <w:jc w:val="both"/>
        <w:rPr>
          <w:rFonts w:asciiTheme="minorHAnsi" w:hAnsiTheme="minorHAnsi" w:cstheme="minorHAnsi"/>
          <w:sz w:val="18"/>
        </w:rPr>
      </w:pPr>
      <w:r w:rsidRPr="006263CF">
        <w:rPr>
          <w:rFonts w:asciiTheme="minorHAnsi" w:hAnsiTheme="minorHAnsi" w:cstheme="minorHAnsi"/>
          <w:b/>
          <w:bCs/>
          <w:i/>
          <w:iCs/>
          <w:color w:val="000000"/>
          <w:szCs w:val="22"/>
        </w:rPr>
        <w:t xml:space="preserve">Діти: </w:t>
      </w:r>
      <w:r w:rsidRPr="006263CF">
        <w:rPr>
          <w:rFonts w:asciiTheme="minorHAnsi" w:hAnsiTheme="minorHAnsi" w:cstheme="minorHAnsi"/>
          <w:color w:val="000000"/>
          <w:szCs w:val="22"/>
        </w:rPr>
        <w:t>Рекомендації ВООЗ для довгострокових схем лікування МР-ТБ можуть бути застосовані як до дітей, так і до дорослих. Більшість лікарських препаратів, що застосовуються в рамках довгострокових схем лікування, є частиною схеми лікування МР-ТБ протягом багатьох років в аналогічних комбінаціях як для дорослих, так і для дітей. У консолідованих настановах ВООЗ рекомендується використовувати бедаквілін у дітей віком від 6 років</w:t>
      </w:r>
      <w:r w:rsidRPr="006263CF">
        <w:rPr>
          <w:rFonts w:asciiTheme="minorHAnsi" w:hAnsiTheme="minorHAnsi" w:cstheme="minorHAnsi"/>
          <w:color w:val="000000"/>
          <w:szCs w:val="22"/>
          <w:vertAlign w:val="superscript"/>
        </w:rPr>
        <w:t>15</w:t>
      </w:r>
      <w:r w:rsidRPr="006263CF">
        <w:rPr>
          <w:rFonts w:asciiTheme="minorHAnsi" w:hAnsiTheme="minorHAnsi" w:cstheme="minorHAnsi"/>
          <w:color w:val="000000"/>
          <w:szCs w:val="22"/>
        </w:rPr>
        <w:t xml:space="preserve">, а деламанід - у дітей від 3 років </w:t>
      </w:r>
      <w:r w:rsidRPr="006263CF">
        <w:rPr>
          <w:rFonts w:asciiTheme="minorHAnsi" w:hAnsiTheme="minorHAnsi" w:cstheme="minorHAnsi"/>
          <w:i/>
          <w:iCs/>
          <w:color w:val="000000"/>
          <w:szCs w:val="22"/>
        </w:rPr>
        <w:t>(1)</w:t>
      </w:r>
      <w:r w:rsidRPr="006263CF">
        <w:rPr>
          <w:rFonts w:asciiTheme="minorHAnsi" w:hAnsiTheme="minorHAnsi" w:cstheme="minorHAnsi"/>
          <w:color w:val="000000"/>
          <w:szCs w:val="22"/>
        </w:rPr>
        <w:t>. Вплив деламаніду досягається за допомогою таблеток вагою 25 мг, які здатні до диспергування і які тестуються в ході випробувань у дітей віком від 3-5 років; препарат також доступний для дітей, які проявляють гарну відповідь при його використанні. Біодоступність деламаніду може бути змінена при розщепленні, подрібненні або розчиненні 50 мг таблетки. Існують також проблеми, пов'язані з деякими пероральними лікарськими препаратами (наприклад, деламанідом, лінезолідом і етіонамідом), що таблетка, при спробі її розділити, може роздробитися, а її вміст буде вкрай гірким і неприємним. Таблетки зазвичай схильні до окислення і нагрівання; таким чином, збереження фрагментів пігулок для використання в будь-який час, крім часу прийому, швидше за все, призведе до надходження менших, ніж очікувалося, активних сполук і невказаних побічних продуктів окислення. Для дітей особливо важливо уникати ін'єкційної схеми введення. Скорочення загального терміну лікування менше 18 місяців може бути розглянуто у дітей, які не страждають серйозними захворюваннями.</w:t>
      </w:r>
    </w:p>
    <w:p w:rsidR="005225B5" w:rsidRPr="006263CF" w:rsidRDefault="005225B5" w:rsidP="006263CF">
      <w:pPr>
        <w:spacing w:before="144"/>
        <w:ind w:right="5"/>
        <w:jc w:val="both"/>
        <w:rPr>
          <w:rFonts w:asciiTheme="minorHAnsi" w:hAnsiTheme="minorHAnsi" w:cstheme="minorHAnsi"/>
          <w:sz w:val="18"/>
        </w:rPr>
      </w:pPr>
      <w:r w:rsidRPr="006263CF">
        <w:rPr>
          <w:rFonts w:asciiTheme="minorHAnsi" w:hAnsiTheme="minorHAnsi" w:cstheme="minorHAnsi"/>
          <w:b/>
          <w:bCs/>
          <w:i/>
          <w:iCs/>
          <w:color w:val="000000"/>
          <w:szCs w:val="22"/>
        </w:rPr>
        <w:t xml:space="preserve">Важкі форми позалегеневого туберкульозу та туберкульозного менінгіту: </w:t>
      </w:r>
      <w:r w:rsidRPr="006263CF">
        <w:rPr>
          <w:rFonts w:asciiTheme="minorHAnsi" w:hAnsiTheme="minorHAnsi" w:cstheme="minorHAnsi"/>
          <w:color w:val="000000"/>
          <w:szCs w:val="22"/>
        </w:rPr>
        <w:t>Рекомендації ВООЗ для довгострокових схем лікування МР-ТБ можуть застосовуватись і до пацієнтів з позалегеневими захворюваннями. Може знадобитися коригування лікування в залежності від локалізації місця захворювання. Лікування менінгіту МР/Риф-ТБ найкраще проводити з урахуванням ТМЧ інфекційного штаму і здатності протитуберкульозних препаратів проникати через гематоенцефалічний бар'єр. Фторхінолони групи А (наприклад, левофлоксацин, моксифлоксацин і лінезолід) добре проникають через гематоенцефалічний бар'єр (тобто ЦНС), а також етіонамід (або протіонамід), циклосерин (або теризідон) і іміпенем-циластатин (87-89). Напади можуть бути більш поширені у дітей з менінгітом, які лікуються іміпенемом, а меропенем краще приймати при випадках туберкульозного менінгіту і у дітей (90-92). Високі дози ізоніазиду і піразинаміду також можуть досягати терапевтичного рівня в церебральній спинномозковій рідині(ЦСМР), і можуть бути корисні, якщо штами сприйнятливі. ПАС кислота та етамбутол погано проникають в ЦНС і не повинні вважатися ефективними препаратами для лікування МР-ТБ менінгіту. Амікацин і стрептоміцин проникають в ЦНС тільки при наявності менінгеального запалення. Дані про проникнення в ЦНС клофазиміну, бедаквіліну або деламаніду обмежені.</w:t>
      </w:r>
    </w:p>
    <w:p w:rsidR="005225B5" w:rsidRPr="006263CF" w:rsidRDefault="005225B5" w:rsidP="006263CF">
      <w:pPr>
        <w:spacing w:before="139"/>
        <w:jc w:val="both"/>
        <w:rPr>
          <w:rFonts w:asciiTheme="minorHAnsi" w:hAnsiTheme="minorHAnsi" w:cstheme="minorHAnsi"/>
          <w:sz w:val="18"/>
        </w:rPr>
      </w:pPr>
      <w:r w:rsidRPr="006263CF">
        <w:rPr>
          <w:rFonts w:asciiTheme="minorHAnsi" w:hAnsiTheme="minorHAnsi" w:cstheme="minorHAnsi"/>
          <w:b/>
          <w:bCs/>
          <w:i/>
          <w:iCs/>
          <w:color w:val="000000"/>
          <w:szCs w:val="22"/>
        </w:rPr>
        <w:t xml:space="preserve">Вагітність: </w:t>
      </w:r>
      <w:r w:rsidRPr="006263CF">
        <w:rPr>
          <w:rFonts w:asciiTheme="minorHAnsi" w:hAnsiTheme="minorHAnsi" w:cstheme="minorHAnsi"/>
          <w:color w:val="000000"/>
          <w:szCs w:val="22"/>
        </w:rPr>
        <w:t>Інформація про безпечність використання бедаквіліну і деламаніду у період вагітності і під час грудного вигодовування все ще недостатня. Однак нові дані спостереження в Південній Африці включають інформацію про 58 матерів, які отримували бедаквілін у період вагітності. Результати цього дослідження показали, що вплив на плід бедаквіліну в матці асоціювалися з малою вагою при народженні (&lt;2500 г), без будь-яких інших істотних відмінностей в показниках дитячої смертності, результатах вагітності або результатах материнського лікування, включаючи збільшення ваги у немовлят віком до 1 року. Рекомендується, щоб у період вагітності була індивідуальна довгострокова схема лікування, що включає компоненти з встановленою безпечністю. Результати лікування і вагітності, а також післяпологового спостереження за вродженими аномаліями повинні бути задокументовані, щоб допомогти в розробці майбутніх рекомендацій по лікуванню МР-ТБ</w:t>
      </w:r>
    </w:p>
    <w:p w:rsidR="000344A4" w:rsidRDefault="000344A4" w:rsidP="000344A4">
      <w:pPr>
        <w:spacing w:before="360"/>
        <w:ind w:right="5"/>
        <w:jc w:val="both"/>
        <w:rPr>
          <w:rFonts w:asciiTheme="minorHAnsi" w:hAnsiTheme="minorHAnsi" w:cstheme="minorHAnsi"/>
          <w:color w:val="000000"/>
          <w:sz w:val="14"/>
          <w:szCs w:val="16"/>
          <w:vertAlign w:val="superscript"/>
        </w:rPr>
      </w:pPr>
      <w:r>
        <w:rPr>
          <w:rFonts w:asciiTheme="minorHAnsi" w:hAnsiTheme="minorHAnsi" w:cstheme="minorHAnsi"/>
          <w:color w:val="000000"/>
          <w:sz w:val="14"/>
          <w:szCs w:val="16"/>
          <w:u w:val="single"/>
          <w:vertAlign w:val="superscript"/>
        </w:rPr>
        <w:tab/>
      </w:r>
      <w:r>
        <w:rPr>
          <w:rFonts w:asciiTheme="minorHAnsi" w:hAnsiTheme="minorHAnsi" w:cstheme="minorHAnsi"/>
          <w:color w:val="000000"/>
          <w:sz w:val="14"/>
          <w:szCs w:val="16"/>
          <w:u w:val="single"/>
          <w:vertAlign w:val="superscript"/>
        </w:rPr>
        <w:tab/>
      </w:r>
      <w:r>
        <w:rPr>
          <w:rFonts w:asciiTheme="minorHAnsi" w:hAnsiTheme="minorHAnsi" w:cstheme="minorHAnsi"/>
          <w:color w:val="000000"/>
          <w:sz w:val="14"/>
          <w:szCs w:val="16"/>
          <w:u w:val="single"/>
          <w:vertAlign w:val="superscript"/>
        </w:rPr>
        <w:tab/>
      </w:r>
    </w:p>
    <w:p w:rsidR="005225B5" w:rsidRPr="006263CF" w:rsidRDefault="005225B5" w:rsidP="000344A4">
      <w:pPr>
        <w:tabs>
          <w:tab w:val="left" w:pos="221"/>
        </w:tabs>
        <w:ind w:left="221" w:right="5" w:hanging="221"/>
        <w:jc w:val="both"/>
        <w:rPr>
          <w:rFonts w:asciiTheme="minorHAnsi" w:hAnsiTheme="minorHAnsi" w:cstheme="minorHAnsi"/>
          <w:sz w:val="18"/>
        </w:rPr>
      </w:pPr>
      <w:r w:rsidRPr="006263CF">
        <w:rPr>
          <w:rFonts w:asciiTheme="minorHAnsi" w:hAnsiTheme="minorHAnsi" w:cstheme="minorHAnsi"/>
          <w:color w:val="000000"/>
          <w:sz w:val="14"/>
          <w:szCs w:val="16"/>
          <w:vertAlign w:val="superscript"/>
        </w:rPr>
        <w:t>14</w:t>
      </w:r>
      <w:r w:rsidRPr="006263CF">
        <w:rPr>
          <w:rFonts w:asciiTheme="minorHAnsi" w:hAnsiTheme="minorHAnsi" w:cstheme="minorHAnsi"/>
          <w:color w:val="000000"/>
          <w:sz w:val="14"/>
          <w:szCs w:val="16"/>
        </w:rPr>
        <w:t xml:space="preserve"> </w:t>
      </w:r>
      <w:r w:rsidR="00A04C57">
        <w:rPr>
          <w:rFonts w:asciiTheme="minorHAnsi" w:hAnsiTheme="minorHAnsi" w:cstheme="minorHAnsi"/>
          <w:color w:val="000000"/>
          <w:sz w:val="14"/>
          <w:szCs w:val="16"/>
        </w:rPr>
        <w:tab/>
      </w:r>
      <w:r w:rsidRPr="006263CF">
        <w:rPr>
          <w:rFonts w:asciiTheme="minorHAnsi" w:hAnsiTheme="minorHAnsi" w:cstheme="minorHAnsi"/>
          <w:color w:val="000000"/>
          <w:sz w:val="14"/>
          <w:szCs w:val="16"/>
        </w:rPr>
        <w:t>Дані, використані для аналізу цих рекомендацій, були отримані від пацієнтів, які не отримували два або більше лікарських препарати групи А. Однак невелика частина пацієнтів, включених в аналіз, перебувала на повністю пероральних схемах лікування, і у цих пацієнтів спостерігалася однакова оптимальна тривалість лікування по ідентичним параметрам.</w:t>
      </w:r>
    </w:p>
    <w:p w:rsidR="005225B5" w:rsidRPr="006263CF" w:rsidRDefault="005225B5" w:rsidP="006263CF">
      <w:pPr>
        <w:tabs>
          <w:tab w:val="left" w:pos="221"/>
        </w:tabs>
        <w:spacing w:before="38"/>
        <w:ind w:left="221" w:right="10" w:hanging="221"/>
        <w:jc w:val="both"/>
        <w:rPr>
          <w:rFonts w:asciiTheme="minorHAnsi" w:hAnsiTheme="minorHAnsi" w:cstheme="minorHAnsi"/>
          <w:sz w:val="18"/>
        </w:rPr>
      </w:pPr>
      <w:r w:rsidRPr="006263CF">
        <w:rPr>
          <w:rFonts w:asciiTheme="minorHAnsi" w:hAnsiTheme="minorHAnsi" w:cstheme="minorHAnsi"/>
          <w:color w:val="000000"/>
          <w:sz w:val="14"/>
          <w:szCs w:val="16"/>
          <w:vertAlign w:val="superscript"/>
        </w:rPr>
        <w:t>15</w:t>
      </w:r>
      <w:r w:rsidRPr="006263CF">
        <w:rPr>
          <w:rFonts w:asciiTheme="minorHAnsi" w:hAnsiTheme="minorHAnsi" w:cstheme="minorHAnsi"/>
          <w:color w:val="000000"/>
          <w:sz w:val="14"/>
          <w:szCs w:val="16"/>
        </w:rPr>
        <w:tab/>
        <w:t xml:space="preserve">На підставі результатів рандомізованого контрольованого дослідження (РКД), здійсненого виробником, управління з санітарного нагляду за якістю харчових продуктів і лікарських засобів США продовжило термін дії дозволу на використання бедаквіліну для дітей віком від 5 років </w:t>
      </w:r>
      <w:r w:rsidRPr="006263CF">
        <w:rPr>
          <w:rFonts w:asciiTheme="minorHAnsi" w:hAnsiTheme="minorHAnsi" w:cstheme="minorHAnsi"/>
          <w:i/>
          <w:iCs/>
          <w:color w:val="000000"/>
          <w:sz w:val="14"/>
          <w:szCs w:val="16"/>
        </w:rPr>
        <w:t>(32)</w:t>
      </w:r>
      <w:r w:rsidRPr="006263CF">
        <w:rPr>
          <w:rFonts w:asciiTheme="minorHAnsi" w:hAnsiTheme="minorHAnsi" w:cstheme="minorHAnsi"/>
          <w:color w:val="000000"/>
          <w:sz w:val="14"/>
          <w:szCs w:val="16"/>
        </w:rPr>
        <w:t>. Однак ці дані ще не були оцінені ВООЗ.</w:t>
      </w:r>
    </w:p>
    <w:p w:rsidR="005225B5" w:rsidRPr="006263CF" w:rsidRDefault="005225B5" w:rsidP="006263CF">
      <w:pPr>
        <w:tabs>
          <w:tab w:val="left" w:pos="221"/>
        </w:tabs>
        <w:spacing w:before="38"/>
        <w:ind w:left="221" w:right="10" w:hanging="221"/>
        <w:jc w:val="both"/>
        <w:rPr>
          <w:rFonts w:asciiTheme="minorHAnsi" w:hAnsiTheme="minorHAnsi" w:cstheme="minorHAnsi"/>
          <w:sz w:val="18"/>
        </w:rPr>
        <w:sectPr w:rsidR="005225B5" w:rsidRPr="006263CF">
          <w:pgSz w:w="11904" w:h="16838"/>
          <w:pgMar w:top="1349" w:right="1411" w:bottom="1310" w:left="1416" w:header="708" w:footer="708" w:gutter="0"/>
          <w:cols w:space="60"/>
          <w:noEndnote/>
        </w:sectPr>
      </w:pPr>
    </w:p>
    <w:p w:rsidR="005225B5" w:rsidRPr="006263CF" w:rsidRDefault="005225B5" w:rsidP="006263CF">
      <w:pPr>
        <w:ind w:right="5"/>
        <w:jc w:val="both"/>
        <w:rPr>
          <w:rFonts w:asciiTheme="minorHAnsi" w:hAnsiTheme="minorHAnsi" w:cstheme="minorHAnsi"/>
          <w:sz w:val="18"/>
        </w:rPr>
      </w:pPr>
      <w:bookmarkStart w:id="32" w:name="bookmark31"/>
      <w:bookmarkEnd w:id="32"/>
      <w:r w:rsidRPr="006263CF">
        <w:rPr>
          <w:rFonts w:asciiTheme="minorHAnsi" w:hAnsiTheme="minorHAnsi" w:cstheme="minorHAnsi"/>
          <w:sz w:val="18"/>
        </w:rPr>
        <w:lastRenderedPageBreak/>
        <w:t>у період вагітності (1, 93).</w:t>
      </w:r>
      <w:r w:rsidRPr="006263CF">
        <w:rPr>
          <w:rFonts w:asciiTheme="minorHAnsi" w:hAnsiTheme="minorHAnsi" w:cstheme="minorHAnsi"/>
          <w:color w:val="000000"/>
          <w:szCs w:val="22"/>
        </w:rPr>
        <w:t xml:space="preserve"> Амікацин, стрептоміцин, протіонамід та етіонамід зазвичай протипоказані у період вагітності.</w:t>
      </w:r>
    </w:p>
    <w:p w:rsidR="005225B5" w:rsidRPr="006263CF" w:rsidRDefault="005225B5" w:rsidP="006263CF">
      <w:pPr>
        <w:spacing w:before="139"/>
        <w:jc w:val="both"/>
        <w:rPr>
          <w:rFonts w:asciiTheme="minorHAnsi" w:hAnsiTheme="minorHAnsi" w:cstheme="minorHAnsi"/>
          <w:sz w:val="18"/>
        </w:rPr>
      </w:pPr>
      <w:r w:rsidRPr="006263CF">
        <w:rPr>
          <w:rFonts w:asciiTheme="minorHAnsi" w:hAnsiTheme="minorHAnsi" w:cstheme="minorHAnsi"/>
          <w:b/>
          <w:bCs/>
          <w:i/>
          <w:iCs/>
          <w:color w:val="000000"/>
          <w:szCs w:val="22"/>
        </w:rPr>
        <w:t xml:space="preserve">ВІЛ-інфекція: </w:t>
      </w:r>
      <w:r w:rsidRPr="006263CF">
        <w:rPr>
          <w:rFonts w:asciiTheme="minorHAnsi" w:hAnsiTheme="minorHAnsi" w:cstheme="minorHAnsi"/>
          <w:color w:val="000000"/>
          <w:szCs w:val="22"/>
        </w:rPr>
        <w:t xml:space="preserve">Склад схеми лікування МР-TБ зазвичай не суттєво відрізняється для осіб, які живуть з ВІЛ. Деякі взаємодії лікарських засобів можливо обережно уникнути (наприклад бедаквілін та ефавіренц, чи бедаквілін та ритонавір) (див. </w:t>
      </w:r>
      <w:r w:rsidRPr="006263CF">
        <w:rPr>
          <w:rFonts w:asciiTheme="minorHAnsi" w:hAnsiTheme="minorHAnsi" w:cstheme="minorHAnsi"/>
          <w:color w:val="1F61AA"/>
          <w:szCs w:val="22"/>
        </w:rPr>
        <w:t>Таблиця 6.2</w:t>
      </w:r>
      <w:r w:rsidRPr="006263CF">
        <w:rPr>
          <w:rFonts w:asciiTheme="minorHAnsi" w:hAnsiTheme="minorHAnsi" w:cstheme="minorHAnsi"/>
          <w:color w:val="000000"/>
          <w:szCs w:val="22"/>
        </w:rPr>
        <w:t xml:space="preserve">) </w:t>
      </w:r>
      <w:r w:rsidRPr="006263CF">
        <w:rPr>
          <w:rFonts w:asciiTheme="minorHAnsi" w:hAnsiTheme="minorHAnsi" w:cstheme="minorHAnsi"/>
          <w:i/>
          <w:iCs/>
          <w:color w:val="000000"/>
          <w:szCs w:val="22"/>
        </w:rPr>
        <w:t>(52–54)</w:t>
      </w:r>
      <w:r w:rsidRPr="006263CF">
        <w:rPr>
          <w:rFonts w:asciiTheme="minorHAnsi" w:hAnsiTheme="minorHAnsi" w:cstheme="minorHAnsi"/>
          <w:color w:val="000000"/>
          <w:szCs w:val="22"/>
        </w:rPr>
        <w:t>.</w:t>
      </w:r>
    </w:p>
    <w:p w:rsidR="005225B5" w:rsidRPr="006263CF" w:rsidRDefault="005225B5" w:rsidP="006263CF">
      <w:pPr>
        <w:spacing w:before="283"/>
        <w:rPr>
          <w:rFonts w:asciiTheme="minorHAnsi" w:hAnsiTheme="minorHAnsi" w:cstheme="minorHAnsi"/>
          <w:sz w:val="18"/>
        </w:rPr>
      </w:pPr>
      <w:bookmarkStart w:id="33" w:name="bookmark32"/>
      <w:r w:rsidRPr="006263CF">
        <w:rPr>
          <w:rFonts w:asciiTheme="minorHAnsi" w:hAnsiTheme="minorHAnsi" w:cstheme="minorHAnsi"/>
          <w:b/>
          <w:bCs/>
          <w:color w:val="1F61AA"/>
          <w:sz w:val="36"/>
          <w:szCs w:val="38"/>
        </w:rPr>
        <w:t>6</w:t>
      </w:r>
      <w:bookmarkEnd w:id="33"/>
      <w:r w:rsidRPr="006263CF">
        <w:rPr>
          <w:rFonts w:asciiTheme="minorHAnsi" w:hAnsiTheme="minorHAnsi" w:cstheme="minorHAnsi"/>
          <w:b/>
          <w:bCs/>
          <w:color w:val="1F61AA"/>
          <w:sz w:val="36"/>
          <w:szCs w:val="38"/>
        </w:rPr>
        <w:t>.8 Моніторинг лікування</w:t>
      </w:r>
    </w:p>
    <w:p w:rsidR="005225B5" w:rsidRPr="006263CF" w:rsidRDefault="005225B5" w:rsidP="006263CF">
      <w:pPr>
        <w:spacing w:before="110"/>
        <w:rPr>
          <w:rFonts w:asciiTheme="minorHAnsi" w:hAnsiTheme="minorHAnsi" w:cstheme="minorHAnsi"/>
          <w:sz w:val="18"/>
        </w:rPr>
      </w:pPr>
      <w:r w:rsidRPr="006263CF">
        <w:rPr>
          <w:rFonts w:asciiTheme="minorHAnsi" w:hAnsiTheme="minorHAnsi" w:cstheme="minorHAnsi"/>
          <w:color w:val="000000"/>
          <w:szCs w:val="22"/>
        </w:rPr>
        <w:t>Існує одна рекомендація, якою слід керуватися при моніторингу лікування, застосовуючи довгострокову схему лікування:</w:t>
      </w:r>
    </w:p>
    <w:p w:rsidR="005225B5" w:rsidRPr="006263CF" w:rsidRDefault="005225B5" w:rsidP="006263CF">
      <w:pPr>
        <w:spacing w:before="144"/>
        <w:ind w:left="221" w:right="230"/>
        <w:jc w:val="both"/>
        <w:rPr>
          <w:rFonts w:asciiTheme="minorHAnsi" w:hAnsiTheme="minorHAnsi" w:cstheme="minorHAnsi"/>
          <w:sz w:val="18"/>
        </w:rPr>
      </w:pPr>
      <w:r w:rsidRPr="006263CF">
        <w:rPr>
          <w:rFonts w:asciiTheme="minorHAnsi" w:hAnsiTheme="minorHAnsi" w:cstheme="minorHAnsi"/>
          <w:b/>
          <w:bCs/>
          <w:color w:val="000000"/>
          <w:szCs w:val="22"/>
        </w:rPr>
        <w:t>Рекомендація 5.1. У пацієнтів з довгостроковою схемою лікування МР/Риф-ТБ, для моніторингу відповідної реакції на лікування рекомендується висіяти культуру мокротиння додатково до мікроскопії мазка мокротиння.</w:t>
      </w:r>
    </w:p>
    <w:p w:rsidR="005225B5" w:rsidRPr="006263CF" w:rsidRDefault="005225B5" w:rsidP="006263CF">
      <w:pPr>
        <w:ind w:left="221"/>
        <w:rPr>
          <w:rFonts w:asciiTheme="minorHAnsi" w:hAnsiTheme="minorHAnsi" w:cstheme="minorHAnsi"/>
          <w:sz w:val="18"/>
        </w:rPr>
      </w:pPr>
      <w:r w:rsidRPr="006263CF">
        <w:rPr>
          <w:rFonts w:asciiTheme="minorHAnsi" w:hAnsiTheme="minorHAnsi" w:cstheme="minorHAnsi"/>
          <w:i/>
          <w:iCs/>
          <w:color w:val="000000"/>
          <w:szCs w:val="22"/>
        </w:rPr>
        <w:t>(Сильна рекомендація, помірна впевненість в оцінці точності тестування)</w:t>
      </w:r>
    </w:p>
    <w:p w:rsidR="005225B5" w:rsidRPr="006263CF" w:rsidRDefault="005225B5" w:rsidP="006263CF">
      <w:pPr>
        <w:spacing w:before="269"/>
        <w:rPr>
          <w:rFonts w:asciiTheme="minorHAnsi" w:hAnsiTheme="minorHAnsi" w:cstheme="minorHAnsi"/>
          <w:sz w:val="18"/>
        </w:rPr>
      </w:pPr>
      <w:r w:rsidRPr="006263CF">
        <w:rPr>
          <w:rFonts w:asciiTheme="minorHAnsi" w:hAnsiTheme="minorHAnsi" w:cstheme="minorHAnsi"/>
          <w:b/>
          <w:bCs/>
          <w:color w:val="1F61AA"/>
          <w:sz w:val="28"/>
          <w:szCs w:val="32"/>
        </w:rPr>
        <w:t>6.8.1 Моніторинг реакції на лікування і розподіл результатів</w:t>
      </w:r>
    </w:p>
    <w:p w:rsidR="005225B5" w:rsidRPr="006263CF" w:rsidRDefault="005225B5" w:rsidP="006263CF">
      <w:pPr>
        <w:spacing w:before="125"/>
        <w:jc w:val="both"/>
        <w:rPr>
          <w:rFonts w:asciiTheme="minorHAnsi" w:hAnsiTheme="minorHAnsi" w:cstheme="minorHAnsi"/>
          <w:sz w:val="18"/>
        </w:rPr>
      </w:pPr>
      <w:r w:rsidRPr="006263CF">
        <w:rPr>
          <w:rFonts w:asciiTheme="minorHAnsi" w:hAnsiTheme="minorHAnsi" w:cstheme="minorHAnsi"/>
          <w:color w:val="000000"/>
          <w:szCs w:val="22"/>
        </w:rPr>
        <w:t xml:space="preserve">Для моніторингу терапевтичної відповіді у пацієнтів з довгостроковими схемами лікування МР-ТБ настійно рекомендується повторювати посів мокротиння один раз у місяць, та додатково проводити мікроскопію мазка мокротиння </w:t>
      </w:r>
      <w:r w:rsidRPr="006263CF">
        <w:rPr>
          <w:rFonts w:asciiTheme="minorHAnsi" w:hAnsiTheme="minorHAnsi" w:cstheme="minorHAnsi"/>
          <w:i/>
          <w:iCs/>
          <w:color w:val="000000"/>
          <w:szCs w:val="22"/>
        </w:rPr>
        <w:t>(38)</w:t>
      </w:r>
      <w:r w:rsidRPr="006263CF">
        <w:rPr>
          <w:rFonts w:asciiTheme="minorHAnsi" w:hAnsiTheme="minorHAnsi" w:cstheme="minorHAnsi"/>
          <w:color w:val="000000"/>
          <w:szCs w:val="22"/>
        </w:rPr>
        <w:t>. Дані, що використовуються для вивчення значення культури за допомогою однієї тільки мікроскопії мазка мокротиння була отримана з ІДП; вони показали більш високу чутливість щомісячної культури при прогнозуванні результатів лікування в порівнянні з щомісячною мікроскопією мазку. Щомісячне виявлення культури підвищила ефективність виявлення пацієнтів з дійсно позитивним бактеріологічним результатом в порівнянні з однією тільки мікроскопією мазків мокротиння; крім того, це зменшило частку пацієнтів з хибним негативним результатом.</w:t>
      </w:r>
    </w:p>
    <w:p w:rsidR="005225B5" w:rsidRPr="006263CF" w:rsidRDefault="005225B5" w:rsidP="006263CF">
      <w:pPr>
        <w:spacing w:before="144"/>
        <w:jc w:val="both"/>
        <w:rPr>
          <w:rFonts w:asciiTheme="minorHAnsi" w:hAnsiTheme="minorHAnsi" w:cstheme="minorHAnsi"/>
          <w:sz w:val="18"/>
        </w:rPr>
      </w:pPr>
      <w:r w:rsidRPr="006263CF">
        <w:rPr>
          <w:rFonts w:asciiTheme="minorHAnsi" w:hAnsiTheme="minorHAnsi" w:cstheme="minorHAnsi"/>
          <w:color w:val="000000"/>
          <w:szCs w:val="22"/>
        </w:rPr>
        <w:t>Одночасне використання мікроскопії мазка мокротиння і результатів тестування культури допомагає виявити пацієнтів, бактеріологія яких залишається позитивною або виявляється позитивною після початкового негативного результату. Це комбіноване тестування допоможе лікарям виявити пацієнтів, чиє лікування може дати збій, і, таким чином, своєчасно вжити заходів по боротьбі з інфекцією. Додаткові переваги можна було б очікувати від зниження масштабів передачі і розвитку стійкості, а також від відповідних змін у схемах лікування. Регулярна мікроскопія і культивування мокротиння або інших зразків залишається важливим фактором, що забезпечує раннє виявлення неефективності лікування. Використання мікроскопії мазка або культури для оцінки зміни бактеріологічного статусу, що є важливим засобом оцінки реакції, і очікується, що більшість пацієнтів придбають негативний статус аналізу мокротиння протягом перших кількох місяців після початку лікування. Збереження позитивності культури за межами цієї точки або ближче до очікуваного кінця інтенсивної фази, коли використовуються ін'єкційні препарати, має привести до перегляду схеми і ефективності ТМЧ. Якщо ТМЧ до певних препаратів недоступний, штами слід зберігати для подальших досліджень в наднаціональній референс-лабораторії. Якщо ризик стійкості високий (наприклад, після неефективності лікування туберкульозу у пацієнтів, які контактують з хворими на стійкий до дії лікарських засобів, туберкульоз), послідовні методи можуть також надати цінну інформацію. Рекомендується аналізувати культуру для продовження спостереження за пацієнтами протягом 6 і 12 місяців після завершення лікування, щоб забезпечити стійке лікування.</w:t>
      </w:r>
    </w:p>
    <w:p w:rsidR="005225B5" w:rsidRPr="006263CF" w:rsidRDefault="005225B5" w:rsidP="006263CF">
      <w:pPr>
        <w:spacing w:before="149"/>
        <w:jc w:val="both"/>
        <w:rPr>
          <w:rFonts w:asciiTheme="minorHAnsi" w:hAnsiTheme="minorHAnsi" w:cstheme="minorHAnsi"/>
          <w:sz w:val="18"/>
        </w:rPr>
      </w:pPr>
      <w:r w:rsidRPr="006263CF">
        <w:rPr>
          <w:rFonts w:asciiTheme="minorHAnsi" w:hAnsiTheme="minorHAnsi" w:cstheme="minorHAnsi"/>
          <w:color w:val="000000"/>
          <w:szCs w:val="22"/>
        </w:rPr>
        <w:t>У дітей контроль мазка і культури у відповідь на лікування може бути утруднений, з тих же причин важко отримати бактеріологічне підтвердження діагнозу.  У дітей з бактеріологічно підтвердженим діагнозом повинні бути вжиті всі необхідні заходи для того, щоб продемонструвати бактеріологічне перетворення. Повторний відбір проб з дихальних шляхів може виявитися недоцільним, якщо дитина добре відповідає клінічно на лікування, тоді коли культура виявилась негативною або у дітей, у яких ніколи не було підтвердженого діагнозу. Поліпшення клінічних симптомів і збільшення ваги можуть бути використані в якості індикаторів поліпшення. Всі діти повинні регулярно проходити клінічне спостереження, включаючи моніторинг ваги і росту. Дозування лікарських засобів слід коригувати в залежності від ваги при необхідності.</w:t>
      </w:r>
    </w:p>
    <w:p w:rsidR="005225B5" w:rsidRPr="006263CF" w:rsidRDefault="005225B5" w:rsidP="006263CF">
      <w:pPr>
        <w:spacing w:before="149"/>
        <w:jc w:val="both"/>
        <w:rPr>
          <w:rFonts w:asciiTheme="minorHAnsi" w:hAnsiTheme="minorHAnsi" w:cstheme="minorHAnsi"/>
          <w:sz w:val="18"/>
        </w:rPr>
        <w:sectPr w:rsidR="005225B5" w:rsidRPr="006263CF" w:rsidSect="00A04C57">
          <w:pgSz w:w="11904" w:h="16838"/>
          <w:pgMar w:top="1291" w:right="1416" w:bottom="426" w:left="1416" w:header="708" w:footer="708" w:gutter="0"/>
          <w:cols w:space="60"/>
          <w:noEndnote/>
        </w:sectPr>
      </w:pPr>
    </w:p>
    <w:p w:rsidR="005225B5" w:rsidRPr="006263CF" w:rsidRDefault="005225B5" w:rsidP="006263CF">
      <w:pPr>
        <w:rPr>
          <w:rFonts w:asciiTheme="minorHAnsi" w:hAnsiTheme="minorHAnsi" w:cstheme="minorHAnsi"/>
          <w:sz w:val="18"/>
        </w:rPr>
      </w:pPr>
      <w:r w:rsidRPr="006263CF">
        <w:rPr>
          <w:rFonts w:asciiTheme="minorHAnsi" w:hAnsiTheme="minorHAnsi" w:cstheme="minorHAnsi"/>
          <w:b/>
          <w:bCs/>
          <w:color w:val="1F61AA"/>
          <w:sz w:val="28"/>
          <w:szCs w:val="32"/>
        </w:rPr>
        <w:lastRenderedPageBreak/>
        <w:t>6.8.2 Моніторинг безпеки</w:t>
      </w:r>
    </w:p>
    <w:p w:rsidR="005225B5" w:rsidRPr="006263CF" w:rsidRDefault="005225B5" w:rsidP="006263CF">
      <w:pPr>
        <w:spacing w:before="120"/>
        <w:jc w:val="both"/>
        <w:rPr>
          <w:rFonts w:asciiTheme="minorHAnsi" w:hAnsiTheme="minorHAnsi" w:cstheme="minorHAnsi"/>
          <w:sz w:val="18"/>
        </w:rPr>
      </w:pPr>
      <w:r w:rsidRPr="006263CF">
        <w:rPr>
          <w:rFonts w:asciiTheme="minorHAnsi" w:hAnsiTheme="minorHAnsi" w:cstheme="minorHAnsi"/>
          <w:color w:val="000000"/>
          <w:szCs w:val="22"/>
        </w:rPr>
        <w:t>Культивування в даний час рекомендується в ході всього курсу лікування, бажано з місячним інтервалом для раннього виявлення неефективності лікування (94). Крім того, при моніторингу безпечності необхідно взяти до уваги результати клінічних досліджень (наприклад, ЕКГ, аналіз сечі, аналіз крові та рентгенограм). Лікарські препарати, включені в обрану схему лікування, визначають, які контрольні тести необхідні; наприклад, клінічна та біохімічна оцінка лінезоліду; клінічна оцінка периферичної нейропатії і психічних розладів; електрокардіографія і моніторинг електролітів, особливо коли схема лікування містить препарати, які подовжують інтервали QT (наприклад, бедаквілін, деламанід, моксифлоксацин і клофазимін). Будь-які небажані явища під час лікування повинні негайно усуватися, щоб полегшити страждання, звести до мінімуму ризик переривання лікування та запобігти захворюваність і смертність. Графіки проведення клінічних, біохімічних і мікробіологічних досліджень наведені у системі активного моніторингу та управління безпекою застосування протитуберкульозних препаратів супутнього довідника (5). Моніторинг лікування повинен здійснюватися в рамках амбулаторної допомоги з використанням децентралізованої моделі надання допомоги, рекомендованої в попередній настанові ВООЗ, яка залишається актуальною і у 2017 році.</w:t>
      </w:r>
    </w:p>
    <w:p w:rsidR="005225B5" w:rsidRPr="006263CF" w:rsidRDefault="005225B5" w:rsidP="006263CF">
      <w:pPr>
        <w:spacing w:before="120"/>
        <w:jc w:val="both"/>
        <w:rPr>
          <w:rFonts w:asciiTheme="minorHAnsi" w:hAnsiTheme="minorHAnsi" w:cstheme="minorHAnsi"/>
          <w:sz w:val="18"/>
        </w:rPr>
        <w:sectPr w:rsidR="005225B5" w:rsidRPr="006263CF" w:rsidSect="00A04C57">
          <w:pgSz w:w="11904" w:h="16838"/>
          <w:pgMar w:top="1315" w:right="1416" w:bottom="7797" w:left="1416" w:header="708" w:footer="708" w:gutter="0"/>
          <w:cols w:space="60"/>
          <w:noEndnote/>
        </w:sectPr>
      </w:pPr>
    </w:p>
    <w:p w:rsidR="005225B5" w:rsidRPr="00A04C57" w:rsidRDefault="00C73DE6" w:rsidP="006263CF">
      <w:pPr>
        <w:rPr>
          <w:rFonts w:asciiTheme="minorHAnsi" w:hAnsiTheme="minorHAnsi" w:cstheme="minorHAnsi"/>
          <w:b/>
          <w:sz w:val="18"/>
        </w:rPr>
      </w:pPr>
      <w:bookmarkStart w:id="34" w:name="bookmark33"/>
      <w:r>
        <w:rPr>
          <w:rFonts w:asciiTheme="minorHAnsi" w:hAnsiTheme="minorHAnsi" w:cstheme="minorHAnsi"/>
          <w:b/>
          <w:noProof/>
          <w:color w:val="1F61AA"/>
          <w:sz w:val="56"/>
          <w:szCs w:val="64"/>
        </w:rPr>
        <w:lastRenderedPageBreak/>
        <w:drawing>
          <wp:anchor distT="0" distB="0" distL="6400800" distR="6400800" simplePos="0" relativeHeight="251698176" behindDoc="1" locked="0" layoutInCell="0" allowOverlap="1" wp14:anchorId="5BE983BC" wp14:editId="286F9E30">
            <wp:simplePos x="0" y="0"/>
            <wp:positionH relativeFrom="margin">
              <wp:posOffset>-956310</wp:posOffset>
            </wp:positionH>
            <wp:positionV relativeFrom="paragraph">
              <wp:posOffset>-1395095</wp:posOffset>
            </wp:positionV>
            <wp:extent cx="7729220" cy="1708785"/>
            <wp:effectExtent l="0" t="0" r="5080" b="5715"/>
            <wp:wrapNone/>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29220" cy="1708785"/>
                    </a:xfrm>
                    <a:prstGeom prst="rect">
                      <a:avLst/>
                    </a:prstGeom>
                    <a:noFill/>
                    <a:ln>
                      <a:noFill/>
                    </a:ln>
                  </pic:spPr>
                </pic:pic>
              </a:graphicData>
            </a:graphic>
            <wp14:sizeRelH relativeFrom="page">
              <wp14:pctWidth>0</wp14:pctWidth>
            </wp14:sizeRelH>
            <wp14:sizeRelV relativeFrom="page">
              <wp14:pctHeight>0</wp14:pctHeight>
            </wp14:sizeRelV>
          </wp:anchor>
        </w:drawing>
      </w:r>
      <w:r w:rsidR="005225B5" w:rsidRPr="00A04C57">
        <w:rPr>
          <w:rFonts w:asciiTheme="minorHAnsi" w:hAnsiTheme="minorHAnsi" w:cstheme="minorHAnsi"/>
          <w:b/>
          <w:color w:val="1F61AA"/>
          <w:sz w:val="56"/>
          <w:szCs w:val="64"/>
        </w:rPr>
        <w:t>7</w:t>
      </w:r>
      <w:bookmarkEnd w:id="34"/>
      <w:r w:rsidR="005225B5" w:rsidRPr="00A04C57">
        <w:rPr>
          <w:rFonts w:asciiTheme="minorHAnsi" w:hAnsiTheme="minorHAnsi" w:cstheme="minorHAnsi"/>
          <w:b/>
          <w:color w:val="1F61AA"/>
          <w:sz w:val="56"/>
          <w:szCs w:val="64"/>
        </w:rPr>
        <w:t>. Схема лікування бедаквіліну, претоманіду і лінезоліду (БПЛ) для МР-ТБ з додатковою фторхінолоновою стійкістю</w:t>
      </w:r>
    </w:p>
    <w:p w:rsidR="005225B5" w:rsidRPr="006263CF" w:rsidRDefault="005225B5" w:rsidP="006263CF">
      <w:pPr>
        <w:spacing w:before="667"/>
        <w:jc w:val="both"/>
        <w:rPr>
          <w:rFonts w:asciiTheme="minorHAnsi" w:hAnsiTheme="minorHAnsi" w:cstheme="minorHAnsi"/>
          <w:sz w:val="18"/>
        </w:rPr>
      </w:pPr>
      <w:r w:rsidRPr="006263CF">
        <w:rPr>
          <w:rFonts w:asciiTheme="minorHAnsi" w:hAnsiTheme="minorHAnsi" w:cstheme="minorHAnsi"/>
          <w:color w:val="000000"/>
          <w:szCs w:val="22"/>
        </w:rPr>
        <w:t xml:space="preserve">Дослідження Nix-TB було проведено в Південній Африці в 2015-2017 р. для оцінки безпечності, ефективності, переносимості та фармакокінетичних властивостей 6-9-місячної схеми лікування, що складається з бедаквіліну, претоманіду і лінезоліду (БПЛ) для лікування ЛС-ТБ, непереносимого і нечутливого МР-ТБ </w:t>
      </w:r>
      <w:r w:rsidRPr="006263CF">
        <w:rPr>
          <w:rFonts w:asciiTheme="minorHAnsi" w:hAnsiTheme="minorHAnsi" w:cstheme="minorHAnsi"/>
          <w:i/>
          <w:iCs/>
          <w:color w:val="000000"/>
          <w:szCs w:val="22"/>
        </w:rPr>
        <w:t>(95)</w:t>
      </w:r>
      <w:r w:rsidRPr="006263CF">
        <w:rPr>
          <w:rFonts w:asciiTheme="minorHAnsi" w:hAnsiTheme="minorHAnsi" w:cstheme="minorHAnsi"/>
          <w:color w:val="000000"/>
          <w:szCs w:val="22"/>
        </w:rPr>
        <w:t>. Незабаром після того, як стали відомі результати дослідження Nix-TB, ВООЗ скликала в листопаді 2019 року нараду групи з розробки керівництва з метою перегляду даних для поновлення настанов ВООЗ.</w:t>
      </w:r>
    </w:p>
    <w:p w:rsidR="005225B5" w:rsidRPr="006263CF" w:rsidRDefault="005225B5" w:rsidP="006263CF">
      <w:pPr>
        <w:spacing w:before="144"/>
        <w:jc w:val="both"/>
        <w:rPr>
          <w:rFonts w:asciiTheme="minorHAnsi" w:hAnsiTheme="minorHAnsi" w:cstheme="minorHAnsi"/>
          <w:sz w:val="18"/>
        </w:rPr>
      </w:pPr>
      <w:r w:rsidRPr="006263CF">
        <w:rPr>
          <w:rFonts w:asciiTheme="minorHAnsi" w:hAnsiTheme="minorHAnsi" w:cstheme="minorHAnsi"/>
          <w:color w:val="000000"/>
          <w:szCs w:val="22"/>
        </w:rPr>
        <w:t>Дані, отримані в результаті дослідження Nix-TB, включали інформацію про 108 пацієнтів для аналізу ефективності і 109 пацієнтах для аналізу безпечності. Ці дані були зіставлені з безліччю даних (456 пацієнтів) ІДП, які в цілому включають 13 273 індивідуальних записи про пацієнтів з різних країн. Для первинного аналізу в групу компаратора увійшли пацієнти з ІДП на довгострокових схемах лікування (із середньою тривалістю лікування 21,0-25,5 міс.), які отримували в складі схеми лікування як бедаквілін, так і лінезолід. В цілому, відсоток успішності лікування був високим і склав 97,0% в лікувальній групі порівняно з 91,7% в групі-компараторі (1). Схема лікування БПЛ була пов'язана з високою частотою небажаних явищ, які вважалися пов'язаними з досліджуваними лікарськими засобами. Зі 109 пацієнтів, охоплених дослідженням Nix-TB, 28 (25,7%) зіткнулися з одним серйозним небажаним явищем, при цьому один (0,9%) помер від гострого геморагічного панкреатиту, 18 пацієнтів (16,5 %) зазнали небажані явища, які потребували необхідної або тривалої госпіталізації, 11 пацієнтів (10,1%) зазнали небажаних явищ, які загрожували життю, і два пацієнта (1,8%) зазнали небажаних явищ, які привели до стійкої або значної інвалідності або непрацездатності. У доклінічних даних, отриманих в результаті досліджень на тваринах, були виявлені ознаки репродуктивної токсичності, які можуть вплинути на репродуктивну здатність чоловіків (1).</w:t>
      </w:r>
    </w:p>
    <w:p w:rsidR="005225B5" w:rsidRPr="006263CF" w:rsidRDefault="005225B5" w:rsidP="006263CF">
      <w:pPr>
        <w:spacing w:before="58"/>
        <w:ind w:left="2366"/>
        <w:rPr>
          <w:rFonts w:asciiTheme="minorHAnsi" w:hAnsiTheme="minorHAnsi" w:cstheme="minorHAnsi"/>
          <w:sz w:val="18"/>
        </w:rPr>
      </w:pPr>
      <w:r w:rsidRPr="006263CF">
        <w:rPr>
          <w:rFonts w:asciiTheme="minorHAnsi" w:hAnsiTheme="minorHAnsi" w:cstheme="minorHAnsi"/>
          <w:noProof/>
          <w:sz w:val="18"/>
        </w:rPr>
        <mc:AlternateContent>
          <mc:Choice Requires="wps">
            <w:drawing>
              <wp:anchor distT="0" distB="0" distL="114300" distR="114300" simplePos="0" relativeHeight="251675648" behindDoc="0" locked="0" layoutInCell="1" allowOverlap="1" wp14:anchorId="675E8E34" wp14:editId="318258C7">
                <wp:simplePos x="0" y="0"/>
                <wp:positionH relativeFrom="page">
                  <wp:posOffset>2720898</wp:posOffset>
                </wp:positionH>
                <wp:positionV relativeFrom="page">
                  <wp:posOffset>7032702</wp:posOffset>
                </wp:positionV>
                <wp:extent cx="2096429" cy="195580"/>
                <wp:effectExtent l="0" t="0" r="0" b="0"/>
                <wp:wrapNone/>
                <wp:docPr id="9" name="Поле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6429" cy="195580"/>
                        </a:xfrm>
                        <a:prstGeom prst="rect">
                          <a:avLst/>
                        </a:prstGeom>
                        <a:solidFill>
                          <a:srgbClr val="D7DBEE"/>
                        </a:solidFill>
                        <a:ln w="6350">
                          <a:noFill/>
                        </a:ln>
                        <a:effectLst/>
                      </wps:spPr>
                      <wps:txbx>
                        <w:txbxContent>
                          <w:p w:rsidR="00395867" w:rsidRPr="00A04C57" w:rsidRDefault="00395867" w:rsidP="00A04C57">
                            <w:pPr>
                              <w:shd w:val="clear" w:color="auto" w:fill="D7DBEE"/>
                              <w:jc w:val="center"/>
                              <w:rPr>
                                <w:rFonts w:asciiTheme="minorHAnsi" w:hAnsiTheme="minorHAnsi" w:cstheme="minorHAnsi"/>
                                <w:sz w:val="14"/>
                              </w:rPr>
                            </w:pPr>
                            <w:r w:rsidRPr="00A04C57">
                              <w:rPr>
                                <w:rFonts w:asciiTheme="minorHAnsi" w:hAnsiTheme="minorHAnsi" w:cstheme="minorHAnsi"/>
                                <w:b/>
                                <w:bCs/>
                                <w:color w:val="000000"/>
                                <w:sz w:val="18"/>
                                <w:szCs w:val="22"/>
                              </w:rPr>
                              <w:t>Схема лікування БПЛ: 6-9 БДК-ПА-ЛЗД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E8E34" id="_x0000_s1035" type="#_x0000_t202" style="position:absolute;left:0;text-align:left;margin-left:214.25pt;margin-top:553.75pt;width:165.05pt;height:15.4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" fillcolor="#d7dbee" stroked="f" strokeweight=".5pt">
                <v:textbox inset="0,0,0,0">
                  <w:txbxContent>
                    <w:p w:rsidR="00395867" w:rsidRPr="00A04C57" w:rsidRDefault="00395867" w:rsidP="00A04C57">
                      <w:pPr>
                        <w:shd w:val="clear" w:color="auto" w:fill="D7DBEE"/>
                        <w:jc w:val="center"/>
                        <w:rPr>
                          <w:rFonts w:asciiTheme="minorHAnsi" w:hAnsiTheme="minorHAnsi" w:cstheme="minorHAnsi"/>
                          <w:sz w:val="14"/>
                        </w:rPr>
                      </w:pPr>
                      <w:r w:rsidRPr="00A04C57">
                        <w:rPr>
                          <w:rFonts w:asciiTheme="minorHAnsi" w:hAnsiTheme="minorHAnsi" w:cstheme="minorHAnsi"/>
                          <w:b/>
                          <w:bCs/>
                          <w:color w:val="000000"/>
                          <w:sz w:val="18"/>
                          <w:szCs w:val="22"/>
                        </w:rPr>
                        <w:t>Схема лікування БПЛ: 6-9 БДК-ПА-ЛЗД</w:t>
                      </w:r>
                    </w:p>
                  </w:txbxContent>
                </v:textbox>
                <w10:wrap anchorx="page" anchory="page"/>
              </v:shape>
            </w:pict>
          </mc:Fallback>
        </mc:AlternateContent>
      </w:r>
      <w:r w:rsidRPr="006263CF">
        <w:rPr>
          <w:rFonts w:asciiTheme="minorHAnsi" w:hAnsiTheme="minorHAnsi" w:cstheme="minorHAnsi"/>
          <w:noProof/>
          <w:sz w:val="18"/>
        </w:rPr>
        <w:drawing>
          <wp:inline distT="0" distB="0" distL="0" distR="0" wp14:anchorId="709495BE" wp14:editId="0F4196DB">
            <wp:extent cx="2731135" cy="487680"/>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31135" cy="487680"/>
                    </a:xfrm>
                    <a:prstGeom prst="rect">
                      <a:avLst/>
                    </a:prstGeom>
                    <a:noFill/>
                    <a:ln>
                      <a:noFill/>
                    </a:ln>
                  </pic:spPr>
                </pic:pic>
              </a:graphicData>
            </a:graphic>
          </wp:inline>
        </w:drawing>
      </w:r>
    </w:p>
    <w:p w:rsidR="005225B5" w:rsidRPr="006263CF" w:rsidRDefault="005225B5" w:rsidP="006263CF">
      <w:pPr>
        <w:jc w:val="both"/>
        <w:rPr>
          <w:rFonts w:asciiTheme="minorHAnsi" w:hAnsiTheme="minorHAnsi" w:cstheme="minorHAnsi"/>
          <w:sz w:val="18"/>
        </w:rPr>
      </w:pPr>
      <w:r w:rsidRPr="006263CF">
        <w:rPr>
          <w:rFonts w:asciiTheme="minorHAnsi" w:hAnsiTheme="minorHAnsi" w:cstheme="minorHAnsi"/>
          <w:color w:val="000000"/>
          <w:szCs w:val="22"/>
        </w:rPr>
        <w:t>Після розгляду фактичних даних ГРК рекомендувала використовувати схему БПЛ в умовах оперативних досліджень, які відповідають стандартам ВООЗ, які включають дослідження, що підлягають етичному твердженню, догляду і підтримці, орієнтовані на пацієнта, попередньо визначені критерії прийнятності, інформовану згоду пацієнта, здійснення відповідної до принципів належної клінічної практики, систему активного моніторингу та управління безпекою застосування протитуберкульозних препаратів, моніторинг лікування, оцінку результатів, а також всеосяжний, стандартизований збір даних.</w:t>
      </w:r>
    </w:p>
    <w:p w:rsidR="005225B5" w:rsidRPr="006263CF" w:rsidRDefault="005225B5" w:rsidP="006263CF">
      <w:pPr>
        <w:spacing w:before="149"/>
        <w:jc w:val="both"/>
        <w:rPr>
          <w:rFonts w:asciiTheme="minorHAnsi" w:hAnsiTheme="minorHAnsi" w:cstheme="minorHAnsi"/>
          <w:sz w:val="18"/>
        </w:rPr>
      </w:pPr>
      <w:r w:rsidRPr="006263CF">
        <w:rPr>
          <w:rFonts w:asciiTheme="minorHAnsi" w:hAnsiTheme="minorHAnsi" w:cstheme="minorHAnsi"/>
          <w:color w:val="000000"/>
          <w:szCs w:val="22"/>
        </w:rPr>
        <w:t xml:space="preserve">Претоманід - це новий лікарський препарат, який нещодавно був вивчений в рамках схеми БПЛ для лікування МР-ТБ з додатковою стійкістю до фторхінолонів. Претоманід володіє активністю проти як повторюваного, так і не повторюваного </w:t>
      </w:r>
      <w:r w:rsidRPr="006263CF">
        <w:rPr>
          <w:rFonts w:asciiTheme="minorHAnsi" w:hAnsiTheme="minorHAnsi" w:cstheme="minorHAnsi"/>
          <w:i/>
          <w:iCs/>
          <w:color w:val="000000"/>
          <w:szCs w:val="22"/>
        </w:rPr>
        <w:t>M. tuberculosis</w:t>
      </w:r>
      <w:r w:rsidRPr="006263CF">
        <w:rPr>
          <w:rFonts w:asciiTheme="minorHAnsi" w:hAnsiTheme="minorHAnsi" w:cstheme="minorHAnsi"/>
          <w:color w:val="000000"/>
          <w:szCs w:val="22"/>
        </w:rPr>
        <w:t xml:space="preserve"> (Abdel-Rahman SM. Неопубліковані дані, Дитяча лікарня милосердя, Канзас-Сіті, Сполучені Штати Америки, листопад 2019 рік ). In vitro, доклінічні та клінічні дані підтверджують роль претоманіда як частини схеми лікування БПЛ (6-9 БДК-ПА-ЛЗД). Так як</w:t>
      </w:r>
    </w:p>
    <w:p w:rsidR="005225B5" w:rsidRPr="006263CF" w:rsidRDefault="005225B5" w:rsidP="006263CF">
      <w:pPr>
        <w:spacing w:before="149"/>
        <w:jc w:val="both"/>
        <w:rPr>
          <w:rFonts w:asciiTheme="minorHAnsi" w:hAnsiTheme="minorHAnsi" w:cstheme="minorHAnsi"/>
          <w:sz w:val="18"/>
        </w:rPr>
        <w:sectPr w:rsidR="005225B5" w:rsidRPr="006263CF">
          <w:pgSz w:w="11904" w:h="16838"/>
          <w:pgMar w:top="2117" w:right="1416" w:bottom="1454" w:left="1416" w:header="708" w:footer="708" w:gutter="0"/>
          <w:cols w:space="60"/>
          <w:noEndnote/>
        </w:sectPr>
      </w:pPr>
    </w:p>
    <w:p w:rsidR="005225B5" w:rsidRPr="006263CF" w:rsidRDefault="005225B5" w:rsidP="006263CF">
      <w:pPr>
        <w:ind w:left="14" w:right="144"/>
        <w:jc w:val="both"/>
        <w:rPr>
          <w:rFonts w:asciiTheme="minorHAnsi" w:hAnsiTheme="minorHAnsi" w:cstheme="minorHAnsi"/>
          <w:sz w:val="18"/>
        </w:rPr>
      </w:pPr>
      <w:bookmarkStart w:id="35" w:name="bookmark34"/>
      <w:bookmarkEnd w:id="35"/>
      <w:r w:rsidRPr="006263CF">
        <w:rPr>
          <w:rFonts w:asciiTheme="minorHAnsi" w:hAnsiTheme="minorHAnsi" w:cstheme="minorHAnsi"/>
          <w:sz w:val="18"/>
        </w:rPr>
        <w:lastRenderedPageBreak/>
        <w:t>немає досвіду використання цього лікарського препарату в інших комбінаціях, претоманід не рекомендується до використання поза схемою лікування БПЛ.</w:t>
      </w:r>
      <w:r w:rsidRPr="006263CF">
        <w:rPr>
          <w:rFonts w:asciiTheme="minorHAnsi" w:hAnsiTheme="minorHAnsi" w:cstheme="minorHAnsi"/>
          <w:color w:val="000000"/>
          <w:szCs w:val="22"/>
        </w:rPr>
        <w:t xml:space="preserve"> Сигнали безпеки, пов'язані з претоманідом, включають в себе гепатологічні, шлунково-кишкові, дерматологічні та репродуктивні небажані явища.</w:t>
      </w:r>
    </w:p>
    <w:p w:rsidR="005225B5" w:rsidRPr="006263CF" w:rsidRDefault="005225B5" w:rsidP="006263CF">
      <w:pPr>
        <w:spacing w:before="216"/>
        <w:rPr>
          <w:rFonts w:asciiTheme="minorHAnsi" w:hAnsiTheme="minorHAnsi" w:cstheme="minorHAnsi"/>
          <w:sz w:val="18"/>
        </w:rPr>
      </w:pPr>
      <w:r w:rsidRPr="006263CF">
        <w:rPr>
          <w:rFonts w:asciiTheme="minorHAnsi" w:hAnsiTheme="minorHAnsi" w:cstheme="minorHAnsi"/>
          <w:noProof/>
          <w:sz w:val="18"/>
        </w:rPr>
        <mc:AlternateContent>
          <mc:Choice Requires="wps">
            <w:drawing>
              <wp:anchor distT="0" distB="0" distL="114300" distR="114300" simplePos="0" relativeHeight="251676672" behindDoc="0" locked="0" layoutInCell="1" allowOverlap="1" wp14:anchorId="62451A8F" wp14:editId="1018D956">
                <wp:simplePos x="0" y="0"/>
                <wp:positionH relativeFrom="page">
                  <wp:posOffset>970280</wp:posOffset>
                </wp:positionH>
                <wp:positionV relativeFrom="page">
                  <wp:posOffset>1657985</wp:posOffset>
                </wp:positionV>
                <wp:extent cx="5564505" cy="1499870"/>
                <wp:effectExtent l="0" t="0" r="0" b="5080"/>
                <wp:wrapNone/>
                <wp:docPr id="66" name="Поле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4505" cy="1499870"/>
                        </a:xfrm>
                        <a:prstGeom prst="rect">
                          <a:avLst/>
                        </a:prstGeom>
                        <a:solidFill>
                          <a:srgbClr val="D7DBEE"/>
                        </a:solidFill>
                        <a:ln w="6350">
                          <a:noFill/>
                        </a:ln>
                        <a:effectLst/>
                      </wps:spPr>
                      <wps:txbx>
                        <w:txbxContent>
                          <w:p w:rsidR="00395867" w:rsidRPr="00A04C57" w:rsidRDefault="00395867" w:rsidP="00445738">
                            <w:pPr>
                              <w:widowControl/>
                              <w:spacing w:after="160" w:line="221" w:lineRule="atLeast"/>
                              <w:jc w:val="both"/>
                              <w:rPr>
                                <w:rFonts w:asciiTheme="minorHAnsi" w:hAnsiTheme="minorHAnsi" w:cstheme="minorHAnsi"/>
                                <w:color w:val="000000"/>
                                <w:sz w:val="22"/>
                                <w:szCs w:val="22"/>
                              </w:rPr>
                            </w:pPr>
                            <w:r w:rsidRPr="00A04C57">
                              <w:rPr>
                                <w:rFonts w:asciiTheme="minorHAnsi" w:hAnsiTheme="minorHAnsi" w:cstheme="minorHAnsi"/>
                                <w:i/>
                                <w:iCs/>
                                <w:color w:val="000000"/>
                                <w:sz w:val="22"/>
                                <w:szCs w:val="22"/>
                              </w:rPr>
                              <w:t>Рекомендація ВООЗ по використанню схеми лікування БПЛ (1)</w:t>
                            </w:r>
                          </w:p>
                          <w:p w:rsidR="00395867" w:rsidRPr="00A04C57" w:rsidRDefault="00395867" w:rsidP="00445738">
                            <w:pPr>
                              <w:widowControl/>
                              <w:spacing w:line="221" w:lineRule="atLeast"/>
                              <w:jc w:val="both"/>
                              <w:rPr>
                                <w:rFonts w:asciiTheme="minorHAnsi" w:hAnsiTheme="minorHAnsi" w:cstheme="minorHAnsi"/>
                                <w:color w:val="000000"/>
                                <w:sz w:val="22"/>
                                <w:szCs w:val="22"/>
                              </w:rPr>
                            </w:pPr>
                            <w:r w:rsidRPr="00A04C57">
                              <w:rPr>
                                <w:rFonts w:asciiTheme="minorHAnsi" w:hAnsiTheme="minorHAnsi" w:cstheme="minorHAnsi"/>
                                <w:b/>
                                <w:bCs/>
                                <w:color w:val="000000"/>
                                <w:sz w:val="22"/>
                                <w:szCs w:val="22"/>
                              </w:rPr>
                              <w:t xml:space="preserve">Рекомендація 4.1 Схема лікування тривалістю 6-9 місяців, що складається з бедаквіліну, претоманіду і лінезоліду (БПЛ), може бути використана в умовах оперативних досліджень у хворих на туберкульоз із мультирезистентним туберкульозом (МР-ТБ), стійким до фторхінолонів, який або не піддавався раніше впливу бедаквіліну і лінезоліду, або який піддавався їх впливу не більше 2 тижнів. </w:t>
                            </w:r>
                          </w:p>
                          <w:p w:rsidR="00395867" w:rsidRPr="00A04C57" w:rsidRDefault="00395867" w:rsidP="00445738">
                            <w:pPr>
                              <w:rPr>
                                <w:rFonts w:asciiTheme="minorHAnsi" w:hAnsiTheme="minorHAnsi" w:cstheme="minorHAnsi"/>
                                <w:sz w:val="18"/>
                              </w:rPr>
                            </w:pPr>
                            <w:r w:rsidRPr="00A04C57">
                              <w:rPr>
                                <w:rFonts w:asciiTheme="minorHAnsi" w:hAnsiTheme="minorHAnsi" w:cstheme="minorHAnsi"/>
                                <w:i/>
                                <w:iCs/>
                                <w:color w:val="000000"/>
                                <w:sz w:val="22"/>
                                <w:szCs w:val="22"/>
                              </w:rPr>
                              <w:t>(Умовна рекомендація, дуже низька впевненість в оцінках ефекту)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51A8F" id="_x0000_s1036" type="#_x0000_t202" style="position:absolute;margin-left:76.4pt;margin-top:130.55pt;width:438.15pt;height:118.1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" fillcolor="#d7dbee" stroked="f" strokeweight=".5pt">
                <v:textbox inset="0,0,0,0">
                  <w:txbxContent>
                    <w:p w:rsidR="00395867" w:rsidRPr="00A04C57" w:rsidRDefault="00395867" w:rsidP="00445738">
                      <w:pPr>
                        <w:widowControl/>
                        <w:spacing w:after="160" w:line="221" w:lineRule="atLeast"/>
                        <w:jc w:val="both"/>
                        <w:rPr>
                          <w:rFonts w:asciiTheme="minorHAnsi" w:hAnsiTheme="minorHAnsi" w:cstheme="minorHAnsi"/>
                          <w:color w:val="000000"/>
                          <w:sz w:val="22"/>
                          <w:szCs w:val="22"/>
                        </w:rPr>
                      </w:pPr>
                      <w:r w:rsidRPr="00A04C57">
                        <w:rPr>
                          <w:rFonts w:asciiTheme="minorHAnsi" w:hAnsiTheme="minorHAnsi" w:cstheme="minorHAnsi"/>
                          <w:i/>
                          <w:iCs/>
                          <w:color w:val="000000"/>
                          <w:sz w:val="22"/>
                          <w:szCs w:val="22"/>
                        </w:rPr>
                        <w:t>Рекомендація ВООЗ по використанню схеми лікування БПЛ (1)</w:t>
                      </w:r>
                    </w:p>
                    <w:p w:rsidR="00395867" w:rsidRPr="00A04C57" w:rsidRDefault="00395867" w:rsidP="00445738">
                      <w:pPr>
                        <w:widowControl/>
                        <w:spacing w:line="221" w:lineRule="atLeast"/>
                        <w:jc w:val="both"/>
                        <w:rPr>
                          <w:rFonts w:asciiTheme="minorHAnsi" w:hAnsiTheme="minorHAnsi" w:cstheme="minorHAnsi"/>
                          <w:color w:val="000000"/>
                          <w:sz w:val="22"/>
                          <w:szCs w:val="22"/>
                        </w:rPr>
                      </w:pPr>
                      <w:r w:rsidRPr="00A04C57">
                        <w:rPr>
                          <w:rFonts w:asciiTheme="minorHAnsi" w:hAnsiTheme="minorHAnsi" w:cstheme="minorHAnsi"/>
                          <w:b/>
                          <w:bCs/>
                          <w:color w:val="000000"/>
                          <w:sz w:val="22"/>
                          <w:szCs w:val="22"/>
                        </w:rPr>
                        <w:t xml:space="preserve">Рекомендація 4.1 Схема лікування тривалістю 6-9 місяців, що складається з бедаквіліну, претоманіду і лінезоліду (БПЛ), може бути використана в умовах оперативних досліджень у хворих на туберкульоз із мультирезистентним туберкульозом (МР-ТБ), стійким до фторхінолонів, який або не піддавався раніше впливу бедаквіліну і лінезоліду, або який піддавався їх впливу не більше 2 тижнів. </w:t>
                      </w:r>
                    </w:p>
                    <w:p w:rsidR="00395867" w:rsidRPr="00A04C57" w:rsidRDefault="00395867" w:rsidP="00445738">
                      <w:pPr>
                        <w:rPr>
                          <w:rFonts w:asciiTheme="minorHAnsi" w:hAnsiTheme="minorHAnsi" w:cstheme="minorHAnsi"/>
                          <w:sz w:val="18"/>
                        </w:rPr>
                      </w:pPr>
                      <w:r w:rsidRPr="00A04C57">
                        <w:rPr>
                          <w:rFonts w:asciiTheme="minorHAnsi" w:hAnsiTheme="minorHAnsi" w:cstheme="minorHAnsi"/>
                          <w:i/>
                          <w:iCs/>
                          <w:color w:val="000000"/>
                          <w:sz w:val="22"/>
                          <w:szCs w:val="22"/>
                        </w:rPr>
                        <w:t>(Умовна рекомендація, дуже низька впевненість в оцінках ефекту)</w:t>
                      </w:r>
                    </w:p>
                  </w:txbxContent>
                </v:textbox>
                <w10:wrap anchorx="page" anchory="page"/>
              </v:shape>
            </w:pict>
          </mc:Fallback>
        </mc:AlternateContent>
      </w:r>
      <w:r w:rsidRPr="006263CF">
        <w:rPr>
          <w:rFonts w:asciiTheme="minorHAnsi" w:hAnsiTheme="minorHAnsi" w:cstheme="minorHAnsi"/>
          <w:noProof/>
          <w:sz w:val="18"/>
        </w:rPr>
        <w:drawing>
          <wp:inline distT="0" distB="0" distL="0" distR="0" wp14:anchorId="2456759C" wp14:editId="23EAB272">
            <wp:extent cx="5852160" cy="18529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52160" cy="1852930"/>
                    </a:xfrm>
                    <a:prstGeom prst="rect">
                      <a:avLst/>
                    </a:prstGeom>
                    <a:noFill/>
                    <a:ln>
                      <a:noFill/>
                    </a:ln>
                  </pic:spPr>
                </pic:pic>
              </a:graphicData>
            </a:graphic>
          </wp:inline>
        </w:drawing>
      </w:r>
    </w:p>
    <w:p w:rsidR="005225B5" w:rsidRPr="006263CF" w:rsidRDefault="00A04C57" w:rsidP="006263CF">
      <w:pPr>
        <w:spacing w:before="355"/>
        <w:rPr>
          <w:rFonts w:asciiTheme="minorHAnsi" w:hAnsiTheme="minorHAnsi" w:cstheme="minorHAnsi"/>
          <w:sz w:val="18"/>
        </w:rPr>
      </w:pPr>
      <w:r>
        <w:rPr>
          <w:rFonts w:asciiTheme="minorHAnsi" w:hAnsiTheme="minorHAnsi" w:cstheme="minorHAnsi"/>
          <w:b/>
          <w:bCs/>
          <w:color w:val="1F61AA"/>
          <w:sz w:val="36"/>
          <w:szCs w:val="38"/>
        </w:rPr>
        <w:t>7.</w:t>
      </w:r>
      <w:r w:rsidR="005225B5" w:rsidRPr="006263CF">
        <w:rPr>
          <w:rFonts w:asciiTheme="minorHAnsi" w:hAnsiTheme="minorHAnsi" w:cstheme="minorHAnsi"/>
          <w:b/>
          <w:bCs/>
          <w:color w:val="1F61AA"/>
          <w:sz w:val="36"/>
          <w:szCs w:val="38"/>
        </w:rPr>
        <w:t>1 Придатність</w:t>
      </w:r>
    </w:p>
    <w:p w:rsidR="005225B5" w:rsidRPr="006263CF" w:rsidRDefault="005225B5" w:rsidP="006263CF">
      <w:pPr>
        <w:spacing w:before="106"/>
        <w:rPr>
          <w:rFonts w:asciiTheme="minorHAnsi" w:hAnsiTheme="minorHAnsi" w:cstheme="minorHAnsi"/>
          <w:sz w:val="18"/>
        </w:rPr>
      </w:pPr>
      <w:r w:rsidRPr="006263CF">
        <w:rPr>
          <w:rFonts w:asciiTheme="minorHAnsi" w:hAnsiTheme="minorHAnsi" w:cstheme="minorHAnsi"/>
          <w:color w:val="000000"/>
          <w:szCs w:val="22"/>
        </w:rPr>
        <w:t>Пацієнт має право на лікування по схемі БПЛ, якщо він або вона:</w:t>
      </w:r>
    </w:p>
    <w:p w:rsidR="005225B5" w:rsidRPr="006263CF" w:rsidRDefault="005225B5" w:rsidP="00A04C57">
      <w:pPr>
        <w:spacing w:before="144"/>
        <w:ind w:left="254" w:right="139" w:hanging="240"/>
        <w:jc w:val="both"/>
        <w:rPr>
          <w:rFonts w:asciiTheme="minorHAnsi" w:hAnsiTheme="minorHAnsi" w:cstheme="minorHAnsi"/>
          <w:sz w:val="18"/>
        </w:rPr>
      </w:pPr>
      <w:r w:rsidRPr="006263CF">
        <w:rPr>
          <w:rFonts w:asciiTheme="minorHAnsi" w:hAnsiTheme="minorHAnsi" w:cstheme="minorHAnsi"/>
          <w:color w:val="1F61AA"/>
          <w:szCs w:val="22"/>
        </w:rPr>
        <w:t>•</w:t>
      </w:r>
      <w:r w:rsidRPr="006263CF">
        <w:rPr>
          <w:rFonts w:asciiTheme="minorHAnsi" w:hAnsiTheme="minorHAnsi" w:cstheme="minorHAnsi"/>
          <w:color w:val="1F61AA"/>
          <w:szCs w:val="22"/>
        </w:rPr>
        <w:tab/>
      </w:r>
      <w:r w:rsidRPr="006263CF">
        <w:rPr>
          <w:rFonts w:asciiTheme="minorHAnsi" w:hAnsiTheme="minorHAnsi" w:cstheme="minorHAnsi"/>
          <w:color w:val="000000"/>
          <w:szCs w:val="22"/>
        </w:rPr>
        <w:t>діагностується бактеріологічно підтверджений туберкульоз легень і має підтверджену лабораторією стійкість до рифампіцину і фторхінолонам зі стійкістю або без стійкості до ін'єкційних препаратів; і</w:t>
      </w:r>
    </w:p>
    <w:p w:rsidR="005225B5" w:rsidRPr="006263CF" w:rsidRDefault="005225B5" w:rsidP="00A04C57">
      <w:pPr>
        <w:numPr>
          <w:ilvl w:val="0"/>
          <w:numId w:val="11"/>
        </w:numPr>
        <w:ind w:left="254" w:hanging="240"/>
        <w:rPr>
          <w:rFonts w:asciiTheme="minorHAnsi" w:eastAsia="Times New Roman" w:hAnsiTheme="minorHAnsi" w:cstheme="minorHAnsi"/>
          <w:color w:val="1F61AA"/>
          <w:szCs w:val="22"/>
        </w:rPr>
      </w:pPr>
      <w:r w:rsidRPr="006263CF">
        <w:rPr>
          <w:rFonts w:asciiTheme="minorHAnsi" w:hAnsiTheme="minorHAnsi" w:cstheme="minorHAnsi"/>
          <w:color w:val="000000"/>
          <w:szCs w:val="22"/>
        </w:rPr>
        <w:t>на момент зарахування йому виповнилося 14 років; і</w:t>
      </w:r>
    </w:p>
    <w:p w:rsidR="005225B5" w:rsidRPr="006263CF" w:rsidRDefault="005225B5" w:rsidP="00A04C57">
      <w:pPr>
        <w:numPr>
          <w:ilvl w:val="0"/>
          <w:numId w:val="11"/>
        </w:numPr>
        <w:ind w:left="254" w:hanging="240"/>
        <w:rPr>
          <w:rFonts w:asciiTheme="minorHAnsi" w:eastAsia="Times New Roman" w:hAnsiTheme="minorHAnsi" w:cstheme="minorHAnsi"/>
          <w:color w:val="1F61AA"/>
          <w:szCs w:val="22"/>
        </w:rPr>
      </w:pPr>
      <w:r w:rsidRPr="006263CF">
        <w:rPr>
          <w:rFonts w:asciiTheme="minorHAnsi" w:hAnsiTheme="minorHAnsi" w:cstheme="minorHAnsi"/>
          <w:color w:val="000000"/>
          <w:szCs w:val="22"/>
        </w:rPr>
        <w:t>важить 35 кг і більше; і</w:t>
      </w:r>
    </w:p>
    <w:p w:rsidR="005225B5" w:rsidRPr="006263CF" w:rsidRDefault="005225B5" w:rsidP="00A04C57">
      <w:pPr>
        <w:numPr>
          <w:ilvl w:val="0"/>
          <w:numId w:val="9"/>
        </w:numPr>
        <w:ind w:left="254" w:right="134" w:hanging="240"/>
        <w:jc w:val="both"/>
        <w:rPr>
          <w:rFonts w:asciiTheme="minorHAnsi" w:eastAsia="Times New Roman" w:hAnsiTheme="minorHAnsi" w:cstheme="minorHAnsi"/>
          <w:color w:val="1F61AA"/>
          <w:szCs w:val="22"/>
        </w:rPr>
      </w:pPr>
      <w:r w:rsidRPr="006263CF">
        <w:rPr>
          <w:rFonts w:asciiTheme="minorHAnsi" w:hAnsiTheme="minorHAnsi" w:cstheme="minorHAnsi"/>
          <w:color w:val="000000"/>
          <w:szCs w:val="22"/>
        </w:rPr>
        <w:t>готовий і здатний дати усвідомлену згоду на участь в оперативному дослідницькому проєкті і дотримуватися графіка подальших дій (підписати або засвідчити згоду, якщо пацієнт безграмотний, підписати або засвідчити згоду можуть батьки або законний опікун дитини); і</w:t>
      </w:r>
    </w:p>
    <w:p w:rsidR="005225B5" w:rsidRPr="006263CF" w:rsidRDefault="005225B5" w:rsidP="00A04C57">
      <w:pPr>
        <w:numPr>
          <w:ilvl w:val="0"/>
          <w:numId w:val="9"/>
        </w:numPr>
        <w:ind w:left="254" w:right="134" w:hanging="240"/>
        <w:jc w:val="both"/>
        <w:rPr>
          <w:rFonts w:asciiTheme="minorHAnsi" w:eastAsia="Times New Roman" w:hAnsiTheme="minorHAnsi" w:cstheme="minorHAnsi"/>
          <w:color w:val="1F61AA"/>
          <w:szCs w:val="22"/>
        </w:rPr>
      </w:pPr>
      <w:r w:rsidRPr="006263CF">
        <w:rPr>
          <w:rFonts w:asciiTheme="minorHAnsi" w:hAnsiTheme="minorHAnsi" w:cstheme="minorHAnsi"/>
          <w:color w:val="000000"/>
          <w:szCs w:val="22"/>
        </w:rPr>
        <w:t>якщо жінка з пременопаузальним синдромом, не вагітна і не на грудному вигодовуванню і готова використовувати ефективні засоби контрацепції; і</w:t>
      </w:r>
    </w:p>
    <w:p w:rsidR="005225B5" w:rsidRPr="006263CF" w:rsidRDefault="005225B5" w:rsidP="00A04C57">
      <w:pPr>
        <w:ind w:left="254" w:hanging="240"/>
        <w:rPr>
          <w:rFonts w:asciiTheme="minorHAnsi" w:hAnsiTheme="minorHAnsi" w:cstheme="minorHAnsi"/>
          <w:sz w:val="18"/>
        </w:rPr>
      </w:pPr>
      <w:r w:rsidRPr="006263CF">
        <w:rPr>
          <w:rFonts w:asciiTheme="minorHAnsi" w:hAnsiTheme="minorHAnsi" w:cstheme="minorHAnsi"/>
          <w:color w:val="1F61AA"/>
          <w:szCs w:val="22"/>
        </w:rPr>
        <w:t>•</w:t>
      </w:r>
      <w:r w:rsidRPr="006263CF">
        <w:rPr>
          <w:rFonts w:asciiTheme="minorHAnsi" w:hAnsiTheme="minorHAnsi" w:cstheme="minorHAnsi"/>
          <w:color w:val="1F61AA"/>
          <w:szCs w:val="22"/>
        </w:rPr>
        <w:tab/>
      </w:r>
      <w:r w:rsidRPr="006263CF">
        <w:rPr>
          <w:rFonts w:asciiTheme="minorHAnsi" w:hAnsiTheme="minorHAnsi" w:cstheme="minorHAnsi"/>
          <w:color w:val="000000"/>
          <w:szCs w:val="22"/>
        </w:rPr>
        <w:t>не має відомої алергії на будь-які компоненти БПЛ; і</w:t>
      </w:r>
    </w:p>
    <w:p w:rsidR="005225B5" w:rsidRPr="006263CF" w:rsidRDefault="005225B5" w:rsidP="00A04C57">
      <w:pPr>
        <w:ind w:left="254" w:right="139" w:hanging="240"/>
        <w:jc w:val="both"/>
        <w:rPr>
          <w:rFonts w:asciiTheme="minorHAnsi" w:hAnsiTheme="minorHAnsi" w:cstheme="minorHAnsi"/>
          <w:sz w:val="18"/>
        </w:rPr>
      </w:pPr>
      <w:r w:rsidRPr="006263CF">
        <w:rPr>
          <w:rFonts w:asciiTheme="minorHAnsi" w:hAnsiTheme="minorHAnsi" w:cstheme="minorHAnsi"/>
          <w:color w:val="1F61AA"/>
          <w:szCs w:val="22"/>
        </w:rPr>
        <w:t>•</w:t>
      </w:r>
      <w:r w:rsidRPr="006263CF">
        <w:rPr>
          <w:rFonts w:asciiTheme="minorHAnsi" w:hAnsiTheme="minorHAnsi" w:cstheme="minorHAnsi"/>
          <w:color w:val="1F61AA"/>
          <w:szCs w:val="22"/>
        </w:rPr>
        <w:tab/>
      </w:r>
      <w:r w:rsidRPr="006263CF">
        <w:rPr>
          <w:rFonts w:asciiTheme="minorHAnsi" w:hAnsiTheme="minorHAnsi" w:cstheme="minorHAnsi"/>
          <w:color w:val="000000"/>
          <w:szCs w:val="22"/>
        </w:rPr>
        <w:t>не має доказів в результатах ТМЧ стійкості до будь-якого з компонентів лікарських засобів або не зазнавала впливу будь-якого з компонентів лікарських засобів протягом 2 тижнів або більше; і</w:t>
      </w:r>
    </w:p>
    <w:p w:rsidR="005225B5" w:rsidRPr="006263CF" w:rsidRDefault="005225B5" w:rsidP="00A04C57">
      <w:pPr>
        <w:ind w:left="254" w:hanging="240"/>
        <w:rPr>
          <w:rFonts w:asciiTheme="minorHAnsi" w:hAnsiTheme="minorHAnsi" w:cstheme="minorHAnsi"/>
          <w:sz w:val="18"/>
        </w:rPr>
      </w:pPr>
      <w:r w:rsidRPr="006263CF">
        <w:rPr>
          <w:rFonts w:asciiTheme="minorHAnsi" w:hAnsiTheme="minorHAnsi" w:cstheme="minorHAnsi"/>
          <w:color w:val="1F61AA"/>
          <w:szCs w:val="22"/>
        </w:rPr>
        <w:t>•</w:t>
      </w:r>
      <w:r w:rsidRPr="006263CF">
        <w:rPr>
          <w:rFonts w:asciiTheme="minorHAnsi" w:hAnsiTheme="minorHAnsi" w:cstheme="minorHAnsi"/>
          <w:color w:val="1F61AA"/>
          <w:szCs w:val="22"/>
        </w:rPr>
        <w:tab/>
      </w:r>
      <w:r w:rsidRPr="006263CF">
        <w:rPr>
          <w:rFonts w:asciiTheme="minorHAnsi" w:hAnsiTheme="minorHAnsi" w:cstheme="minorHAnsi"/>
          <w:szCs w:val="22"/>
        </w:rPr>
        <w:t>не має позалегеневого туберкульозу (включаючи менінгіт, інший туберкульоз ЦНС або туберкульозний остеомієліт).</w:t>
      </w:r>
    </w:p>
    <w:p w:rsidR="005225B5" w:rsidRPr="006263CF" w:rsidRDefault="005225B5" w:rsidP="006263CF">
      <w:pPr>
        <w:spacing w:before="144"/>
        <w:ind w:left="14" w:right="134"/>
        <w:jc w:val="both"/>
        <w:rPr>
          <w:rFonts w:asciiTheme="minorHAnsi" w:hAnsiTheme="minorHAnsi" w:cstheme="minorHAnsi"/>
          <w:sz w:val="18"/>
        </w:rPr>
      </w:pPr>
      <w:r w:rsidRPr="006263CF">
        <w:rPr>
          <w:rFonts w:asciiTheme="minorHAnsi" w:hAnsiTheme="minorHAnsi" w:cstheme="minorHAnsi"/>
          <w:color w:val="000000"/>
          <w:szCs w:val="22"/>
        </w:rPr>
        <w:t xml:space="preserve">Пацієнти, яким небажана схема БПЛ, можуть скористатися індивідуальною довгостроковою схемою лікування, яка складається з пріоритетної групи лікарських препаратів, показаної в </w:t>
      </w:r>
      <w:r w:rsidRPr="006263CF">
        <w:rPr>
          <w:rFonts w:asciiTheme="minorHAnsi" w:hAnsiTheme="minorHAnsi" w:cstheme="minorHAnsi"/>
          <w:color w:val="1F61AA"/>
          <w:szCs w:val="22"/>
        </w:rPr>
        <w:t>Таблиця 6.1</w:t>
      </w:r>
      <w:r w:rsidRPr="006263CF">
        <w:rPr>
          <w:rFonts w:asciiTheme="minorHAnsi" w:hAnsiTheme="minorHAnsi" w:cstheme="minorHAnsi"/>
          <w:color w:val="000000"/>
          <w:szCs w:val="22"/>
        </w:rPr>
        <w:t>.</w:t>
      </w:r>
    </w:p>
    <w:p w:rsidR="005225B5" w:rsidRPr="006263CF" w:rsidRDefault="005225B5" w:rsidP="006263CF">
      <w:pPr>
        <w:spacing w:before="139"/>
        <w:ind w:left="14" w:right="134"/>
        <w:jc w:val="both"/>
        <w:rPr>
          <w:rFonts w:asciiTheme="minorHAnsi" w:hAnsiTheme="minorHAnsi" w:cstheme="minorHAnsi"/>
          <w:sz w:val="18"/>
        </w:rPr>
      </w:pPr>
      <w:r w:rsidRPr="006263CF">
        <w:rPr>
          <w:rFonts w:asciiTheme="minorHAnsi" w:hAnsiTheme="minorHAnsi" w:cstheme="minorHAnsi"/>
          <w:b/>
          <w:bCs/>
          <w:i/>
          <w:iCs/>
          <w:color w:val="000000"/>
          <w:szCs w:val="22"/>
        </w:rPr>
        <w:t xml:space="preserve">Протипоказання: </w:t>
      </w:r>
      <w:r w:rsidRPr="006263CF">
        <w:rPr>
          <w:rFonts w:asciiTheme="minorHAnsi" w:hAnsiTheme="minorHAnsi" w:cstheme="minorHAnsi"/>
          <w:color w:val="000000"/>
          <w:szCs w:val="22"/>
        </w:rPr>
        <w:t xml:space="preserve">Немає абсолютних протипоказань до застосування будь-яких лікарських засобів при лікуванні МР-ТБ і стійкого до фторхінолонів МР-ТБ (захворювання, яке створює серйозну небезпеку смерті або виснаження пацієнта в разі неадекватного лікування). Однак існують відносні протипоказання до схеми БПЛ, і деякі найбільш актуальні з них перераховані в </w:t>
      </w:r>
      <w:r w:rsidRPr="006263CF">
        <w:rPr>
          <w:rFonts w:asciiTheme="minorHAnsi" w:hAnsiTheme="minorHAnsi" w:cstheme="minorHAnsi"/>
          <w:color w:val="1F61AA"/>
          <w:szCs w:val="22"/>
        </w:rPr>
        <w:t>Таблиці 7.1</w:t>
      </w:r>
      <w:r w:rsidRPr="006263CF">
        <w:rPr>
          <w:rFonts w:asciiTheme="minorHAnsi" w:hAnsiTheme="minorHAnsi" w:cstheme="minorHAnsi"/>
          <w:color w:val="000000"/>
          <w:szCs w:val="22"/>
        </w:rPr>
        <w:t>. Якщо лікар вважає, що потенційна вигода переважує потенційний ризик (в тому числі з урахуванням альтернативних варіантів лікування), то лікування повинно проводитися з обережністю. У таких ситуаціях слід звертатися за порадою в призначений експертний комітет з ТБ.</w:t>
      </w:r>
    </w:p>
    <w:p w:rsidR="005225B5" w:rsidRPr="006263CF" w:rsidRDefault="005225B5" w:rsidP="006263CF">
      <w:pPr>
        <w:spacing w:before="139"/>
        <w:ind w:left="14" w:right="134"/>
        <w:jc w:val="both"/>
        <w:rPr>
          <w:rFonts w:asciiTheme="minorHAnsi" w:hAnsiTheme="minorHAnsi" w:cstheme="minorHAnsi"/>
          <w:sz w:val="18"/>
        </w:rPr>
        <w:sectPr w:rsidR="005225B5" w:rsidRPr="006263CF">
          <w:footerReference w:type="default" r:id="rId41"/>
          <w:pgSz w:w="11904" w:h="16838"/>
          <w:pgMar w:top="1349" w:right="1282" w:bottom="3902" w:left="1402"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933"/>
        <w:gridCol w:w="6437"/>
      </w:tblGrid>
      <w:tr w:rsidR="005225B5" w:rsidRPr="006263CF" w:rsidTr="00A04C57">
        <w:trPr>
          <w:trHeight w:hRule="exact" w:val="855"/>
        </w:trPr>
        <w:tc>
          <w:tcPr>
            <w:tcW w:w="9370" w:type="dxa"/>
            <w:gridSpan w:val="2"/>
            <w:tcBorders>
              <w:top w:val="nil"/>
              <w:left w:val="nil"/>
              <w:right w:val="nil"/>
            </w:tcBorders>
            <w:shd w:val="clear" w:color="auto" w:fill="FFFFFF"/>
          </w:tcPr>
          <w:p w:rsidR="005225B5" w:rsidRPr="006263CF" w:rsidRDefault="005225B5" w:rsidP="00A04C57">
            <w:pPr>
              <w:ind w:left="48" w:right="258"/>
              <w:rPr>
                <w:rFonts w:asciiTheme="minorHAnsi" w:hAnsiTheme="minorHAnsi" w:cstheme="minorHAnsi"/>
                <w:sz w:val="18"/>
              </w:rPr>
            </w:pPr>
            <w:bookmarkStart w:id="36" w:name="bookmark35"/>
            <w:r w:rsidRPr="006263CF">
              <w:rPr>
                <w:rFonts w:asciiTheme="minorHAnsi" w:hAnsiTheme="minorHAnsi" w:cstheme="minorHAnsi"/>
                <w:b/>
                <w:bCs/>
                <w:color w:val="636466"/>
                <w:sz w:val="22"/>
                <w:szCs w:val="24"/>
              </w:rPr>
              <w:lastRenderedPageBreak/>
              <w:t>T</w:t>
            </w:r>
            <w:bookmarkEnd w:id="36"/>
            <w:r w:rsidRPr="006263CF">
              <w:rPr>
                <w:rFonts w:asciiTheme="minorHAnsi" w:hAnsiTheme="minorHAnsi" w:cstheme="minorHAnsi"/>
                <w:b/>
                <w:bCs/>
                <w:color w:val="636466"/>
                <w:sz w:val="22"/>
                <w:szCs w:val="24"/>
              </w:rPr>
              <w:t>аблиця 7.1. Відносні протипоказання до використання схеми БПЛ для лікування пацієнтів з МР/Риф-ТБ з додатковою стійкістю до фторхінолонів</w:t>
            </w:r>
          </w:p>
        </w:tc>
      </w:tr>
      <w:tr w:rsidR="005225B5" w:rsidRPr="006263CF" w:rsidTr="00A04C57">
        <w:trPr>
          <w:trHeight w:hRule="exact" w:val="446"/>
        </w:trPr>
        <w:tc>
          <w:tcPr>
            <w:tcW w:w="2933" w:type="dxa"/>
            <w:shd w:val="clear" w:color="auto" w:fill="C1C8E4"/>
            <w:vAlign w:val="center"/>
          </w:tcPr>
          <w:p w:rsidR="005225B5" w:rsidRPr="006263CF" w:rsidRDefault="005225B5" w:rsidP="00A04C57">
            <w:pPr>
              <w:ind w:right="48"/>
              <w:jc w:val="center"/>
              <w:rPr>
                <w:rFonts w:asciiTheme="minorHAnsi" w:hAnsiTheme="minorHAnsi" w:cstheme="minorHAnsi"/>
                <w:sz w:val="18"/>
              </w:rPr>
            </w:pPr>
            <w:r w:rsidRPr="006263CF">
              <w:rPr>
                <w:rFonts w:asciiTheme="minorHAnsi" w:hAnsiTheme="minorHAnsi" w:cstheme="minorHAnsi"/>
                <w:b/>
                <w:bCs/>
                <w:color w:val="000000"/>
                <w:szCs w:val="22"/>
              </w:rPr>
              <w:t>Відносні протипоказання</w:t>
            </w:r>
          </w:p>
        </w:tc>
        <w:tc>
          <w:tcPr>
            <w:tcW w:w="6437" w:type="dxa"/>
            <w:shd w:val="clear" w:color="auto" w:fill="C1C8E4"/>
            <w:vAlign w:val="center"/>
          </w:tcPr>
          <w:p w:rsidR="005225B5" w:rsidRPr="006263CF" w:rsidRDefault="005225B5" w:rsidP="00A04C57">
            <w:pPr>
              <w:jc w:val="center"/>
              <w:rPr>
                <w:rFonts w:asciiTheme="minorHAnsi" w:hAnsiTheme="minorHAnsi" w:cstheme="minorHAnsi"/>
                <w:sz w:val="18"/>
              </w:rPr>
            </w:pPr>
            <w:r w:rsidRPr="006263CF">
              <w:rPr>
                <w:rFonts w:asciiTheme="minorHAnsi" w:hAnsiTheme="minorHAnsi" w:cstheme="minorHAnsi"/>
                <w:b/>
                <w:bCs/>
                <w:color w:val="000000"/>
                <w:szCs w:val="22"/>
              </w:rPr>
              <w:t>Примітки</w:t>
            </w:r>
          </w:p>
        </w:tc>
      </w:tr>
      <w:tr w:rsidR="005225B5" w:rsidRPr="006263CF" w:rsidTr="001E6B62">
        <w:trPr>
          <w:trHeight w:hRule="exact" w:val="2532"/>
        </w:trPr>
        <w:tc>
          <w:tcPr>
            <w:tcW w:w="2933" w:type="dxa"/>
            <w:tcBorders>
              <w:bottom w:val="single" w:sz="4" w:space="0" w:color="1F61AA"/>
            </w:tcBorders>
            <w:shd w:val="clear" w:color="auto" w:fill="FFFFFF"/>
          </w:tcPr>
          <w:p w:rsidR="005225B5" w:rsidRPr="006263CF" w:rsidRDefault="005225B5" w:rsidP="001E6B62">
            <w:pPr>
              <w:ind w:left="102" w:right="154"/>
              <w:rPr>
                <w:rFonts w:asciiTheme="minorHAnsi" w:hAnsiTheme="minorHAnsi" w:cstheme="minorHAnsi"/>
                <w:sz w:val="18"/>
              </w:rPr>
            </w:pPr>
            <w:r w:rsidRPr="006263CF">
              <w:rPr>
                <w:rFonts w:asciiTheme="minorHAnsi" w:hAnsiTheme="minorHAnsi" w:cstheme="minorHAnsi"/>
                <w:color w:val="000000"/>
                <w:szCs w:val="22"/>
              </w:rPr>
              <w:t>Одночасне застосування лікарських препаратів, які мають відомі взаємодії або токсичність, яка перекривається компонентами лікарських засобів БПЛ</w:t>
            </w:r>
          </w:p>
        </w:tc>
        <w:tc>
          <w:tcPr>
            <w:tcW w:w="6437" w:type="dxa"/>
            <w:tcBorders>
              <w:bottom w:val="single" w:sz="4" w:space="0" w:color="1F61AA"/>
            </w:tcBorders>
            <w:shd w:val="clear" w:color="auto" w:fill="FFFFFF"/>
          </w:tcPr>
          <w:p w:rsidR="005225B5" w:rsidRPr="006263CF" w:rsidRDefault="005225B5" w:rsidP="001E6B62">
            <w:pPr>
              <w:rPr>
                <w:rFonts w:asciiTheme="minorHAnsi" w:hAnsiTheme="minorHAnsi" w:cstheme="minorHAnsi"/>
                <w:sz w:val="18"/>
              </w:rPr>
            </w:pPr>
            <w:r w:rsidRPr="006263CF">
              <w:rPr>
                <w:rFonts w:asciiTheme="minorHAnsi" w:hAnsiTheme="minorHAnsi" w:cstheme="minorHAnsi"/>
                <w:color w:val="000000"/>
                <w:szCs w:val="22"/>
              </w:rPr>
              <w:t>Індуктори ферментів CYP450:</w:t>
            </w:r>
          </w:p>
          <w:p w:rsidR="005225B5" w:rsidRPr="006263CF" w:rsidRDefault="005225B5" w:rsidP="001E6B62">
            <w:pPr>
              <w:tabs>
                <w:tab w:val="left" w:pos="226"/>
              </w:tabs>
              <w:rPr>
                <w:rFonts w:asciiTheme="minorHAnsi" w:hAnsiTheme="minorHAnsi" w:cstheme="minorHAnsi"/>
                <w:sz w:val="18"/>
              </w:rPr>
            </w:pPr>
            <w:r w:rsidRPr="006263CF">
              <w:rPr>
                <w:rFonts w:asciiTheme="minorHAnsi" w:hAnsiTheme="minorHAnsi" w:cstheme="minorHAnsi"/>
                <w:color w:val="000000"/>
                <w:szCs w:val="22"/>
              </w:rPr>
              <w:t>•</w:t>
            </w:r>
            <w:r w:rsidRPr="006263CF">
              <w:rPr>
                <w:rFonts w:asciiTheme="minorHAnsi" w:hAnsiTheme="minorHAnsi" w:cstheme="minorHAnsi"/>
                <w:color w:val="000000"/>
                <w:szCs w:val="22"/>
              </w:rPr>
              <w:tab/>
              <w:t>Ефавіренц</w:t>
            </w:r>
          </w:p>
          <w:p w:rsidR="005225B5" w:rsidRPr="006263CF" w:rsidRDefault="005225B5" w:rsidP="001E6B62">
            <w:pPr>
              <w:tabs>
                <w:tab w:val="left" w:pos="226"/>
              </w:tabs>
              <w:rPr>
                <w:rFonts w:asciiTheme="minorHAnsi" w:hAnsiTheme="minorHAnsi" w:cstheme="minorHAnsi"/>
                <w:sz w:val="18"/>
              </w:rPr>
            </w:pPr>
            <w:r w:rsidRPr="006263CF">
              <w:rPr>
                <w:rFonts w:asciiTheme="minorHAnsi" w:hAnsiTheme="minorHAnsi" w:cstheme="minorHAnsi"/>
                <w:color w:val="000000"/>
                <w:szCs w:val="22"/>
              </w:rPr>
              <w:t>•</w:t>
            </w:r>
            <w:r w:rsidRPr="006263CF">
              <w:rPr>
                <w:rFonts w:asciiTheme="minorHAnsi" w:hAnsiTheme="minorHAnsi" w:cstheme="minorHAnsi"/>
                <w:color w:val="000000"/>
                <w:szCs w:val="22"/>
              </w:rPr>
              <w:tab/>
              <w:t>Рифаміцини</w:t>
            </w:r>
          </w:p>
          <w:p w:rsidR="005225B5" w:rsidRPr="006263CF" w:rsidRDefault="005225B5" w:rsidP="001E6B62">
            <w:pPr>
              <w:tabs>
                <w:tab w:val="left" w:pos="226"/>
              </w:tabs>
              <w:rPr>
                <w:rFonts w:asciiTheme="minorHAnsi" w:hAnsiTheme="minorHAnsi" w:cstheme="minorHAnsi"/>
                <w:sz w:val="18"/>
              </w:rPr>
            </w:pPr>
            <w:r w:rsidRPr="006263CF">
              <w:rPr>
                <w:rFonts w:asciiTheme="minorHAnsi" w:hAnsiTheme="minorHAnsi" w:cstheme="minorHAnsi"/>
                <w:color w:val="000000"/>
                <w:szCs w:val="22"/>
              </w:rPr>
              <w:t>•</w:t>
            </w:r>
            <w:r w:rsidRPr="006263CF">
              <w:rPr>
                <w:rFonts w:asciiTheme="minorHAnsi" w:hAnsiTheme="minorHAnsi" w:cstheme="minorHAnsi"/>
                <w:color w:val="000000"/>
                <w:szCs w:val="22"/>
              </w:rPr>
              <w:tab/>
              <w:t>Антиепілептичні</w:t>
            </w:r>
          </w:p>
          <w:p w:rsidR="005225B5" w:rsidRPr="006263CF" w:rsidRDefault="005225B5" w:rsidP="001E6B62">
            <w:pPr>
              <w:rPr>
                <w:rFonts w:asciiTheme="minorHAnsi" w:hAnsiTheme="minorHAnsi" w:cstheme="minorHAnsi"/>
                <w:sz w:val="18"/>
              </w:rPr>
            </w:pPr>
            <w:r w:rsidRPr="006263CF">
              <w:rPr>
                <w:rFonts w:asciiTheme="minorHAnsi" w:hAnsiTheme="minorHAnsi" w:cstheme="minorHAnsi"/>
                <w:color w:val="000000"/>
                <w:szCs w:val="22"/>
              </w:rPr>
              <w:t>Інгібітори ферментів CYP450:</w:t>
            </w:r>
          </w:p>
          <w:p w:rsidR="005225B5" w:rsidRPr="006263CF" w:rsidRDefault="005225B5" w:rsidP="001E6B62">
            <w:pPr>
              <w:tabs>
                <w:tab w:val="left" w:pos="226"/>
              </w:tabs>
              <w:rPr>
                <w:rFonts w:asciiTheme="minorHAnsi" w:hAnsiTheme="minorHAnsi" w:cstheme="minorHAnsi"/>
                <w:sz w:val="18"/>
              </w:rPr>
            </w:pPr>
            <w:r w:rsidRPr="006263CF">
              <w:rPr>
                <w:rFonts w:asciiTheme="minorHAnsi" w:hAnsiTheme="minorHAnsi" w:cstheme="minorHAnsi"/>
                <w:color w:val="000000"/>
                <w:szCs w:val="22"/>
              </w:rPr>
              <w:t>•</w:t>
            </w:r>
            <w:r w:rsidRPr="006263CF">
              <w:rPr>
                <w:rFonts w:asciiTheme="minorHAnsi" w:hAnsiTheme="minorHAnsi" w:cstheme="minorHAnsi"/>
                <w:color w:val="000000"/>
                <w:szCs w:val="22"/>
              </w:rPr>
              <w:tab/>
              <w:t>Підвищення ритонавіру ПЛС</w:t>
            </w:r>
          </w:p>
          <w:p w:rsidR="005225B5" w:rsidRPr="006263CF" w:rsidRDefault="005225B5" w:rsidP="001E6B62">
            <w:pPr>
              <w:tabs>
                <w:tab w:val="left" w:pos="226"/>
              </w:tabs>
              <w:rPr>
                <w:rFonts w:asciiTheme="minorHAnsi" w:hAnsiTheme="minorHAnsi" w:cstheme="minorHAnsi"/>
                <w:sz w:val="18"/>
              </w:rPr>
            </w:pPr>
            <w:r w:rsidRPr="006263CF">
              <w:rPr>
                <w:rFonts w:asciiTheme="minorHAnsi" w:hAnsiTheme="minorHAnsi" w:cstheme="minorHAnsi"/>
                <w:color w:val="000000"/>
                <w:szCs w:val="22"/>
              </w:rPr>
              <w:t>•</w:t>
            </w:r>
            <w:r w:rsidRPr="006263CF">
              <w:rPr>
                <w:rFonts w:asciiTheme="minorHAnsi" w:hAnsiTheme="minorHAnsi" w:cstheme="minorHAnsi"/>
                <w:color w:val="000000"/>
                <w:szCs w:val="22"/>
              </w:rPr>
              <w:tab/>
              <w:t>Флуконазол чи ітраконазол</w:t>
            </w:r>
          </w:p>
          <w:p w:rsidR="005225B5" w:rsidRPr="006263CF" w:rsidRDefault="005225B5" w:rsidP="001E6B62">
            <w:pPr>
              <w:tabs>
                <w:tab w:val="left" w:pos="226"/>
              </w:tabs>
              <w:rPr>
                <w:rFonts w:asciiTheme="minorHAnsi" w:hAnsiTheme="minorHAnsi" w:cstheme="minorHAnsi"/>
                <w:sz w:val="18"/>
              </w:rPr>
            </w:pPr>
            <w:r w:rsidRPr="006263CF">
              <w:rPr>
                <w:rFonts w:asciiTheme="minorHAnsi" w:hAnsiTheme="minorHAnsi" w:cstheme="minorHAnsi"/>
                <w:color w:val="000000"/>
                <w:szCs w:val="22"/>
              </w:rPr>
              <w:t>•</w:t>
            </w:r>
            <w:r w:rsidRPr="006263CF">
              <w:rPr>
                <w:rFonts w:asciiTheme="minorHAnsi" w:hAnsiTheme="minorHAnsi" w:cstheme="minorHAnsi"/>
                <w:color w:val="000000"/>
                <w:szCs w:val="22"/>
              </w:rPr>
              <w:tab/>
              <w:t>Кларітроміцин чи Еритроміцин</w:t>
            </w:r>
          </w:p>
          <w:p w:rsidR="001E6B62" w:rsidRDefault="005225B5" w:rsidP="001E6B62">
            <w:pPr>
              <w:rPr>
                <w:rFonts w:asciiTheme="minorHAnsi" w:hAnsiTheme="minorHAnsi" w:cstheme="minorHAnsi"/>
                <w:color w:val="000000"/>
                <w:szCs w:val="22"/>
              </w:rPr>
            </w:pPr>
            <w:r w:rsidRPr="006263CF">
              <w:rPr>
                <w:rFonts w:asciiTheme="minorHAnsi" w:hAnsiTheme="minorHAnsi" w:cstheme="minorHAnsi"/>
                <w:color w:val="000000"/>
                <w:szCs w:val="22"/>
              </w:rPr>
              <w:t xml:space="preserve">Лікарські засоби, що подовжують інтервал QT </w:t>
            </w:r>
          </w:p>
          <w:p w:rsidR="005225B5" w:rsidRPr="006263CF" w:rsidRDefault="005225B5" w:rsidP="001E6B62">
            <w:pPr>
              <w:rPr>
                <w:rFonts w:asciiTheme="minorHAnsi" w:hAnsiTheme="minorHAnsi" w:cstheme="minorHAnsi"/>
                <w:sz w:val="18"/>
              </w:rPr>
            </w:pPr>
            <w:r w:rsidRPr="006263CF">
              <w:rPr>
                <w:rFonts w:asciiTheme="minorHAnsi" w:hAnsiTheme="minorHAnsi" w:cstheme="minorHAnsi"/>
                <w:color w:val="000000"/>
                <w:szCs w:val="22"/>
              </w:rPr>
              <w:t>Лікарські засоби, що підвищують рівень серотоніну</w:t>
            </w:r>
          </w:p>
        </w:tc>
      </w:tr>
      <w:tr w:rsidR="005225B5" w:rsidRPr="006263CF" w:rsidTr="001E6B62">
        <w:trPr>
          <w:trHeight w:hRule="exact" w:val="1277"/>
        </w:trPr>
        <w:tc>
          <w:tcPr>
            <w:tcW w:w="2933" w:type="dxa"/>
            <w:tcBorders>
              <w:top w:val="single" w:sz="4" w:space="0" w:color="1F61AA"/>
              <w:bottom w:val="single" w:sz="4" w:space="0" w:color="1F61AA"/>
            </w:tcBorders>
            <w:shd w:val="clear" w:color="auto" w:fill="FFFFFF"/>
          </w:tcPr>
          <w:p w:rsidR="005225B5" w:rsidRPr="006263CF" w:rsidRDefault="005225B5" w:rsidP="001E6B62">
            <w:pPr>
              <w:ind w:left="102" w:right="773"/>
              <w:rPr>
                <w:rFonts w:asciiTheme="minorHAnsi" w:hAnsiTheme="minorHAnsi" w:cstheme="minorHAnsi"/>
                <w:sz w:val="18"/>
              </w:rPr>
            </w:pPr>
            <w:r w:rsidRPr="006263CF">
              <w:rPr>
                <w:rFonts w:asciiTheme="minorHAnsi" w:hAnsiTheme="minorHAnsi" w:cstheme="minorHAnsi"/>
                <w:color w:val="000000"/>
                <w:szCs w:val="22"/>
              </w:rPr>
              <w:t>Високий ризик серцевої аритмії</w:t>
            </w:r>
          </w:p>
        </w:tc>
        <w:tc>
          <w:tcPr>
            <w:tcW w:w="6437" w:type="dxa"/>
            <w:tcBorders>
              <w:top w:val="single" w:sz="4" w:space="0" w:color="1F61AA"/>
              <w:bottom w:val="single" w:sz="4" w:space="0" w:color="1F61AA"/>
            </w:tcBorders>
            <w:shd w:val="clear" w:color="auto" w:fill="FFFFFF"/>
          </w:tcPr>
          <w:p w:rsidR="005225B5" w:rsidRPr="006263CF" w:rsidRDefault="005225B5" w:rsidP="006263CF">
            <w:pPr>
              <w:rPr>
                <w:rFonts w:asciiTheme="minorHAnsi" w:hAnsiTheme="minorHAnsi" w:cstheme="minorHAnsi"/>
                <w:sz w:val="18"/>
              </w:rPr>
            </w:pPr>
            <w:r w:rsidRPr="006263CF">
              <w:rPr>
                <w:rFonts w:asciiTheme="minorHAnsi" w:hAnsiTheme="minorHAnsi" w:cstheme="minorHAnsi"/>
                <w:color w:val="000000"/>
                <w:szCs w:val="22"/>
              </w:rPr>
              <w:t>Базовий показник скоригований за формулою Фредеріція QT інтервал &gt;500 мс</w:t>
            </w:r>
          </w:p>
          <w:p w:rsidR="005225B5" w:rsidRPr="006263CF" w:rsidRDefault="005225B5" w:rsidP="006263CF">
            <w:pPr>
              <w:ind w:right="182"/>
              <w:rPr>
                <w:rFonts w:asciiTheme="minorHAnsi" w:hAnsiTheme="minorHAnsi" w:cstheme="minorHAnsi"/>
                <w:sz w:val="18"/>
              </w:rPr>
            </w:pPr>
            <w:r w:rsidRPr="006263CF">
              <w:rPr>
                <w:rFonts w:asciiTheme="minorHAnsi" w:hAnsiTheme="minorHAnsi" w:cstheme="minorHAnsi"/>
                <w:color w:val="000000"/>
                <w:szCs w:val="22"/>
              </w:rPr>
              <w:t>Анамнез непритомних епізодів, шлуночкових аритмій, серцевої недостатності або тяжкої ішемічної хвороби серця</w:t>
            </w:r>
          </w:p>
          <w:p w:rsidR="005225B5" w:rsidRPr="006263CF" w:rsidRDefault="005225B5" w:rsidP="006263CF">
            <w:pPr>
              <w:rPr>
                <w:rFonts w:asciiTheme="minorHAnsi" w:hAnsiTheme="minorHAnsi" w:cstheme="minorHAnsi"/>
                <w:sz w:val="18"/>
              </w:rPr>
            </w:pPr>
            <w:r w:rsidRPr="006263CF">
              <w:rPr>
                <w:rFonts w:asciiTheme="minorHAnsi" w:hAnsiTheme="minorHAnsi" w:cstheme="minorHAnsi"/>
                <w:color w:val="000000"/>
                <w:szCs w:val="22"/>
              </w:rPr>
              <w:t>Спадковий анамнез подовженого QT синдрому</w:t>
            </w:r>
          </w:p>
        </w:tc>
      </w:tr>
      <w:tr w:rsidR="005225B5" w:rsidRPr="006263CF" w:rsidTr="001E6B62">
        <w:trPr>
          <w:trHeight w:hRule="exact" w:val="994"/>
        </w:trPr>
        <w:tc>
          <w:tcPr>
            <w:tcW w:w="2933" w:type="dxa"/>
            <w:tcBorders>
              <w:top w:val="single" w:sz="4" w:space="0" w:color="1F61AA"/>
              <w:bottom w:val="single" w:sz="4" w:space="0" w:color="1F61AA"/>
            </w:tcBorders>
            <w:shd w:val="clear" w:color="auto" w:fill="FFFFFF"/>
          </w:tcPr>
          <w:p w:rsidR="005225B5" w:rsidRPr="006263CF" w:rsidRDefault="005225B5" w:rsidP="001E6B62">
            <w:pPr>
              <w:ind w:left="102"/>
              <w:rPr>
                <w:rFonts w:asciiTheme="minorHAnsi" w:hAnsiTheme="minorHAnsi" w:cstheme="minorHAnsi"/>
                <w:sz w:val="18"/>
              </w:rPr>
            </w:pPr>
            <w:r w:rsidRPr="006263CF">
              <w:rPr>
                <w:rFonts w:asciiTheme="minorHAnsi" w:hAnsiTheme="minorHAnsi" w:cstheme="minorHAnsi"/>
                <w:color w:val="000000"/>
                <w:szCs w:val="22"/>
              </w:rPr>
              <w:t>Важка анемія,</w:t>
            </w:r>
          </w:p>
          <w:p w:rsidR="005225B5" w:rsidRPr="006263CF" w:rsidRDefault="005225B5" w:rsidP="001E6B62">
            <w:pPr>
              <w:ind w:left="102" w:right="566"/>
              <w:rPr>
                <w:rFonts w:asciiTheme="minorHAnsi" w:hAnsiTheme="minorHAnsi" w:cstheme="minorHAnsi"/>
                <w:sz w:val="18"/>
              </w:rPr>
            </w:pPr>
            <w:r w:rsidRPr="006263CF">
              <w:rPr>
                <w:rFonts w:asciiTheme="minorHAnsi" w:hAnsiTheme="minorHAnsi" w:cstheme="minorHAnsi"/>
                <w:color w:val="000000"/>
                <w:szCs w:val="22"/>
              </w:rPr>
              <w:t>Тромбоіцитопенія чи лейкопенія</w:t>
            </w:r>
          </w:p>
        </w:tc>
        <w:tc>
          <w:tcPr>
            <w:tcW w:w="6437" w:type="dxa"/>
            <w:tcBorders>
              <w:top w:val="single" w:sz="4" w:space="0" w:color="1F61AA"/>
              <w:bottom w:val="single" w:sz="4" w:space="0" w:color="1F61AA"/>
            </w:tcBorders>
            <w:shd w:val="clear" w:color="auto" w:fill="FFFFFF"/>
          </w:tcPr>
          <w:p w:rsidR="001E6B62" w:rsidRDefault="005225B5" w:rsidP="006263CF">
            <w:pPr>
              <w:ind w:right="2602"/>
              <w:rPr>
                <w:rFonts w:asciiTheme="minorHAnsi" w:hAnsiTheme="minorHAnsi" w:cstheme="minorHAnsi"/>
                <w:color w:val="000000"/>
                <w:szCs w:val="22"/>
              </w:rPr>
            </w:pPr>
            <w:r w:rsidRPr="006263CF">
              <w:rPr>
                <w:rFonts w:asciiTheme="minorHAnsi" w:hAnsiTheme="minorHAnsi" w:cstheme="minorHAnsi"/>
                <w:color w:val="000000"/>
                <w:szCs w:val="22"/>
              </w:rPr>
              <w:t xml:space="preserve">Рівень гемоглобіну &lt;8,0 г/дл </w:t>
            </w:r>
          </w:p>
          <w:p w:rsidR="001E6B62" w:rsidRDefault="005225B5" w:rsidP="006263CF">
            <w:pPr>
              <w:ind w:right="2602"/>
              <w:rPr>
                <w:rFonts w:asciiTheme="minorHAnsi" w:hAnsiTheme="minorHAnsi" w:cstheme="minorHAnsi"/>
                <w:color w:val="000000"/>
                <w:szCs w:val="22"/>
                <w:vertAlign w:val="superscript"/>
              </w:rPr>
            </w:pPr>
            <w:r w:rsidRPr="006263CF">
              <w:rPr>
                <w:rFonts w:asciiTheme="minorHAnsi" w:hAnsiTheme="minorHAnsi" w:cstheme="minorHAnsi"/>
                <w:color w:val="000000"/>
                <w:szCs w:val="22"/>
              </w:rPr>
              <w:t>Кількість тромбоцитів &lt;75 000/мм</w:t>
            </w:r>
            <w:r w:rsidRPr="006263CF">
              <w:rPr>
                <w:rFonts w:asciiTheme="minorHAnsi" w:hAnsiTheme="minorHAnsi" w:cstheme="minorHAnsi"/>
                <w:color w:val="000000"/>
                <w:szCs w:val="22"/>
                <w:vertAlign w:val="superscript"/>
              </w:rPr>
              <w:t xml:space="preserve">3 </w:t>
            </w:r>
          </w:p>
          <w:p w:rsidR="005225B5" w:rsidRPr="006263CF" w:rsidRDefault="005225B5" w:rsidP="006263CF">
            <w:pPr>
              <w:ind w:right="2602"/>
              <w:rPr>
                <w:rFonts w:asciiTheme="minorHAnsi" w:hAnsiTheme="minorHAnsi" w:cstheme="minorHAnsi"/>
                <w:sz w:val="18"/>
              </w:rPr>
            </w:pPr>
            <w:r w:rsidRPr="006263CF">
              <w:rPr>
                <w:rFonts w:asciiTheme="minorHAnsi" w:hAnsiTheme="minorHAnsi" w:cstheme="minorHAnsi"/>
                <w:color w:val="000000"/>
                <w:szCs w:val="22"/>
              </w:rPr>
              <w:t>Абсолютна кількість нейтрофілів &lt;1000/мм</w:t>
            </w:r>
            <w:r w:rsidRPr="006263CF">
              <w:rPr>
                <w:rFonts w:asciiTheme="minorHAnsi" w:hAnsiTheme="minorHAnsi" w:cstheme="minorHAnsi"/>
                <w:color w:val="000000"/>
                <w:szCs w:val="22"/>
                <w:vertAlign w:val="superscript"/>
              </w:rPr>
              <w:t>3</w:t>
            </w:r>
          </w:p>
        </w:tc>
      </w:tr>
      <w:tr w:rsidR="005225B5" w:rsidRPr="006263CF" w:rsidTr="001E6B62">
        <w:trPr>
          <w:trHeight w:hRule="exact" w:val="852"/>
        </w:trPr>
        <w:tc>
          <w:tcPr>
            <w:tcW w:w="2933" w:type="dxa"/>
            <w:tcBorders>
              <w:top w:val="single" w:sz="4" w:space="0" w:color="1F61AA"/>
              <w:bottom w:val="single" w:sz="4" w:space="0" w:color="1F61AA"/>
            </w:tcBorders>
            <w:shd w:val="clear" w:color="auto" w:fill="FFFFFF"/>
          </w:tcPr>
          <w:p w:rsidR="005225B5" w:rsidRPr="006263CF" w:rsidRDefault="005225B5" w:rsidP="001E6B62">
            <w:pPr>
              <w:ind w:left="102"/>
              <w:rPr>
                <w:rFonts w:asciiTheme="minorHAnsi" w:hAnsiTheme="minorHAnsi" w:cstheme="minorHAnsi"/>
                <w:sz w:val="18"/>
              </w:rPr>
            </w:pPr>
            <w:r w:rsidRPr="006263CF">
              <w:rPr>
                <w:rFonts w:asciiTheme="minorHAnsi" w:hAnsiTheme="minorHAnsi" w:cstheme="minorHAnsi"/>
                <w:color w:val="000000"/>
                <w:szCs w:val="22"/>
              </w:rPr>
              <w:t>Важка печінкова недостатність</w:t>
            </w:r>
          </w:p>
        </w:tc>
        <w:tc>
          <w:tcPr>
            <w:tcW w:w="6437" w:type="dxa"/>
            <w:tcBorders>
              <w:top w:val="single" w:sz="4" w:space="0" w:color="1F61AA"/>
              <w:bottom w:val="single" w:sz="4" w:space="0" w:color="1F61AA"/>
            </w:tcBorders>
            <w:shd w:val="clear" w:color="auto" w:fill="FFFFFF"/>
          </w:tcPr>
          <w:p w:rsidR="001E6B62" w:rsidRDefault="005225B5" w:rsidP="006263CF">
            <w:pPr>
              <w:ind w:right="3816" w:firstLine="5"/>
              <w:rPr>
                <w:rFonts w:asciiTheme="minorHAnsi" w:hAnsiTheme="minorHAnsi" w:cstheme="minorHAnsi"/>
                <w:color w:val="000000"/>
                <w:szCs w:val="22"/>
              </w:rPr>
            </w:pPr>
            <w:r w:rsidRPr="006263CF">
              <w:rPr>
                <w:rFonts w:asciiTheme="minorHAnsi" w:hAnsiTheme="minorHAnsi" w:cstheme="minorHAnsi"/>
                <w:color w:val="000000"/>
                <w:szCs w:val="22"/>
              </w:rPr>
              <w:t xml:space="preserve">АСТ/АЛТ &gt; 3,0 × ВМН </w:t>
            </w:r>
          </w:p>
          <w:p w:rsidR="001E6B62" w:rsidRDefault="005225B5" w:rsidP="001E6B62">
            <w:pPr>
              <w:ind w:right="1675" w:firstLine="5"/>
              <w:rPr>
                <w:rFonts w:asciiTheme="minorHAnsi" w:hAnsiTheme="minorHAnsi" w:cstheme="minorHAnsi"/>
                <w:color w:val="000000"/>
                <w:szCs w:val="22"/>
              </w:rPr>
            </w:pPr>
            <w:r w:rsidRPr="006263CF">
              <w:rPr>
                <w:rFonts w:asciiTheme="minorHAnsi" w:hAnsiTheme="minorHAnsi" w:cstheme="minorHAnsi"/>
                <w:color w:val="000000"/>
                <w:szCs w:val="22"/>
              </w:rPr>
              <w:t xml:space="preserve">загальний білірубін&gt; 2,0 × ВМН </w:t>
            </w:r>
          </w:p>
          <w:p w:rsidR="005225B5" w:rsidRPr="006263CF" w:rsidRDefault="001E6B62" w:rsidP="001E6B62">
            <w:pPr>
              <w:ind w:right="1675" w:firstLine="5"/>
              <w:rPr>
                <w:rFonts w:asciiTheme="minorHAnsi" w:hAnsiTheme="minorHAnsi" w:cstheme="minorHAnsi"/>
                <w:sz w:val="18"/>
              </w:rPr>
            </w:pPr>
            <w:r w:rsidRPr="006263CF">
              <w:rPr>
                <w:rFonts w:asciiTheme="minorHAnsi" w:hAnsiTheme="minorHAnsi" w:cstheme="minorHAnsi"/>
                <w:color w:val="000000"/>
                <w:szCs w:val="22"/>
              </w:rPr>
              <w:t xml:space="preserve">альбумін </w:t>
            </w:r>
            <w:r w:rsidR="005225B5" w:rsidRPr="006263CF">
              <w:rPr>
                <w:rFonts w:asciiTheme="minorHAnsi" w:hAnsiTheme="minorHAnsi" w:cstheme="minorHAnsi"/>
                <w:color w:val="000000"/>
                <w:szCs w:val="22"/>
              </w:rPr>
              <w:t>&lt;32 г/л</w:t>
            </w:r>
          </w:p>
        </w:tc>
      </w:tr>
      <w:tr w:rsidR="005225B5" w:rsidRPr="006263CF" w:rsidTr="001E6B62">
        <w:trPr>
          <w:trHeight w:hRule="exact" w:val="1032"/>
        </w:trPr>
        <w:tc>
          <w:tcPr>
            <w:tcW w:w="2933" w:type="dxa"/>
            <w:tcBorders>
              <w:top w:val="single" w:sz="4" w:space="0" w:color="1F61AA"/>
              <w:bottom w:val="single" w:sz="4" w:space="0" w:color="1F61AA"/>
            </w:tcBorders>
            <w:shd w:val="clear" w:color="auto" w:fill="FFFFFF"/>
          </w:tcPr>
          <w:p w:rsidR="005225B5" w:rsidRPr="006263CF" w:rsidRDefault="005225B5" w:rsidP="001E6B62">
            <w:pPr>
              <w:ind w:left="102"/>
              <w:rPr>
                <w:rFonts w:asciiTheme="minorHAnsi" w:hAnsiTheme="minorHAnsi" w:cstheme="minorHAnsi"/>
                <w:sz w:val="18"/>
              </w:rPr>
            </w:pPr>
            <w:r w:rsidRPr="006263CF">
              <w:rPr>
                <w:rFonts w:asciiTheme="minorHAnsi" w:hAnsiTheme="minorHAnsi" w:cstheme="minorHAnsi"/>
                <w:color w:val="000000"/>
                <w:szCs w:val="22"/>
              </w:rPr>
              <w:t>Важка ниркова недостатність</w:t>
            </w:r>
          </w:p>
        </w:tc>
        <w:tc>
          <w:tcPr>
            <w:tcW w:w="6437" w:type="dxa"/>
            <w:tcBorders>
              <w:top w:val="single" w:sz="4" w:space="0" w:color="1F61AA"/>
              <w:bottom w:val="single" w:sz="4" w:space="0" w:color="1F61AA"/>
            </w:tcBorders>
            <w:shd w:val="clear" w:color="auto" w:fill="FFFFFF"/>
          </w:tcPr>
          <w:p w:rsidR="005225B5" w:rsidRPr="006263CF" w:rsidRDefault="005225B5" w:rsidP="006263CF">
            <w:pPr>
              <w:rPr>
                <w:rFonts w:asciiTheme="minorHAnsi" w:hAnsiTheme="minorHAnsi" w:cstheme="minorHAnsi"/>
                <w:sz w:val="18"/>
              </w:rPr>
            </w:pPr>
            <w:r w:rsidRPr="006263CF">
              <w:rPr>
                <w:rFonts w:asciiTheme="minorHAnsi" w:hAnsiTheme="minorHAnsi" w:cstheme="minorHAnsi"/>
                <w:color w:val="000000"/>
                <w:szCs w:val="22"/>
              </w:rPr>
              <w:t>Креатинін крові &gt; 3,0 × ВМН</w:t>
            </w:r>
          </w:p>
          <w:p w:rsidR="005225B5" w:rsidRPr="006263CF" w:rsidRDefault="005225B5" w:rsidP="006263CF">
            <w:pPr>
              <w:ind w:right="254"/>
              <w:rPr>
                <w:rFonts w:asciiTheme="minorHAnsi" w:hAnsiTheme="minorHAnsi" w:cstheme="minorHAnsi"/>
                <w:sz w:val="18"/>
              </w:rPr>
            </w:pPr>
            <w:r w:rsidRPr="006263CF">
              <w:rPr>
                <w:rFonts w:asciiTheme="minorHAnsi" w:hAnsiTheme="minorHAnsi" w:cstheme="minorHAnsi"/>
                <w:color w:val="000000"/>
                <w:szCs w:val="22"/>
              </w:rPr>
              <w:t>У зв'язку з обмеженим досвідом застосування цієї схеми лікування слід проявляти обережність у пацієнтів з важкою нирковою недостатністю</w:t>
            </w:r>
          </w:p>
        </w:tc>
      </w:tr>
      <w:tr w:rsidR="005225B5" w:rsidRPr="006263CF" w:rsidTr="001E6B62">
        <w:trPr>
          <w:trHeight w:hRule="exact" w:val="370"/>
        </w:trPr>
        <w:tc>
          <w:tcPr>
            <w:tcW w:w="2933" w:type="dxa"/>
            <w:tcBorders>
              <w:top w:val="single" w:sz="4" w:space="0" w:color="1F61AA"/>
              <w:bottom w:val="single" w:sz="4" w:space="0" w:color="1F61AA"/>
            </w:tcBorders>
            <w:shd w:val="clear" w:color="auto" w:fill="FFFFFF"/>
            <w:vAlign w:val="center"/>
          </w:tcPr>
          <w:p w:rsidR="005225B5" w:rsidRPr="006263CF" w:rsidRDefault="005225B5" w:rsidP="001E6B62">
            <w:pPr>
              <w:ind w:left="102"/>
              <w:rPr>
                <w:rFonts w:asciiTheme="minorHAnsi" w:hAnsiTheme="minorHAnsi" w:cstheme="minorHAnsi"/>
                <w:sz w:val="18"/>
              </w:rPr>
            </w:pPr>
            <w:r w:rsidRPr="006263CF">
              <w:rPr>
                <w:rFonts w:asciiTheme="minorHAnsi" w:hAnsiTheme="minorHAnsi" w:cstheme="minorHAnsi"/>
                <w:color w:val="000000"/>
                <w:szCs w:val="22"/>
              </w:rPr>
              <w:t>Важка нейропатія</w:t>
            </w:r>
          </w:p>
        </w:tc>
        <w:tc>
          <w:tcPr>
            <w:tcW w:w="6437" w:type="dxa"/>
            <w:tcBorders>
              <w:top w:val="single" w:sz="4" w:space="0" w:color="1F61AA"/>
              <w:bottom w:val="single" w:sz="4" w:space="0" w:color="1F61AA"/>
            </w:tcBorders>
            <w:shd w:val="clear" w:color="auto" w:fill="FFFFFF"/>
            <w:vAlign w:val="center"/>
          </w:tcPr>
          <w:p w:rsidR="005225B5" w:rsidRPr="006263CF" w:rsidRDefault="005225B5" w:rsidP="001E6B62">
            <w:pPr>
              <w:rPr>
                <w:rFonts w:asciiTheme="minorHAnsi" w:hAnsiTheme="minorHAnsi" w:cstheme="minorHAnsi"/>
                <w:sz w:val="18"/>
              </w:rPr>
            </w:pPr>
            <w:r w:rsidRPr="006263CF">
              <w:rPr>
                <w:rFonts w:asciiTheme="minorHAnsi" w:hAnsiTheme="minorHAnsi" w:cstheme="minorHAnsi"/>
                <w:color w:val="000000"/>
                <w:szCs w:val="22"/>
              </w:rPr>
              <w:t>Периферична нейропатія 3 або 4 ступеня</w:t>
            </w:r>
          </w:p>
        </w:tc>
      </w:tr>
      <w:tr w:rsidR="005225B5" w:rsidRPr="006263CF" w:rsidTr="001E6B62">
        <w:trPr>
          <w:trHeight w:hRule="exact" w:val="729"/>
        </w:trPr>
        <w:tc>
          <w:tcPr>
            <w:tcW w:w="9370" w:type="dxa"/>
            <w:gridSpan w:val="2"/>
            <w:tcBorders>
              <w:top w:val="single" w:sz="4" w:space="0" w:color="1F61AA"/>
              <w:left w:val="nil"/>
              <w:bottom w:val="nil"/>
              <w:right w:val="nil"/>
            </w:tcBorders>
            <w:shd w:val="clear" w:color="auto" w:fill="FFFFFF"/>
          </w:tcPr>
          <w:p w:rsidR="005225B5" w:rsidRPr="006263CF" w:rsidRDefault="005225B5" w:rsidP="001E6B62">
            <w:pPr>
              <w:spacing w:before="120"/>
              <w:ind w:left="48" w:right="19"/>
              <w:rPr>
                <w:rFonts w:asciiTheme="minorHAnsi" w:hAnsiTheme="minorHAnsi" w:cstheme="minorHAnsi"/>
                <w:sz w:val="18"/>
              </w:rPr>
            </w:pPr>
            <w:r w:rsidRPr="006263CF">
              <w:rPr>
                <w:rFonts w:asciiTheme="minorHAnsi" w:hAnsiTheme="minorHAnsi" w:cstheme="minorHAnsi"/>
                <w:color w:val="000000"/>
                <w:sz w:val="14"/>
                <w:szCs w:val="16"/>
              </w:rPr>
              <w:t>АЛТ: аланінамінотрансфераза; АСТ: аспартатамінотрансфераза; БПЛ: бедаквілін, претоманід та лінезолід протягом 6-9 місяців; CYP: цитохром; МР/Риф-ТБ: мультирезистентний чи рифампіцино-стійкий туберкульоз; ІП: інгібітор протеази; ВМП: верхня межа норми.</w:t>
            </w:r>
          </w:p>
        </w:tc>
      </w:tr>
      <w:tr w:rsidR="005225B5" w:rsidRPr="006263CF">
        <w:trPr>
          <w:trHeight w:hRule="exact" w:val="662"/>
        </w:trPr>
        <w:tc>
          <w:tcPr>
            <w:tcW w:w="9370" w:type="dxa"/>
            <w:gridSpan w:val="2"/>
            <w:tcBorders>
              <w:top w:val="nil"/>
              <w:left w:val="nil"/>
              <w:bottom w:val="nil"/>
              <w:right w:val="nil"/>
            </w:tcBorders>
            <w:shd w:val="clear" w:color="auto" w:fill="FFFFFF"/>
          </w:tcPr>
          <w:p w:rsidR="005225B5" w:rsidRPr="006263CF" w:rsidRDefault="005225B5" w:rsidP="006263CF">
            <w:pPr>
              <w:ind w:left="48"/>
              <w:rPr>
                <w:rFonts w:asciiTheme="minorHAnsi" w:hAnsiTheme="minorHAnsi" w:cstheme="minorHAnsi"/>
                <w:sz w:val="18"/>
              </w:rPr>
            </w:pPr>
            <w:r w:rsidRPr="006263CF">
              <w:rPr>
                <w:rFonts w:asciiTheme="minorHAnsi" w:hAnsiTheme="minorHAnsi" w:cstheme="minorHAnsi"/>
                <w:b/>
                <w:bCs/>
                <w:color w:val="1F61AA"/>
                <w:sz w:val="36"/>
                <w:szCs w:val="38"/>
              </w:rPr>
              <w:t>7. 2 Склад і тривалість схеми лікування</w:t>
            </w:r>
          </w:p>
        </w:tc>
      </w:tr>
      <w:tr w:rsidR="005225B5" w:rsidRPr="006263CF" w:rsidTr="001E6B62">
        <w:trPr>
          <w:trHeight w:hRule="exact" w:val="1163"/>
        </w:trPr>
        <w:tc>
          <w:tcPr>
            <w:tcW w:w="9370" w:type="dxa"/>
            <w:gridSpan w:val="2"/>
            <w:tcBorders>
              <w:top w:val="nil"/>
              <w:left w:val="nil"/>
              <w:bottom w:val="nil"/>
              <w:right w:val="nil"/>
            </w:tcBorders>
            <w:shd w:val="clear" w:color="auto" w:fill="FFFFFF"/>
          </w:tcPr>
          <w:p w:rsidR="005225B5" w:rsidRPr="006263CF" w:rsidRDefault="005225B5" w:rsidP="001E6B62">
            <w:pPr>
              <w:ind w:left="48" w:right="19"/>
              <w:jc w:val="both"/>
              <w:rPr>
                <w:rFonts w:asciiTheme="minorHAnsi" w:hAnsiTheme="minorHAnsi" w:cstheme="minorHAnsi"/>
                <w:sz w:val="18"/>
              </w:rPr>
            </w:pPr>
            <w:r w:rsidRPr="006263CF">
              <w:rPr>
                <w:rFonts w:asciiTheme="minorHAnsi" w:hAnsiTheme="minorHAnsi" w:cstheme="minorHAnsi"/>
                <w:color w:val="000000"/>
                <w:szCs w:val="22"/>
              </w:rPr>
              <w:t xml:space="preserve">Схема лікування БПЛ складається з трьох компонентів - бедаквіліну, претоманіду і лінезоліду, які використовуються в комплексі. Бедаквілін та лінезолід використовуються у довгострокових схемах лікування (див. </w:t>
            </w:r>
            <w:r w:rsidRPr="006263CF">
              <w:rPr>
                <w:rFonts w:asciiTheme="minorHAnsi" w:hAnsiTheme="minorHAnsi" w:cstheme="minorHAnsi"/>
                <w:color w:val="1F61AA"/>
                <w:szCs w:val="22"/>
              </w:rPr>
              <w:t>Розділ 6.2</w:t>
            </w:r>
            <w:r w:rsidRPr="006263CF">
              <w:rPr>
                <w:rFonts w:asciiTheme="minorHAnsi" w:hAnsiTheme="minorHAnsi" w:cstheme="minorHAnsi"/>
                <w:color w:val="000000"/>
                <w:szCs w:val="22"/>
              </w:rPr>
              <w:t xml:space="preserve">) та бедаквілін також використовується в повністю пероральній короткостровій схемі лікування (див. </w:t>
            </w:r>
            <w:r w:rsidRPr="006263CF">
              <w:rPr>
                <w:rFonts w:asciiTheme="minorHAnsi" w:hAnsiTheme="minorHAnsi" w:cstheme="minorHAnsi"/>
                <w:color w:val="1F61AA"/>
                <w:szCs w:val="22"/>
              </w:rPr>
              <w:t>Розділ 5</w:t>
            </w:r>
            <w:r w:rsidRPr="006263CF">
              <w:rPr>
                <w:rFonts w:asciiTheme="minorHAnsi" w:hAnsiTheme="minorHAnsi" w:cstheme="minorHAnsi"/>
                <w:color w:val="000000"/>
                <w:szCs w:val="22"/>
              </w:rPr>
              <w:t>).</w:t>
            </w:r>
          </w:p>
        </w:tc>
      </w:tr>
      <w:tr w:rsidR="005225B5" w:rsidRPr="006263CF">
        <w:trPr>
          <w:trHeight w:hRule="exact" w:val="1862"/>
        </w:trPr>
        <w:tc>
          <w:tcPr>
            <w:tcW w:w="9370" w:type="dxa"/>
            <w:gridSpan w:val="2"/>
            <w:tcBorders>
              <w:top w:val="nil"/>
              <w:left w:val="nil"/>
              <w:bottom w:val="nil"/>
              <w:right w:val="nil"/>
            </w:tcBorders>
            <w:shd w:val="clear" w:color="auto" w:fill="FFFFFF"/>
          </w:tcPr>
          <w:p w:rsidR="005225B5" w:rsidRPr="006263CF" w:rsidRDefault="005225B5" w:rsidP="001E6B62">
            <w:pPr>
              <w:ind w:left="48" w:right="19"/>
              <w:jc w:val="both"/>
              <w:rPr>
                <w:rFonts w:asciiTheme="minorHAnsi" w:hAnsiTheme="minorHAnsi" w:cstheme="minorHAnsi"/>
                <w:sz w:val="18"/>
              </w:rPr>
            </w:pPr>
            <w:r w:rsidRPr="006263CF">
              <w:rPr>
                <w:rFonts w:asciiTheme="minorHAnsi" w:hAnsiTheme="minorHAnsi" w:cstheme="minorHAnsi"/>
                <w:color w:val="000000"/>
                <w:szCs w:val="22"/>
              </w:rPr>
              <w:t xml:space="preserve">Претоманід - це новий лікарський препарат, безпеку і ефективність якого не було встановлено для його застосування в комбінації з іншими лікарськими препаратами, крім бедаквіліну і лінезоліду, в рамках схеми лікування БПЛ </w:t>
            </w:r>
            <w:r w:rsidRPr="006263CF">
              <w:rPr>
                <w:rFonts w:asciiTheme="minorHAnsi" w:hAnsiTheme="minorHAnsi" w:cstheme="minorHAnsi"/>
                <w:i/>
                <w:iCs/>
                <w:color w:val="000000"/>
                <w:szCs w:val="22"/>
              </w:rPr>
              <w:t>(96, 97)</w:t>
            </w:r>
            <w:r w:rsidRPr="006263CF">
              <w:rPr>
                <w:rFonts w:asciiTheme="minorHAnsi" w:hAnsiTheme="minorHAnsi" w:cstheme="minorHAnsi"/>
                <w:color w:val="000000"/>
                <w:szCs w:val="22"/>
              </w:rPr>
              <w:t>. Претоманід - це нітроімідазол (тобто того ж хімічного класу, що і деламанід) і являє собою проліки, метаболічно активується нітроредуктазою, що виробляє різні метаболіти, які відповідають за його терапевтичну дію. Претоманід пригнічує біосинтез клітинних стінок в анаеробних умовах,</w:t>
            </w:r>
          </w:p>
        </w:tc>
      </w:tr>
    </w:tbl>
    <w:p w:rsidR="005225B5" w:rsidRPr="006263CF" w:rsidRDefault="005225B5" w:rsidP="006263CF">
      <w:pPr>
        <w:rPr>
          <w:rFonts w:asciiTheme="minorHAnsi" w:hAnsiTheme="minorHAnsi" w:cstheme="minorHAnsi"/>
          <w:sz w:val="18"/>
        </w:rPr>
        <w:sectPr w:rsidR="005225B5" w:rsidRPr="006263CF" w:rsidSect="00445738">
          <w:pgSz w:w="11904" w:h="16838"/>
          <w:pgMar w:top="1310" w:right="1282" w:bottom="0" w:left="1253"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653"/>
        <w:gridCol w:w="5678"/>
      </w:tblGrid>
      <w:tr w:rsidR="005225B5" w:rsidRPr="006263CF">
        <w:trPr>
          <w:trHeight w:hRule="exact" w:val="5976"/>
        </w:trPr>
        <w:tc>
          <w:tcPr>
            <w:tcW w:w="9331" w:type="dxa"/>
            <w:gridSpan w:val="2"/>
            <w:tcBorders>
              <w:top w:val="nil"/>
              <w:left w:val="nil"/>
              <w:bottom w:val="nil"/>
              <w:right w:val="nil"/>
            </w:tcBorders>
            <w:shd w:val="clear" w:color="auto" w:fill="FFFFFF"/>
          </w:tcPr>
          <w:p w:rsidR="005225B5" w:rsidRPr="006263CF" w:rsidRDefault="005225B5" w:rsidP="001E6B62">
            <w:pPr>
              <w:ind w:left="48"/>
              <w:jc w:val="both"/>
              <w:rPr>
                <w:rFonts w:asciiTheme="minorHAnsi" w:hAnsiTheme="minorHAnsi" w:cstheme="minorHAnsi"/>
                <w:sz w:val="18"/>
              </w:rPr>
            </w:pPr>
            <w:r w:rsidRPr="006263CF">
              <w:rPr>
                <w:rFonts w:asciiTheme="minorHAnsi" w:hAnsiTheme="minorHAnsi" w:cstheme="minorHAnsi"/>
                <w:color w:val="000000"/>
                <w:szCs w:val="22"/>
              </w:rPr>
              <w:lastRenderedPageBreak/>
              <w:t xml:space="preserve">викликає респіраторне отруєння бактеріальної клітини в результаті вивільнення хімічно активних видів азоту. Претоманід володіє активністю проти як реплікованих, так і не реплікованих бацил </w:t>
            </w:r>
            <w:r w:rsidRPr="006263CF">
              <w:rPr>
                <w:rFonts w:asciiTheme="minorHAnsi" w:hAnsiTheme="minorHAnsi" w:cstheme="minorHAnsi"/>
                <w:i/>
                <w:iCs/>
                <w:color w:val="000000"/>
                <w:szCs w:val="22"/>
              </w:rPr>
              <w:t>M. tuberculosis</w:t>
            </w:r>
            <w:r w:rsidRPr="006263CF">
              <w:rPr>
                <w:rFonts w:asciiTheme="minorHAnsi" w:hAnsiTheme="minorHAnsi" w:cstheme="minorHAnsi"/>
                <w:color w:val="000000"/>
                <w:szCs w:val="22"/>
              </w:rPr>
              <w:t xml:space="preserve"> (Abdel-Rahman SM. unpublished data, Children’s Mercy Hospital, Kansas City, United States of America, November 2019). In vitro, доклінічні та клінічні дані підтверджують роль претоманіда як частини схеми лікування БПЛ. немає досвіду використання цього лікарського препарату в інших комбінаціях, претоманід не рекомендується до використання поза схемою лікування БПЛ. Претоманід в даний час проходить подальше тестування в рамках комбінованих схем лікування як лікарсько- чутливого, так і лікарсько-стійкого туберкульозу.</w:t>
            </w:r>
            <w:r w:rsidRPr="006263CF">
              <w:rPr>
                <w:rFonts w:asciiTheme="minorHAnsi" w:hAnsiTheme="minorHAnsi" w:cstheme="minorHAnsi"/>
                <w:color w:val="000000"/>
                <w:szCs w:val="22"/>
                <w:vertAlign w:val="superscript"/>
              </w:rPr>
              <w:t>16</w:t>
            </w:r>
            <w:r w:rsidRPr="006263CF">
              <w:rPr>
                <w:rFonts w:asciiTheme="minorHAnsi" w:hAnsiTheme="minorHAnsi" w:cstheme="minorHAnsi"/>
                <w:color w:val="000000"/>
                <w:szCs w:val="22"/>
              </w:rPr>
              <w:t xml:space="preserve"> Найбільш поширеними небажаними реакціями у пацієнтів, які лікувалися претоманідом в поєднанні з бедаквіліном і лінезолідом, були ураження нервів (периферична нейропатія), атопічні дерматити, анемія, нудота, блювота, головний біль, підвищений рівень ферментів печінки (трансамінази та гама-глютамілтрансферази), розлад шлунку (диспепсія), висип, свербіж, підвищений рівень ферментів підшлункової залози (гіперамілаземія), зниження апетиту, підвищений рівень трансаміназ і гамма-глютаміл транспептидази, порушення зору, низький рівень цукру в крові (гіпоглікемія), болі в животі, болі в опорно-руховому апараті і діарея </w:t>
            </w:r>
            <w:r w:rsidRPr="006263CF">
              <w:rPr>
                <w:rFonts w:asciiTheme="minorHAnsi" w:hAnsiTheme="minorHAnsi" w:cstheme="minorHAnsi"/>
                <w:i/>
                <w:iCs/>
                <w:color w:val="000000"/>
                <w:szCs w:val="22"/>
              </w:rPr>
              <w:t>(96, 97)</w:t>
            </w:r>
            <w:r w:rsidRPr="006263CF">
              <w:rPr>
                <w:rFonts w:asciiTheme="minorHAnsi" w:hAnsiTheme="minorHAnsi" w:cstheme="minorHAnsi"/>
                <w:color w:val="000000"/>
                <w:szCs w:val="22"/>
              </w:rPr>
              <w:t>. Дані, отримані в ході дослідження на моделях тварин, також свідчать про побічні ефекти пов'язані з безпліддям, пов'язаних з претоманідом (Abdel-Rahman SM. unpublished data, Children’s Mercy Hospital, Kansas City, United States of America, November 2019) (96). У групі з розробки керівництва ВООЗ (листопад 2019 рік) були відзначені потенційні труднощі з моніторингу безпліддя в програмному середовищі. Додаткові дослідження людської сперми, рекомендовані управлінням з санітарного нагляду за якістю харчових продуктів і лікарських засобів США, проводяться Альянсом протидії туберкульозу; однак на момент проведення засідання ГРК їх результати були відсутні (1). Безпліддя є серйозною проблемою, оскільки зачіпає як пацієнтів, так і їх сім'ї; враховуючи цей потенційний побічний ефект, баланс бажаних і небажаних ефектів під час лікування повинен бути ретельно обговорений з пацієнтом, який повинен бути залучений у процес прийняття рішення про лікування.</w:t>
            </w:r>
          </w:p>
        </w:tc>
      </w:tr>
      <w:tr w:rsidR="005225B5" w:rsidRPr="006263CF">
        <w:trPr>
          <w:trHeight w:hRule="exact" w:val="1123"/>
        </w:trPr>
        <w:tc>
          <w:tcPr>
            <w:tcW w:w="9331" w:type="dxa"/>
            <w:gridSpan w:val="2"/>
            <w:tcBorders>
              <w:top w:val="nil"/>
              <w:left w:val="nil"/>
              <w:bottom w:val="nil"/>
              <w:right w:val="nil"/>
            </w:tcBorders>
            <w:shd w:val="clear" w:color="auto" w:fill="FFFFFF"/>
          </w:tcPr>
          <w:p w:rsidR="005225B5" w:rsidRPr="006263CF" w:rsidRDefault="005225B5" w:rsidP="001E6B62">
            <w:pPr>
              <w:ind w:left="48"/>
              <w:jc w:val="both"/>
              <w:rPr>
                <w:rFonts w:asciiTheme="minorHAnsi" w:hAnsiTheme="minorHAnsi" w:cstheme="minorHAnsi"/>
                <w:sz w:val="18"/>
              </w:rPr>
            </w:pPr>
            <w:r w:rsidRPr="006263CF">
              <w:rPr>
                <w:rFonts w:asciiTheme="minorHAnsi" w:hAnsiTheme="minorHAnsi" w:cstheme="minorHAnsi"/>
                <w:color w:val="000000"/>
                <w:szCs w:val="22"/>
              </w:rPr>
              <w:t>Схема лікування БПЛ складається з претоманіду, який застосовується в дозі 200 мг 1 раз на день, бедаквіліну, що застосовується в дозі 400 мг 1 раз на день протягом перших 2 тижнів лікування (з 1-14 день) і потім 200 мг 3 рази на день протягом тижня, і лінезоліду з 1200 мг на день.</w:t>
            </w:r>
          </w:p>
        </w:tc>
      </w:tr>
      <w:tr w:rsidR="005225B5" w:rsidRPr="006263CF">
        <w:trPr>
          <w:trHeight w:hRule="exact" w:val="739"/>
        </w:trPr>
        <w:tc>
          <w:tcPr>
            <w:tcW w:w="9331" w:type="dxa"/>
            <w:gridSpan w:val="2"/>
            <w:tcBorders>
              <w:top w:val="nil"/>
              <w:left w:val="nil"/>
              <w:bottom w:val="nil"/>
              <w:right w:val="nil"/>
            </w:tcBorders>
            <w:shd w:val="clear" w:color="auto" w:fill="FFFFFF"/>
          </w:tcPr>
          <w:p w:rsidR="005225B5" w:rsidRPr="006263CF" w:rsidRDefault="005225B5" w:rsidP="006263CF">
            <w:pPr>
              <w:ind w:left="48" w:right="187"/>
              <w:rPr>
                <w:rFonts w:asciiTheme="minorHAnsi" w:hAnsiTheme="minorHAnsi" w:cstheme="minorHAnsi"/>
                <w:sz w:val="18"/>
              </w:rPr>
            </w:pPr>
            <w:r w:rsidRPr="006263CF">
              <w:rPr>
                <w:rFonts w:asciiTheme="minorHAnsi" w:hAnsiTheme="minorHAnsi" w:cstheme="minorHAnsi"/>
                <w:b/>
                <w:bCs/>
                <w:color w:val="636466"/>
                <w:sz w:val="22"/>
                <w:szCs w:val="24"/>
              </w:rPr>
              <w:t>Таблиця 7.2. Дозування компонентів лікарських засобів для дорослих та підлітків (віком від 14 років)</w:t>
            </w:r>
          </w:p>
        </w:tc>
      </w:tr>
      <w:tr w:rsidR="005225B5" w:rsidRPr="006263CF" w:rsidTr="001E6B62">
        <w:trPr>
          <w:trHeight w:hRule="exact" w:val="442"/>
        </w:trPr>
        <w:tc>
          <w:tcPr>
            <w:tcW w:w="3653" w:type="dxa"/>
            <w:tcBorders>
              <w:top w:val="nil"/>
              <w:left w:val="nil"/>
              <w:right w:val="nil"/>
            </w:tcBorders>
            <w:shd w:val="clear" w:color="auto" w:fill="C1C8E4"/>
            <w:vAlign w:val="center"/>
          </w:tcPr>
          <w:p w:rsidR="005225B5" w:rsidRPr="006263CF" w:rsidRDefault="005225B5" w:rsidP="001E6B62">
            <w:pPr>
              <w:ind w:left="187"/>
              <w:rPr>
                <w:rFonts w:asciiTheme="minorHAnsi" w:hAnsiTheme="minorHAnsi" w:cstheme="minorHAnsi"/>
                <w:sz w:val="18"/>
              </w:rPr>
            </w:pPr>
            <w:r w:rsidRPr="006263CF">
              <w:rPr>
                <w:rFonts w:asciiTheme="minorHAnsi" w:hAnsiTheme="minorHAnsi" w:cstheme="minorHAnsi"/>
                <w:b/>
                <w:bCs/>
                <w:color w:val="000000"/>
                <w:szCs w:val="22"/>
              </w:rPr>
              <w:t>Лікарський засіб</w:t>
            </w:r>
          </w:p>
        </w:tc>
        <w:tc>
          <w:tcPr>
            <w:tcW w:w="5678" w:type="dxa"/>
            <w:tcBorders>
              <w:top w:val="nil"/>
              <w:left w:val="nil"/>
              <w:right w:val="nil"/>
            </w:tcBorders>
            <w:shd w:val="clear" w:color="auto" w:fill="C1C8E4"/>
            <w:vAlign w:val="center"/>
          </w:tcPr>
          <w:p w:rsidR="005225B5" w:rsidRPr="006263CF" w:rsidRDefault="005225B5" w:rsidP="001E6B62">
            <w:pPr>
              <w:rPr>
                <w:rFonts w:asciiTheme="minorHAnsi" w:hAnsiTheme="minorHAnsi" w:cstheme="minorHAnsi"/>
                <w:sz w:val="18"/>
              </w:rPr>
            </w:pPr>
            <w:r w:rsidRPr="006263CF">
              <w:rPr>
                <w:rFonts w:asciiTheme="minorHAnsi" w:hAnsiTheme="minorHAnsi" w:cstheme="minorHAnsi"/>
                <w:b/>
                <w:bCs/>
                <w:color w:val="000000"/>
                <w:szCs w:val="22"/>
              </w:rPr>
              <w:t>Дозування</w:t>
            </w:r>
          </w:p>
        </w:tc>
      </w:tr>
      <w:tr w:rsidR="005225B5" w:rsidRPr="006263CF" w:rsidTr="001E6B62">
        <w:trPr>
          <w:trHeight w:hRule="exact" w:val="662"/>
        </w:trPr>
        <w:tc>
          <w:tcPr>
            <w:tcW w:w="3653" w:type="dxa"/>
            <w:tcBorders>
              <w:top w:val="nil"/>
              <w:left w:val="nil"/>
              <w:bottom w:val="single" w:sz="4" w:space="0" w:color="1F61AA"/>
              <w:right w:val="nil"/>
            </w:tcBorders>
            <w:shd w:val="clear" w:color="auto" w:fill="FFFFFF"/>
          </w:tcPr>
          <w:p w:rsidR="005225B5" w:rsidRPr="006263CF" w:rsidRDefault="005225B5" w:rsidP="001E6B62">
            <w:pPr>
              <w:spacing w:before="120"/>
              <w:ind w:left="187"/>
              <w:rPr>
                <w:rFonts w:asciiTheme="minorHAnsi" w:hAnsiTheme="minorHAnsi" w:cstheme="minorHAnsi"/>
                <w:sz w:val="18"/>
              </w:rPr>
            </w:pPr>
            <w:r w:rsidRPr="006263CF">
              <w:rPr>
                <w:rFonts w:asciiTheme="minorHAnsi" w:hAnsiTheme="minorHAnsi" w:cstheme="minorHAnsi"/>
                <w:color w:val="000000"/>
                <w:szCs w:val="22"/>
              </w:rPr>
              <w:t>Бедаквілін (таблетка 100 мг)</w:t>
            </w:r>
          </w:p>
        </w:tc>
        <w:tc>
          <w:tcPr>
            <w:tcW w:w="5678" w:type="dxa"/>
            <w:tcBorders>
              <w:top w:val="nil"/>
              <w:left w:val="nil"/>
              <w:bottom w:val="single" w:sz="4" w:space="0" w:color="1F61AA"/>
              <w:right w:val="nil"/>
            </w:tcBorders>
            <w:shd w:val="clear" w:color="auto" w:fill="FFFFFF"/>
          </w:tcPr>
          <w:p w:rsidR="005225B5" w:rsidRPr="006263CF" w:rsidRDefault="005225B5" w:rsidP="001E6B62">
            <w:pPr>
              <w:spacing w:before="120"/>
              <w:ind w:right="283"/>
              <w:rPr>
                <w:rFonts w:asciiTheme="minorHAnsi" w:hAnsiTheme="minorHAnsi" w:cstheme="minorHAnsi"/>
                <w:sz w:val="18"/>
              </w:rPr>
            </w:pPr>
            <w:r w:rsidRPr="006263CF">
              <w:rPr>
                <w:rFonts w:asciiTheme="minorHAnsi" w:hAnsiTheme="minorHAnsi" w:cstheme="minorHAnsi"/>
                <w:color w:val="000000"/>
                <w:szCs w:val="22"/>
              </w:rPr>
              <w:t>400 мг 1 раз на день протягом 2 тижнів, потім по 200 мг 3 рази на тиждень</w:t>
            </w:r>
          </w:p>
        </w:tc>
      </w:tr>
      <w:tr w:rsidR="005225B5" w:rsidRPr="006263CF" w:rsidTr="001E6B62">
        <w:trPr>
          <w:trHeight w:hRule="exact" w:val="480"/>
        </w:trPr>
        <w:tc>
          <w:tcPr>
            <w:tcW w:w="3653"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ind w:left="187"/>
              <w:rPr>
                <w:rFonts w:asciiTheme="minorHAnsi" w:hAnsiTheme="minorHAnsi" w:cstheme="minorHAnsi"/>
                <w:sz w:val="18"/>
              </w:rPr>
            </w:pPr>
            <w:r w:rsidRPr="006263CF">
              <w:rPr>
                <w:rFonts w:asciiTheme="minorHAnsi" w:hAnsiTheme="minorHAnsi" w:cstheme="minorHAnsi"/>
                <w:color w:val="000000"/>
                <w:szCs w:val="22"/>
              </w:rPr>
              <w:t>Претоманід (таблетка 200 мг)</w:t>
            </w:r>
          </w:p>
        </w:tc>
        <w:tc>
          <w:tcPr>
            <w:tcW w:w="5678"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rPr>
                <w:rFonts w:asciiTheme="minorHAnsi" w:hAnsiTheme="minorHAnsi" w:cstheme="minorHAnsi"/>
                <w:sz w:val="18"/>
              </w:rPr>
            </w:pPr>
            <w:r w:rsidRPr="006263CF">
              <w:rPr>
                <w:rFonts w:asciiTheme="minorHAnsi" w:hAnsiTheme="minorHAnsi" w:cstheme="minorHAnsi"/>
                <w:color w:val="000000"/>
                <w:szCs w:val="22"/>
              </w:rPr>
              <w:t>200 мг 1 раз на день</w:t>
            </w:r>
          </w:p>
        </w:tc>
      </w:tr>
      <w:tr w:rsidR="005225B5" w:rsidRPr="006263CF" w:rsidTr="001E6B62">
        <w:trPr>
          <w:trHeight w:hRule="exact" w:val="408"/>
        </w:trPr>
        <w:tc>
          <w:tcPr>
            <w:tcW w:w="3653"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ind w:left="187"/>
              <w:rPr>
                <w:rFonts w:asciiTheme="minorHAnsi" w:hAnsiTheme="minorHAnsi" w:cstheme="minorHAnsi"/>
                <w:sz w:val="18"/>
              </w:rPr>
            </w:pPr>
            <w:r w:rsidRPr="006263CF">
              <w:rPr>
                <w:rFonts w:asciiTheme="minorHAnsi" w:hAnsiTheme="minorHAnsi" w:cstheme="minorHAnsi"/>
                <w:color w:val="000000"/>
                <w:szCs w:val="22"/>
              </w:rPr>
              <w:t>Лінезолід ( таблетка 600 мг)</w:t>
            </w:r>
          </w:p>
        </w:tc>
        <w:tc>
          <w:tcPr>
            <w:tcW w:w="5678"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rPr>
                <w:rFonts w:asciiTheme="minorHAnsi" w:hAnsiTheme="minorHAnsi" w:cstheme="minorHAnsi"/>
                <w:sz w:val="18"/>
              </w:rPr>
            </w:pPr>
            <w:r w:rsidRPr="006263CF">
              <w:rPr>
                <w:rFonts w:asciiTheme="minorHAnsi" w:hAnsiTheme="minorHAnsi" w:cstheme="minorHAnsi"/>
                <w:color w:val="000000"/>
                <w:szCs w:val="22"/>
              </w:rPr>
              <w:t>1200 мг 1 раз на день(регульована)</w:t>
            </w:r>
          </w:p>
        </w:tc>
      </w:tr>
      <w:tr w:rsidR="005225B5" w:rsidRPr="006263CF" w:rsidTr="001E6B62">
        <w:trPr>
          <w:trHeight w:hRule="exact" w:val="1084"/>
        </w:trPr>
        <w:tc>
          <w:tcPr>
            <w:tcW w:w="9331" w:type="dxa"/>
            <w:gridSpan w:val="2"/>
            <w:tcBorders>
              <w:top w:val="single" w:sz="4" w:space="0" w:color="1F61AA"/>
              <w:left w:val="nil"/>
              <w:bottom w:val="nil"/>
              <w:right w:val="nil"/>
            </w:tcBorders>
            <w:shd w:val="clear" w:color="auto" w:fill="FFFFFF"/>
          </w:tcPr>
          <w:p w:rsidR="005225B5" w:rsidRPr="006263CF" w:rsidRDefault="005225B5" w:rsidP="001E6B62">
            <w:pPr>
              <w:spacing w:before="120"/>
              <w:ind w:left="48"/>
              <w:jc w:val="both"/>
              <w:rPr>
                <w:rFonts w:asciiTheme="minorHAnsi" w:hAnsiTheme="minorHAnsi" w:cstheme="minorHAnsi"/>
                <w:sz w:val="18"/>
              </w:rPr>
            </w:pPr>
            <w:r w:rsidRPr="006263CF">
              <w:rPr>
                <w:rFonts w:asciiTheme="minorHAnsi" w:hAnsiTheme="minorHAnsi" w:cstheme="minorHAnsi"/>
                <w:color w:val="000000"/>
                <w:szCs w:val="22"/>
              </w:rPr>
              <w:t>Зміни дози для бедаквіліну і претоманіду не допускаються. Велика доза лінезоліду (1200 мг 1 раз в день) у схемі лікування БПЛ може бути знижена після 1-го місяця лікування у пацієнтів з лінезолід-індукованою периферійною нейропатією або мієлосупресією.</w:t>
            </w:r>
          </w:p>
        </w:tc>
      </w:tr>
      <w:tr w:rsidR="005225B5" w:rsidRPr="006263CF">
        <w:trPr>
          <w:trHeight w:hRule="exact" w:val="2136"/>
        </w:trPr>
        <w:tc>
          <w:tcPr>
            <w:tcW w:w="9331" w:type="dxa"/>
            <w:gridSpan w:val="2"/>
            <w:tcBorders>
              <w:top w:val="nil"/>
              <w:left w:val="nil"/>
              <w:bottom w:val="nil"/>
              <w:right w:val="nil"/>
            </w:tcBorders>
            <w:shd w:val="clear" w:color="auto" w:fill="FFFFFF"/>
          </w:tcPr>
          <w:p w:rsidR="005225B5" w:rsidRPr="006263CF" w:rsidRDefault="005225B5" w:rsidP="001E6B62">
            <w:pPr>
              <w:ind w:left="48"/>
              <w:jc w:val="both"/>
              <w:rPr>
                <w:rFonts w:asciiTheme="minorHAnsi" w:hAnsiTheme="minorHAnsi" w:cstheme="minorHAnsi"/>
                <w:sz w:val="18"/>
              </w:rPr>
            </w:pPr>
            <w:r w:rsidRPr="006263CF">
              <w:rPr>
                <w:rFonts w:asciiTheme="minorHAnsi" w:hAnsiTheme="minorHAnsi" w:cstheme="minorHAnsi"/>
                <w:color w:val="000000"/>
                <w:szCs w:val="22"/>
              </w:rPr>
              <w:t>Відповідно до схеми лікування, якою користувалися в дослідженні Nix-TB, дозування лінезоліду становить 1200 мг в день. На початку дослідження всі учасники вперше приймали 600 мг лінезоліду 2 рази на день, тому що в той час це була затверджена доза, яка використовувалась для лікування бактеріальних інфекцій протягом 28 днів. Однак в травні 2018 року протокол був змінений на прийом лінезоліду в дозування 1200 мг один раз на добу. Зниження дози до 600 мг на добу і далі до 300 мг на добу або тимчасове припинення прийому лінезоліду дозволялося до 35 днів поспіль при будь-яких відомих небажаних реакцій лінезоліду, таких як мієлосупресія, периферична нейропатія і зорова нейропатія. Якщо через токсичність було заборонено лікування лінезолідом, тоді пацієнти</w:t>
            </w:r>
          </w:p>
        </w:tc>
      </w:tr>
      <w:tr w:rsidR="005225B5" w:rsidRPr="006263CF">
        <w:trPr>
          <w:trHeight w:hRule="exact" w:val="1109"/>
        </w:trPr>
        <w:tc>
          <w:tcPr>
            <w:tcW w:w="9331" w:type="dxa"/>
            <w:gridSpan w:val="2"/>
            <w:tcBorders>
              <w:top w:val="nil"/>
              <w:left w:val="nil"/>
              <w:bottom w:val="nil"/>
              <w:right w:val="nil"/>
            </w:tcBorders>
            <w:shd w:val="clear" w:color="auto" w:fill="FFFFFF"/>
          </w:tcPr>
          <w:p w:rsidR="000344A4" w:rsidRDefault="000344A4" w:rsidP="000344A4">
            <w:pPr>
              <w:ind w:firstLine="48"/>
              <w:jc w:val="both"/>
              <w:rPr>
                <w:rFonts w:asciiTheme="minorHAnsi" w:hAnsiTheme="minorHAnsi" w:cstheme="minorHAnsi"/>
                <w:color w:val="000000"/>
                <w:sz w:val="14"/>
                <w:szCs w:val="16"/>
                <w:vertAlign w:val="superscript"/>
              </w:rPr>
            </w:pPr>
            <w:r>
              <w:rPr>
                <w:rFonts w:asciiTheme="minorHAnsi" w:hAnsiTheme="minorHAnsi" w:cstheme="minorHAnsi"/>
                <w:color w:val="000000"/>
                <w:sz w:val="14"/>
                <w:szCs w:val="16"/>
                <w:u w:val="single"/>
                <w:vertAlign w:val="superscript"/>
              </w:rPr>
              <w:tab/>
            </w:r>
            <w:r>
              <w:rPr>
                <w:rFonts w:asciiTheme="minorHAnsi" w:hAnsiTheme="minorHAnsi" w:cstheme="minorHAnsi"/>
                <w:color w:val="000000"/>
                <w:sz w:val="14"/>
                <w:szCs w:val="16"/>
                <w:u w:val="single"/>
                <w:vertAlign w:val="superscript"/>
              </w:rPr>
              <w:tab/>
            </w:r>
            <w:r>
              <w:rPr>
                <w:rFonts w:asciiTheme="minorHAnsi" w:hAnsiTheme="minorHAnsi" w:cstheme="minorHAnsi"/>
                <w:color w:val="000000"/>
                <w:sz w:val="14"/>
                <w:szCs w:val="16"/>
                <w:u w:val="single"/>
                <w:vertAlign w:val="superscript"/>
              </w:rPr>
              <w:tab/>
            </w:r>
          </w:p>
          <w:p w:rsidR="005225B5" w:rsidRPr="006263CF" w:rsidRDefault="005225B5" w:rsidP="001E6B62">
            <w:pPr>
              <w:ind w:left="244" w:hanging="196"/>
              <w:jc w:val="both"/>
              <w:rPr>
                <w:rFonts w:asciiTheme="minorHAnsi" w:hAnsiTheme="minorHAnsi" w:cstheme="minorHAnsi"/>
                <w:sz w:val="18"/>
              </w:rPr>
            </w:pPr>
            <w:r w:rsidRPr="006263CF">
              <w:rPr>
                <w:rFonts w:asciiTheme="minorHAnsi" w:hAnsiTheme="minorHAnsi" w:cstheme="minorHAnsi"/>
                <w:color w:val="000000"/>
                <w:sz w:val="14"/>
                <w:szCs w:val="16"/>
                <w:vertAlign w:val="superscript"/>
              </w:rPr>
              <w:t>16</w:t>
            </w:r>
            <w:r w:rsidRPr="006263CF">
              <w:rPr>
                <w:rFonts w:asciiTheme="minorHAnsi" w:hAnsiTheme="minorHAnsi" w:cstheme="minorHAnsi"/>
                <w:color w:val="000000"/>
                <w:sz w:val="14"/>
                <w:szCs w:val="16"/>
              </w:rPr>
              <w:t xml:space="preserve"> </w:t>
            </w:r>
            <w:r w:rsidR="001E6B62">
              <w:rPr>
                <w:rFonts w:asciiTheme="minorHAnsi" w:hAnsiTheme="minorHAnsi" w:cstheme="minorHAnsi"/>
                <w:color w:val="000000"/>
                <w:sz w:val="14"/>
                <w:szCs w:val="16"/>
              </w:rPr>
              <w:tab/>
            </w:r>
            <w:r w:rsidRPr="006263CF">
              <w:rPr>
                <w:rFonts w:asciiTheme="minorHAnsi" w:hAnsiTheme="minorHAnsi" w:cstheme="minorHAnsi"/>
                <w:color w:val="000000"/>
                <w:sz w:val="14"/>
                <w:szCs w:val="16"/>
              </w:rPr>
              <w:t>Випробування III фази (зване SimpliciTB) БПМПЗ, орієнтоване на пацієнтів з лікарсько-чутливим ТБ або МР-ТБ, проводиться в даний час. Первинною кінцевою точкою лікування є зміна культури через 2 місяці, а вторинної кінцевої точкою - виліковування - через 6 місяців після завершення терапії. Попередня IІb фаза дослідження цієї схеми БПМПЗ показала майже 100% зміну культури протягом 2 місяців у пацієнтів з МР-ТБ. ZeNix, подальше випробування Nix-TB, досліджує нижчі дози і короткотривалі терміни дії лінезоліду всередині Nix-TB для мінімізації токсичності.</w:t>
            </w:r>
          </w:p>
        </w:tc>
      </w:tr>
    </w:tbl>
    <w:p w:rsidR="005225B5" w:rsidRPr="006263CF" w:rsidRDefault="005225B5" w:rsidP="006263CF">
      <w:pPr>
        <w:rPr>
          <w:rFonts w:asciiTheme="minorHAnsi" w:hAnsiTheme="minorHAnsi" w:cstheme="minorHAnsi"/>
          <w:sz w:val="18"/>
        </w:rPr>
        <w:sectPr w:rsidR="005225B5" w:rsidRPr="006263CF" w:rsidSect="00445738">
          <w:pgSz w:w="11904" w:h="16838"/>
          <w:pgMar w:top="1330" w:right="1320" w:bottom="57" w:left="1253" w:header="708" w:footer="708" w:gutter="0"/>
          <w:cols w:space="60"/>
          <w:noEndnote/>
        </w:sectPr>
      </w:pPr>
    </w:p>
    <w:p w:rsidR="005225B5" w:rsidRPr="006263CF" w:rsidRDefault="005225B5" w:rsidP="001E6B62">
      <w:pPr>
        <w:ind w:right="5"/>
        <w:jc w:val="both"/>
        <w:rPr>
          <w:rFonts w:asciiTheme="minorHAnsi" w:hAnsiTheme="minorHAnsi" w:cstheme="minorHAnsi"/>
          <w:sz w:val="18"/>
        </w:rPr>
      </w:pPr>
      <w:bookmarkStart w:id="37" w:name="bookmark36"/>
      <w:bookmarkEnd w:id="37"/>
      <w:r w:rsidRPr="006263CF">
        <w:rPr>
          <w:rFonts w:asciiTheme="minorHAnsi" w:hAnsiTheme="minorHAnsi" w:cstheme="minorHAnsi"/>
          <w:color w:val="000000"/>
          <w:szCs w:val="22"/>
        </w:rPr>
        <w:lastRenderedPageBreak/>
        <w:t>могли залишатися на бедаквіліні і претоманіді за умови, що вони отримували дозу 1200 мг на добу, принаймні перші 4 тижні поспіль, був негативний мазок мокротиння або мали тільки залишкові або мізерні залишки в аналізі, і реагували на лікування на основі клінічного моніторингу та спостереження.</w:t>
      </w:r>
      <w:r w:rsidRPr="006263CF">
        <w:rPr>
          <w:rFonts w:asciiTheme="minorHAnsi" w:hAnsiTheme="minorHAnsi" w:cstheme="minorHAnsi"/>
          <w:color w:val="000000"/>
          <w:szCs w:val="22"/>
          <w:vertAlign w:val="superscript"/>
        </w:rPr>
        <w:t>17</w:t>
      </w:r>
      <w:r w:rsidRPr="006263CF">
        <w:rPr>
          <w:rFonts w:asciiTheme="minorHAnsi" w:hAnsiTheme="minorHAnsi" w:cstheme="minorHAnsi"/>
          <w:color w:val="000000"/>
          <w:szCs w:val="22"/>
        </w:rPr>
        <w:t xml:space="preserve"> Пропущені дози лінезоліду не були розраховані під час дослідження Nix-TB, і зміни дози бедаквіліну і претоманіду не допускалися </w:t>
      </w:r>
      <w:r w:rsidRPr="006263CF">
        <w:rPr>
          <w:rFonts w:asciiTheme="minorHAnsi" w:hAnsiTheme="minorHAnsi" w:cstheme="minorHAnsi"/>
          <w:i/>
          <w:iCs/>
          <w:color w:val="000000"/>
          <w:szCs w:val="22"/>
        </w:rPr>
        <w:t>(1, 95)</w:t>
      </w:r>
      <w:r w:rsidRPr="006263CF">
        <w:rPr>
          <w:rFonts w:asciiTheme="minorHAnsi" w:hAnsiTheme="minorHAnsi" w:cstheme="minorHAnsi"/>
          <w:color w:val="000000"/>
          <w:szCs w:val="22"/>
        </w:rPr>
        <w:t>.</w:t>
      </w:r>
    </w:p>
    <w:p w:rsidR="005225B5" w:rsidRPr="006263CF" w:rsidRDefault="005225B5" w:rsidP="001E6B62">
      <w:pPr>
        <w:spacing w:before="144"/>
        <w:ind w:right="19"/>
        <w:jc w:val="both"/>
        <w:rPr>
          <w:rFonts w:asciiTheme="minorHAnsi" w:hAnsiTheme="minorHAnsi" w:cstheme="minorHAnsi"/>
          <w:sz w:val="18"/>
        </w:rPr>
      </w:pPr>
      <w:r w:rsidRPr="006263CF">
        <w:rPr>
          <w:rFonts w:asciiTheme="minorHAnsi" w:hAnsiTheme="minorHAnsi" w:cstheme="minorHAnsi"/>
          <w:color w:val="000000"/>
          <w:szCs w:val="22"/>
        </w:rPr>
        <w:t>З урахуванням досвіду використання лінезоліду в дослідженні Nix-TB, для схеми БПЛ можуть бути розглянуті наступні зміни дозування лінезоліду при лікуванні небажаних явищ:</w:t>
      </w:r>
    </w:p>
    <w:p w:rsidR="005225B5" w:rsidRPr="006263CF" w:rsidRDefault="005225B5" w:rsidP="001E6B62">
      <w:pPr>
        <w:numPr>
          <w:ilvl w:val="0"/>
          <w:numId w:val="9"/>
        </w:numPr>
        <w:spacing w:before="149"/>
        <w:ind w:left="284" w:hanging="284"/>
        <w:jc w:val="both"/>
        <w:rPr>
          <w:rFonts w:asciiTheme="minorHAnsi" w:eastAsia="Times New Roman" w:hAnsiTheme="minorHAnsi" w:cstheme="minorHAnsi"/>
          <w:color w:val="1F61AA"/>
          <w:szCs w:val="22"/>
        </w:rPr>
      </w:pPr>
      <w:r w:rsidRPr="006263CF">
        <w:rPr>
          <w:rFonts w:asciiTheme="minorHAnsi" w:hAnsiTheme="minorHAnsi" w:cstheme="minorHAnsi"/>
          <w:color w:val="000000"/>
          <w:szCs w:val="22"/>
        </w:rPr>
        <w:t>Лінезолід може бути тимчасово перерваний, або дозування можна знизити після закінчення 1-го місяця лікування.</w:t>
      </w:r>
    </w:p>
    <w:p w:rsidR="005225B5" w:rsidRPr="006263CF" w:rsidRDefault="005225B5" w:rsidP="001E6B62">
      <w:pPr>
        <w:numPr>
          <w:ilvl w:val="0"/>
          <w:numId w:val="9"/>
        </w:numPr>
        <w:ind w:left="284" w:hanging="284"/>
        <w:jc w:val="both"/>
        <w:rPr>
          <w:rFonts w:asciiTheme="minorHAnsi" w:eastAsia="Times New Roman" w:hAnsiTheme="minorHAnsi" w:cstheme="minorHAnsi"/>
          <w:color w:val="1F61AA"/>
          <w:szCs w:val="22"/>
        </w:rPr>
      </w:pPr>
      <w:r w:rsidRPr="006263CF">
        <w:rPr>
          <w:rFonts w:asciiTheme="minorHAnsi" w:hAnsiTheme="minorHAnsi" w:cstheme="minorHAnsi"/>
          <w:color w:val="000000"/>
          <w:szCs w:val="22"/>
        </w:rPr>
        <w:t>Доза лінезоліду може бути знижена з 1200 мг 1 раз в день до 600 мг або 300 мг 1 раз в день.</w:t>
      </w:r>
    </w:p>
    <w:p w:rsidR="005225B5" w:rsidRPr="006263CF" w:rsidRDefault="005225B5" w:rsidP="001E6B62">
      <w:pPr>
        <w:spacing w:before="144"/>
        <w:jc w:val="both"/>
        <w:rPr>
          <w:rFonts w:asciiTheme="minorHAnsi" w:hAnsiTheme="minorHAnsi" w:cstheme="minorHAnsi"/>
          <w:sz w:val="18"/>
        </w:rPr>
      </w:pPr>
      <w:r w:rsidRPr="006263CF">
        <w:rPr>
          <w:rFonts w:asciiTheme="minorHAnsi" w:hAnsiTheme="minorHAnsi" w:cstheme="minorHAnsi"/>
          <w:color w:val="000000"/>
          <w:szCs w:val="22"/>
        </w:rPr>
        <w:t>Схема лікування БПЛ призначається тривалістю на 6–9 місяців. Стандартна тривалість лікування - 6 місяців. Якщо культура мокротиння, взята після 4 місяців лікування, є позитивною, пацієнти можуть отримати додаткові 3 місяці лікування (всього 9 місяців). Повна схема лікування БПЛ може бути тимчасово перервана максимум на 35 днів поспіль. Будь-які пропущені дні будуть компенсовані шляхом продовження тривалості схеми на кількість пропущених днів, але не повинно перевищувати 35 днів.</w:t>
      </w:r>
    </w:p>
    <w:p w:rsidR="005225B5" w:rsidRPr="006263CF" w:rsidRDefault="005225B5" w:rsidP="006263CF">
      <w:pPr>
        <w:spacing w:before="283"/>
        <w:rPr>
          <w:rFonts w:asciiTheme="minorHAnsi" w:hAnsiTheme="minorHAnsi" w:cstheme="minorHAnsi"/>
          <w:sz w:val="18"/>
        </w:rPr>
      </w:pPr>
      <w:r w:rsidRPr="006263CF">
        <w:rPr>
          <w:rFonts w:asciiTheme="minorHAnsi" w:hAnsiTheme="minorHAnsi" w:cstheme="minorHAnsi"/>
          <w:b/>
          <w:bCs/>
          <w:color w:val="1F61AA"/>
          <w:sz w:val="32"/>
          <w:szCs w:val="36"/>
        </w:rPr>
        <w:t>7. 3 Ключові підгрупи</w:t>
      </w:r>
    </w:p>
    <w:p w:rsidR="005225B5" w:rsidRPr="006263CF" w:rsidRDefault="005225B5" w:rsidP="006263CF">
      <w:pPr>
        <w:spacing w:before="106"/>
        <w:ind w:right="5"/>
        <w:jc w:val="both"/>
        <w:rPr>
          <w:rFonts w:asciiTheme="minorHAnsi" w:hAnsiTheme="minorHAnsi" w:cstheme="minorHAnsi"/>
          <w:sz w:val="18"/>
        </w:rPr>
      </w:pPr>
      <w:r w:rsidRPr="006263CF">
        <w:rPr>
          <w:rFonts w:asciiTheme="minorHAnsi" w:hAnsiTheme="minorHAnsi" w:cstheme="minorHAnsi"/>
          <w:b/>
          <w:bCs/>
          <w:i/>
          <w:iCs/>
          <w:color w:val="000000"/>
          <w:szCs w:val="22"/>
        </w:rPr>
        <w:t xml:space="preserve">Діти. </w:t>
      </w:r>
      <w:r w:rsidRPr="006263CF">
        <w:rPr>
          <w:rFonts w:asciiTheme="minorHAnsi" w:hAnsiTheme="minorHAnsi" w:cstheme="minorHAnsi"/>
          <w:color w:val="000000"/>
          <w:szCs w:val="22"/>
        </w:rPr>
        <w:t>Діти (віком 0-13 років) були виключені з дослідження Nix-TB; тому не вдалося провести аналіз конкретно для цієї підгрупи пацієнтів. Рекомендується, щоб дітям, які страждають на МР/Риф-ТБ легень з додатковою стійкістю до фторхінолонів, приділялася така ж увага при застосуванні довгострокових схемах лікування, як і дорослим, з метою включення в них компонентів з більш досконалим профілем безпеки. В даний час бедаквілін рекомендується тільки для дітей віком від 6 років.</w:t>
      </w:r>
      <w:r w:rsidRPr="006263CF">
        <w:rPr>
          <w:rFonts w:asciiTheme="minorHAnsi" w:hAnsiTheme="minorHAnsi" w:cstheme="minorHAnsi"/>
          <w:color w:val="000000"/>
          <w:szCs w:val="22"/>
          <w:vertAlign w:val="superscript"/>
        </w:rPr>
        <w:t>18</w:t>
      </w:r>
      <w:r w:rsidRPr="006263CF">
        <w:rPr>
          <w:rFonts w:asciiTheme="minorHAnsi" w:hAnsiTheme="minorHAnsi" w:cstheme="minorHAnsi"/>
          <w:color w:val="000000"/>
          <w:szCs w:val="22"/>
        </w:rPr>
        <w:t>Додаткові дані про використання БПЛ у дітей, будуть використані, і це може бути особливістю ретельно спланованих і контрольованих оперативних досліджень або клінічних випробувань.</w:t>
      </w:r>
    </w:p>
    <w:p w:rsidR="005225B5" w:rsidRPr="006263CF" w:rsidRDefault="005225B5" w:rsidP="006263CF">
      <w:pPr>
        <w:spacing w:before="139"/>
        <w:ind w:right="5"/>
        <w:jc w:val="both"/>
        <w:rPr>
          <w:rFonts w:asciiTheme="minorHAnsi" w:hAnsiTheme="minorHAnsi" w:cstheme="minorHAnsi"/>
          <w:sz w:val="18"/>
        </w:rPr>
      </w:pPr>
      <w:r w:rsidRPr="006263CF">
        <w:rPr>
          <w:rFonts w:asciiTheme="minorHAnsi" w:hAnsiTheme="minorHAnsi" w:cstheme="minorHAnsi"/>
          <w:b/>
          <w:bCs/>
          <w:i/>
          <w:iCs/>
          <w:color w:val="000000"/>
          <w:szCs w:val="22"/>
        </w:rPr>
        <w:t xml:space="preserve">ЛЖВ. </w:t>
      </w:r>
      <w:r w:rsidRPr="006263CF">
        <w:rPr>
          <w:rFonts w:asciiTheme="minorHAnsi" w:hAnsiTheme="minorHAnsi" w:cstheme="minorHAnsi"/>
          <w:color w:val="000000"/>
          <w:szCs w:val="22"/>
        </w:rPr>
        <w:t>Люди, які живуть з ВІЛ (ЛЖВ) становили половину тих, хто брав участь в дослідженні Nix-TB. Проте, було неможливо виконати будь-які відрегульовані стратифіковані аналізи для ЛЖВ, через розмір вибірки. ЛЖВ мали право на участь в дослідженні Nix-TB, якщо у них кількість CD4 була більше 50 клітин/мл, і якщо вони використовували дозволені антиретровірусні препарати.</w:t>
      </w:r>
      <w:r w:rsidRPr="006263CF">
        <w:rPr>
          <w:rFonts w:asciiTheme="minorHAnsi" w:hAnsiTheme="minorHAnsi" w:cstheme="minorHAnsi"/>
          <w:color w:val="000000"/>
          <w:szCs w:val="22"/>
          <w:vertAlign w:val="superscript"/>
        </w:rPr>
        <w:t>19</w:t>
      </w:r>
      <w:r w:rsidRPr="006263CF">
        <w:rPr>
          <w:rFonts w:asciiTheme="minorHAnsi" w:hAnsiTheme="minorHAnsi" w:cstheme="minorHAnsi"/>
          <w:color w:val="000000"/>
          <w:szCs w:val="22"/>
        </w:rPr>
        <w:t xml:space="preserve"> В контексті оперативних досліджень лікарі або дослідники можуть розглянути і прийняти рішення про критерії прийнятності для набору, які можуть відрізнятися від дослідження Nix-TB щодо числа CD4. Важливо відзначити взаємодію лікарських засобів при комбінованому прийомі протитуберкульозних та ВІЛ-препаратів, в тому числі документально підтверджено взаємодію між бедаквіліном і ефавіренцом. Існує дві важливі взаємодії між антиретровірусними препаратами і бедаквіліном, також згаданих вище: ефавіренц індукує метаболізм бедаквіліну - його спільне застосування з бедаквіліном може привести до зниження впливу бедаквіліну і втрати активності, і тому не рекомендується для прийому; ритонавір може збільшити вплив бедаквіліну, що потенційно може підвищити ризик виникнення небажаних явищ, пов'язаних з бедаквіліном, тому слід уникатипоєднання бедаквіліну з ритонавіром або застосовувати його з обережністю (див. </w:t>
      </w:r>
      <w:r w:rsidRPr="006263CF">
        <w:rPr>
          <w:rFonts w:asciiTheme="minorHAnsi" w:hAnsiTheme="minorHAnsi" w:cstheme="minorHAnsi"/>
          <w:color w:val="1F61AA"/>
          <w:szCs w:val="22"/>
        </w:rPr>
        <w:t>Таблицю 6.2</w:t>
      </w:r>
      <w:r w:rsidRPr="006263CF">
        <w:rPr>
          <w:rFonts w:asciiTheme="minorHAnsi" w:hAnsiTheme="minorHAnsi" w:cstheme="minorHAnsi"/>
          <w:color w:val="000000"/>
          <w:szCs w:val="22"/>
        </w:rPr>
        <w:t xml:space="preserve">) </w:t>
      </w:r>
      <w:r w:rsidRPr="006263CF">
        <w:rPr>
          <w:rFonts w:asciiTheme="minorHAnsi" w:hAnsiTheme="minorHAnsi" w:cstheme="minorHAnsi"/>
          <w:i/>
          <w:iCs/>
          <w:color w:val="000000"/>
          <w:szCs w:val="22"/>
        </w:rPr>
        <w:t xml:space="preserve">(52-54). </w:t>
      </w:r>
      <w:r w:rsidRPr="006263CF">
        <w:rPr>
          <w:rFonts w:asciiTheme="minorHAnsi" w:hAnsiTheme="minorHAnsi" w:cstheme="minorHAnsi"/>
          <w:color w:val="000000"/>
          <w:szCs w:val="22"/>
        </w:rPr>
        <w:t xml:space="preserve">Схеми лікування антиретровірусної терапії повинні бути змінені, щоб уникнути застосування цих лікарських засобів для ВІЛ-позитивного пацієнта, що проходить лікування за схемою БПЛ. Ефавіренц також значно знижує вплив претоманідів; слід розглянути можливість використання альтернативного антиретровірусного препарату в разі його застосування </w:t>
      </w:r>
      <w:r w:rsidRPr="006263CF">
        <w:rPr>
          <w:rFonts w:asciiTheme="minorHAnsi" w:hAnsiTheme="minorHAnsi" w:cstheme="minorHAnsi"/>
          <w:i/>
          <w:iCs/>
          <w:color w:val="000000"/>
          <w:szCs w:val="22"/>
        </w:rPr>
        <w:t>(96)</w:t>
      </w:r>
      <w:r w:rsidRPr="006263CF">
        <w:rPr>
          <w:rFonts w:asciiTheme="minorHAnsi" w:hAnsiTheme="minorHAnsi" w:cstheme="minorHAnsi"/>
          <w:color w:val="000000"/>
          <w:szCs w:val="22"/>
        </w:rPr>
        <w:t>. Схеми лікування, які включають зидовудин повинні бути використані з особливою обережністю, бо і зидовудин і лінезолід можуть викликати токсичність периферичних нервів і як відомо, мають перехресну токсичність мієлосупресії.</w:t>
      </w:r>
    </w:p>
    <w:p w:rsidR="000344A4" w:rsidRDefault="000344A4" w:rsidP="000344A4">
      <w:pPr>
        <w:spacing w:before="307"/>
        <w:ind w:right="5"/>
        <w:jc w:val="both"/>
        <w:rPr>
          <w:rFonts w:asciiTheme="minorHAnsi" w:hAnsiTheme="minorHAnsi" w:cstheme="minorHAnsi"/>
          <w:color w:val="000000"/>
          <w:sz w:val="14"/>
          <w:szCs w:val="16"/>
          <w:vertAlign w:val="superscript"/>
        </w:rPr>
      </w:pPr>
      <w:r>
        <w:rPr>
          <w:rFonts w:asciiTheme="minorHAnsi" w:hAnsiTheme="minorHAnsi" w:cstheme="minorHAnsi"/>
          <w:color w:val="000000"/>
          <w:sz w:val="14"/>
          <w:szCs w:val="16"/>
          <w:u w:val="single"/>
          <w:vertAlign w:val="superscript"/>
        </w:rPr>
        <w:tab/>
      </w:r>
      <w:r>
        <w:rPr>
          <w:rFonts w:asciiTheme="minorHAnsi" w:hAnsiTheme="minorHAnsi" w:cstheme="minorHAnsi"/>
          <w:color w:val="000000"/>
          <w:sz w:val="14"/>
          <w:szCs w:val="16"/>
          <w:u w:val="single"/>
          <w:vertAlign w:val="superscript"/>
        </w:rPr>
        <w:tab/>
      </w:r>
      <w:r>
        <w:rPr>
          <w:rFonts w:asciiTheme="minorHAnsi" w:hAnsiTheme="minorHAnsi" w:cstheme="minorHAnsi"/>
          <w:color w:val="000000"/>
          <w:sz w:val="14"/>
          <w:szCs w:val="16"/>
          <w:u w:val="single"/>
          <w:vertAlign w:val="superscript"/>
        </w:rPr>
        <w:tab/>
      </w:r>
    </w:p>
    <w:p w:rsidR="005225B5" w:rsidRPr="006263CF" w:rsidRDefault="005225B5" w:rsidP="000344A4">
      <w:pPr>
        <w:tabs>
          <w:tab w:val="left" w:pos="221"/>
        </w:tabs>
        <w:ind w:left="221" w:right="5" w:hanging="221"/>
        <w:jc w:val="both"/>
        <w:rPr>
          <w:rFonts w:asciiTheme="minorHAnsi" w:hAnsiTheme="minorHAnsi" w:cstheme="minorHAnsi"/>
          <w:sz w:val="18"/>
        </w:rPr>
      </w:pPr>
      <w:r w:rsidRPr="006263CF">
        <w:rPr>
          <w:rFonts w:asciiTheme="minorHAnsi" w:hAnsiTheme="minorHAnsi" w:cstheme="minorHAnsi"/>
          <w:color w:val="000000"/>
          <w:sz w:val="14"/>
          <w:szCs w:val="16"/>
          <w:vertAlign w:val="superscript"/>
        </w:rPr>
        <w:t>17</w:t>
      </w:r>
      <w:r w:rsidRPr="006263CF">
        <w:rPr>
          <w:rFonts w:asciiTheme="minorHAnsi" w:hAnsiTheme="minorHAnsi" w:cstheme="minorHAnsi"/>
          <w:color w:val="000000"/>
          <w:sz w:val="14"/>
          <w:szCs w:val="16"/>
        </w:rPr>
        <w:t xml:space="preserve"> </w:t>
      </w:r>
      <w:r w:rsidR="001E6B62">
        <w:rPr>
          <w:rFonts w:asciiTheme="minorHAnsi" w:hAnsiTheme="minorHAnsi" w:cstheme="minorHAnsi"/>
          <w:color w:val="000000"/>
          <w:sz w:val="14"/>
          <w:szCs w:val="16"/>
        </w:rPr>
        <w:tab/>
      </w:r>
      <w:r w:rsidRPr="006263CF">
        <w:rPr>
          <w:rFonts w:asciiTheme="minorHAnsi" w:hAnsiTheme="minorHAnsi" w:cstheme="minorHAnsi"/>
          <w:color w:val="000000"/>
          <w:sz w:val="14"/>
          <w:szCs w:val="16"/>
        </w:rPr>
        <w:t>В цілому, 18 (17,3%) пацієнтів у дослідженні Nix-TB (n = 109) завершили повний курс лінезоліду в дозі 1200 мг, 38 (36,5%) - у дозі 600 мг, 16 (15,4%) - у дозі 300 мг і 32 (30,7%) достроково припинили прийом лінезоліду в зв'язку з небажаними явищами. Проводяться додаткові дослідження для оцінки оптимального дозування і тривалості застосування лінезоліду для лікування лікарсько-стійкого туберкульозу.</w:t>
      </w:r>
    </w:p>
    <w:p w:rsidR="005225B5" w:rsidRPr="006263CF" w:rsidRDefault="005225B5" w:rsidP="006263CF">
      <w:pPr>
        <w:tabs>
          <w:tab w:val="left" w:pos="221"/>
        </w:tabs>
        <w:spacing w:before="38"/>
        <w:ind w:left="221" w:right="10" w:hanging="221"/>
        <w:jc w:val="both"/>
        <w:rPr>
          <w:rFonts w:asciiTheme="minorHAnsi" w:hAnsiTheme="minorHAnsi" w:cstheme="minorHAnsi"/>
          <w:sz w:val="18"/>
        </w:rPr>
      </w:pPr>
      <w:r w:rsidRPr="006263CF">
        <w:rPr>
          <w:rFonts w:asciiTheme="minorHAnsi" w:hAnsiTheme="minorHAnsi" w:cstheme="minorHAnsi"/>
          <w:color w:val="000000"/>
          <w:sz w:val="14"/>
          <w:szCs w:val="16"/>
          <w:vertAlign w:val="superscript"/>
        </w:rPr>
        <w:t>18</w:t>
      </w:r>
      <w:r w:rsidRPr="006263CF">
        <w:rPr>
          <w:rFonts w:asciiTheme="minorHAnsi" w:hAnsiTheme="minorHAnsi" w:cstheme="minorHAnsi"/>
          <w:color w:val="000000"/>
          <w:sz w:val="14"/>
          <w:szCs w:val="16"/>
        </w:rPr>
        <w:tab/>
        <w:t xml:space="preserve">На підставі результатів рандомізованого контрольованого дослідження (РКД), здійснених виробником, управління з санітарного нагляду за якістю харчових продуктів і лікарських засобів США продовжило термін дії дозволу на використання бедаквіліну для дітей у віці від 5 років і старше </w:t>
      </w:r>
      <w:r w:rsidRPr="006263CF">
        <w:rPr>
          <w:rFonts w:asciiTheme="minorHAnsi" w:hAnsiTheme="minorHAnsi" w:cstheme="minorHAnsi"/>
          <w:i/>
          <w:iCs/>
          <w:color w:val="000000"/>
          <w:sz w:val="14"/>
          <w:szCs w:val="16"/>
        </w:rPr>
        <w:t>(32)</w:t>
      </w:r>
      <w:r w:rsidRPr="006263CF">
        <w:rPr>
          <w:rFonts w:asciiTheme="minorHAnsi" w:hAnsiTheme="minorHAnsi" w:cstheme="minorHAnsi"/>
          <w:color w:val="000000"/>
          <w:sz w:val="14"/>
          <w:szCs w:val="16"/>
        </w:rPr>
        <w:t>. Однак ці дані ще не були оцінені ВООЗ.</w:t>
      </w:r>
    </w:p>
    <w:p w:rsidR="005225B5" w:rsidRPr="006263CF" w:rsidRDefault="005225B5" w:rsidP="006263CF">
      <w:pPr>
        <w:tabs>
          <w:tab w:val="left" w:pos="221"/>
        </w:tabs>
        <w:spacing w:before="38"/>
        <w:ind w:left="221" w:right="5" w:hanging="221"/>
        <w:jc w:val="both"/>
        <w:rPr>
          <w:rFonts w:asciiTheme="minorHAnsi" w:hAnsiTheme="minorHAnsi" w:cstheme="minorHAnsi"/>
          <w:sz w:val="18"/>
        </w:rPr>
      </w:pPr>
      <w:r w:rsidRPr="006263CF">
        <w:rPr>
          <w:rFonts w:asciiTheme="minorHAnsi" w:hAnsiTheme="minorHAnsi" w:cstheme="minorHAnsi"/>
          <w:color w:val="000000"/>
          <w:sz w:val="14"/>
          <w:szCs w:val="16"/>
          <w:vertAlign w:val="superscript"/>
        </w:rPr>
        <w:t>19</w:t>
      </w:r>
      <w:r w:rsidRPr="006263CF">
        <w:rPr>
          <w:rFonts w:asciiTheme="minorHAnsi" w:hAnsiTheme="minorHAnsi" w:cstheme="minorHAnsi"/>
          <w:color w:val="000000"/>
          <w:sz w:val="14"/>
          <w:szCs w:val="16"/>
        </w:rPr>
        <w:tab/>
        <w:t>Це дозволені антиретровірусні препарати: невірапін в поєднанні з будь-якими нуклеозидними інгібіторами зворотної транскриптази (НІЗТ), лопінавір/ритонавір в поєднанні з будь-якими НІЗТ; тенофовір/ламівудин/абакавір (при нормальній функції нирок); потрійні НІЗТ, що включає зидовудин, ламівудин та абакавір (при цьому відзначається підвищений ризик впливу токсичності на периферичні нерви зидовудином і лінезолідом), і ралтегравіром в поєднанні з НІЗТ.</w:t>
      </w:r>
    </w:p>
    <w:p w:rsidR="005225B5" w:rsidRPr="006263CF" w:rsidRDefault="005225B5" w:rsidP="006263CF">
      <w:pPr>
        <w:tabs>
          <w:tab w:val="left" w:pos="221"/>
        </w:tabs>
        <w:spacing w:before="38"/>
        <w:ind w:left="221" w:right="5" w:hanging="221"/>
        <w:jc w:val="both"/>
        <w:rPr>
          <w:rFonts w:asciiTheme="minorHAnsi" w:hAnsiTheme="minorHAnsi" w:cstheme="minorHAnsi"/>
          <w:sz w:val="18"/>
        </w:rPr>
        <w:sectPr w:rsidR="005225B5" w:rsidRPr="006263CF">
          <w:pgSz w:w="11904" w:h="16838"/>
          <w:pgMar w:top="1349" w:right="1411" w:bottom="1354" w:left="1416" w:header="708" w:footer="708" w:gutter="0"/>
          <w:cols w:space="60"/>
          <w:noEndnote/>
        </w:sectPr>
      </w:pPr>
    </w:p>
    <w:p w:rsidR="005225B5" w:rsidRPr="006263CF" w:rsidRDefault="005225B5" w:rsidP="006263CF">
      <w:pPr>
        <w:ind w:right="5"/>
        <w:jc w:val="both"/>
        <w:rPr>
          <w:rFonts w:asciiTheme="minorHAnsi" w:hAnsiTheme="minorHAnsi" w:cstheme="minorHAnsi"/>
          <w:sz w:val="18"/>
        </w:rPr>
      </w:pPr>
      <w:bookmarkStart w:id="38" w:name="bookmark37"/>
      <w:bookmarkEnd w:id="38"/>
      <w:r w:rsidRPr="001E6B62">
        <w:rPr>
          <w:rFonts w:asciiTheme="minorHAnsi" w:hAnsiTheme="minorHAnsi" w:cstheme="minorHAnsi"/>
        </w:rPr>
        <w:lastRenderedPageBreak/>
        <w:t>Вагітні та жінки-годувальниці були виключені з дослідження Nix-TB; тому аналіз, специфічний для цієї підгрупи пацієнтів, не міг бути виконаний, а безпечність схеми лікування БПЛ у вагітних і жінок-годувальниць не була встановлена.</w:t>
      </w:r>
      <w:r w:rsidRPr="001E6B62">
        <w:rPr>
          <w:rFonts w:asciiTheme="minorHAnsi" w:hAnsiTheme="minorHAnsi" w:cstheme="minorHAnsi"/>
          <w:color w:val="000000"/>
        </w:rPr>
        <w:t xml:space="preserve"> У таких випадках рекомендується персоналізувати довгострокову схему лікування, включивши в неї компоненти з найкращим профілем безпеки. Безпечність прийому претоманідів у вагітних і жінок-годувальниць не встановлена. Було показано, що використання бедаквіліну у період вагітності пов'язано з дітьми, народженими з більш низькою середньою вагою при народженні, ніж діти, матері</w:t>
      </w:r>
      <w:r w:rsidRPr="006263CF">
        <w:rPr>
          <w:rFonts w:asciiTheme="minorHAnsi" w:hAnsiTheme="minorHAnsi" w:cstheme="minorHAnsi"/>
          <w:color w:val="000000"/>
          <w:szCs w:val="22"/>
        </w:rPr>
        <w:t xml:space="preserve"> яких не приймали бедаквілін. Грудне вигодовування не рекомендується жінкам, які приймають БПЛ.</w:t>
      </w:r>
    </w:p>
    <w:p w:rsidR="005225B5" w:rsidRPr="006263CF" w:rsidRDefault="005225B5" w:rsidP="006263CF">
      <w:pPr>
        <w:spacing w:before="139"/>
        <w:jc w:val="both"/>
        <w:rPr>
          <w:rFonts w:asciiTheme="minorHAnsi" w:hAnsiTheme="minorHAnsi" w:cstheme="minorHAnsi"/>
          <w:sz w:val="18"/>
        </w:rPr>
      </w:pPr>
      <w:r w:rsidRPr="006263CF">
        <w:rPr>
          <w:rFonts w:asciiTheme="minorHAnsi" w:hAnsiTheme="minorHAnsi" w:cstheme="minorHAnsi"/>
          <w:b/>
          <w:bCs/>
          <w:i/>
          <w:iCs/>
          <w:color w:val="000000"/>
          <w:szCs w:val="22"/>
        </w:rPr>
        <w:t xml:space="preserve">Позалегеневий туберкульоз. </w:t>
      </w:r>
      <w:r w:rsidRPr="006263CF">
        <w:rPr>
          <w:rFonts w:asciiTheme="minorHAnsi" w:hAnsiTheme="minorHAnsi" w:cstheme="minorHAnsi"/>
          <w:color w:val="000000"/>
          <w:szCs w:val="22"/>
        </w:rPr>
        <w:t>Пацієнти з позалегеневим туберкульозом були виключені з дослідження Nix-TB. Тому рекомендації ВООЗ по довгостроковим схемами лікування МР-ТБ застосовні до пацієнтів з позалегеневими захворюваннями, в тому числі з туберкульозним менінгітом. Наявно мало даних про проникнення бедаквіліну або претоманіду в ЦНС.</w:t>
      </w:r>
    </w:p>
    <w:p w:rsidR="005225B5" w:rsidRPr="006263CF" w:rsidRDefault="005225B5" w:rsidP="006263CF">
      <w:pPr>
        <w:spacing w:before="144"/>
        <w:jc w:val="both"/>
        <w:rPr>
          <w:rFonts w:asciiTheme="minorHAnsi" w:hAnsiTheme="minorHAnsi" w:cstheme="minorHAnsi"/>
          <w:sz w:val="18"/>
        </w:rPr>
      </w:pPr>
      <w:r w:rsidRPr="006263CF">
        <w:rPr>
          <w:rFonts w:asciiTheme="minorHAnsi" w:hAnsiTheme="minorHAnsi" w:cstheme="minorHAnsi"/>
          <w:b/>
          <w:bCs/>
          <w:i/>
          <w:iCs/>
          <w:color w:val="000000"/>
          <w:szCs w:val="22"/>
        </w:rPr>
        <w:t xml:space="preserve">Пацієнти з дуже обмеженими можливостями лікування. </w:t>
      </w:r>
      <w:r w:rsidRPr="006263CF">
        <w:rPr>
          <w:rFonts w:asciiTheme="minorHAnsi" w:hAnsiTheme="minorHAnsi" w:cstheme="minorHAnsi"/>
          <w:color w:val="000000"/>
          <w:szCs w:val="22"/>
        </w:rPr>
        <w:t>У деяких випадках пацієнти матимуть широку лікарську стійкість, що може утруднити (або зробити неможливою) побудову схеми лікування, заснованої на існуючих рекомендаціях. У таких ситуаціях життя пацієнта може опинитися під загрозою. Тому для окремих пацієнтів, для яких неможливо розробити ефективну схему лікування на основі існуючих рекомендацій, схема БПЛ може розглядатися як крайній захід відповідно до переважаючих етичних стандартів.</w:t>
      </w:r>
    </w:p>
    <w:p w:rsidR="005225B5" w:rsidRPr="006263CF" w:rsidRDefault="005225B5" w:rsidP="006263CF">
      <w:pPr>
        <w:spacing w:before="278"/>
        <w:rPr>
          <w:rFonts w:asciiTheme="minorHAnsi" w:hAnsiTheme="minorHAnsi" w:cstheme="minorHAnsi"/>
          <w:sz w:val="18"/>
        </w:rPr>
      </w:pPr>
      <w:r w:rsidRPr="006263CF">
        <w:rPr>
          <w:rFonts w:asciiTheme="minorHAnsi" w:hAnsiTheme="minorHAnsi" w:cstheme="minorHAnsi"/>
          <w:b/>
          <w:bCs/>
          <w:color w:val="1F61AA"/>
          <w:sz w:val="36"/>
          <w:szCs w:val="38"/>
        </w:rPr>
        <w:t>7. 4 Міркування щодо реалізації</w:t>
      </w:r>
    </w:p>
    <w:p w:rsidR="005225B5" w:rsidRPr="006263CF" w:rsidRDefault="005225B5" w:rsidP="006263CF">
      <w:pPr>
        <w:spacing w:before="110"/>
        <w:jc w:val="both"/>
        <w:rPr>
          <w:rFonts w:asciiTheme="minorHAnsi" w:hAnsiTheme="minorHAnsi" w:cstheme="minorHAnsi"/>
          <w:sz w:val="18"/>
        </w:rPr>
      </w:pPr>
      <w:r w:rsidRPr="006263CF">
        <w:rPr>
          <w:rFonts w:asciiTheme="minorHAnsi" w:hAnsiTheme="minorHAnsi" w:cstheme="minorHAnsi"/>
          <w:color w:val="000000"/>
          <w:szCs w:val="22"/>
        </w:rPr>
        <w:t>Введення схеми БПЛ має здійснюватися тільки в умовах проведення оперативних досліджень, з огляду на обмеженість даних про використання БПЛ, а також згадані вище побоювання. В даний час цю схему лікування, не слід розглядати для використання в програмах у всьому світі до тих пір, поки не будуть отримані додаткові дані про ефективність і безпечність, незважаючи на багатообіцяючі показники успішності лікування, відмічені в дослідженні Nix-TB. Оперативне дослідження призначене для отримання цих доказів. Впровадження схеми лікування БПЛ в контексті оперативних досліджень передбачає наступне:</w:t>
      </w:r>
    </w:p>
    <w:p w:rsidR="005225B5" w:rsidRPr="006263CF" w:rsidRDefault="005225B5" w:rsidP="001E6B62">
      <w:pPr>
        <w:numPr>
          <w:ilvl w:val="0"/>
          <w:numId w:val="9"/>
        </w:numPr>
        <w:spacing w:before="149"/>
        <w:ind w:left="240" w:hanging="240"/>
        <w:jc w:val="both"/>
        <w:rPr>
          <w:rFonts w:asciiTheme="minorHAnsi" w:eastAsia="Times New Roman" w:hAnsiTheme="minorHAnsi" w:cstheme="minorHAnsi"/>
          <w:color w:val="1F61AA"/>
          <w:szCs w:val="22"/>
        </w:rPr>
      </w:pPr>
      <w:r w:rsidRPr="006263CF">
        <w:rPr>
          <w:rFonts w:asciiTheme="minorHAnsi" w:hAnsiTheme="minorHAnsi" w:cstheme="minorHAnsi"/>
          <w:color w:val="000000"/>
          <w:szCs w:val="22"/>
        </w:rPr>
        <w:t>необхідно розробити протокол дослідження і представити його на розгляд національній раді з етики або будь-якому іншому комітету з затвердження етики;</w:t>
      </w:r>
    </w:p>
    <w:p w:rsidR="005225B5" w:rsidRPr="006263CF" w:rsidRDefault="005225B5" w:rsidP="001E6B62">
      <w:pPr>
        <w:numPr>
          <w:ilvl w:val="0"/>
          <w:numId w:val="9"/>
        </w:numPr>
        <w:ind w:left="240" w:hanging="240"/>
        <w:jc w:val="both"/>
        <w:rPr>
          <w:rFonts w:asciiTheme="minorHAnsi" w:eastAsia="Times New Roman" w:hAnsiTheme="minorHAnsi" w:cstheme="minorHAnsi"/>
          <w:color w:val="1F61AA"/>
          <w:szCs w:val="22"/>
        </w:rPr>
      </w:pPr>
      <w:r w:rsidRPr="006263CF">
        <w:rPr>
          <w:rFonts w:asciiTheme="minorHAnsi" w:hAnsiTheme="minorHAnsi" w:cstheme="minorHAnsi"/>
          <w:color w:val="000000"/>
          <w:szCs w:val="22"/>
        </w:rPr>
        <w:t>Існують наперед визначені критерії включення і виключення;</w:t>
      </w:r>
    </w:p>
    <w:p w:rsidR="005225B5" w:rsidRPr="006263CF" w:rsidRDefault="005225B5" w:rsidP="001E6B62">
      <w:pPr>
        <w:numPr>
          <w:ilvl w:val="0"/>
          <w:numId w:val="9"/>
        </w:numPr>
        <w:ind w:left="240" w:hanging="240"/>
        <w:jc w:val="both"/>
        <w:rPr>
          <w:rFonts w:asciiTheme="minorHAnsi" w:eastAsia="Times New Roman" w:hAnsiTheme="minorHAnsi" w:cstheme="minorHAnsi"/>
          <w:color w:val="1F61AA"/>
          <w:szCs w:val="22"/>
        </w:rPr>
      </w:pPr>
      <w:r w:rsidRPr="006263CF">
        <w:rPr>
          <w:rFonts w:asciiTheme="minorHAnsi" w:hAnsiTheme="minorHAnsi" w:cstheme="minorHAnsi"/>
          <w:color w:val="000000"/>
          <w:szCs w:val="22"/>
        </w:rPr>
        <w:t>є відповідний графік моніторингу безпеки та звітності (включаючи систему активного моніторингу та управління безпекою застосування протитуберкульозних препаратів):</w:t>
      </w:r>
    </w:p>
    <w:p w:rsidR="005225B5" w:rsidRPr="006263CF" w:rsidRDefault="005225B5" w:rsidP="001E6B62">
      <w:pPr>
        <w:numPr>
          <w:ilvl w:val="0"/>
          <w:numId w:val="9"/>
        </w:numPr>
        <w:ind w:left="240" w:hanging="240"/>
        <w:jc w:val="both"/>
        <w:rPr>
          <w:rFonts w:asciiTheme="minorHAnsi" w:eastAsia="Times New Roman" w:hAnsiTheme="minorHAnsi" w:cstheme="minorHAnsi"/>
          <w:color w:val="1F61AA"/>
          <w:szCs w:val="22"/>
        </w:rPr>
      </w:pPr>
      <w:r w:rsidRPr="006263CF">
        <w:rPr>
          <w:rFonts w:asciiTheme="minorHAnsi" w:hAnsiTheme="minorHAnsi" w:cstheme="minorHAnsi"/>
          <w:color w:val="000000"/>
          <w:szCs w:val="22"/>
        </w:rPr>
        <w:t>Існує заздалегідь встановлений графік клінічного і мікробіологічного моніторингу, який переважно включає подальше спостереження після завершення лікування;</w:t>
      </w:r>
    </w:p>
    <w:p w:rsidR="005225B5" w:rsidRPr="006263CF" w:rsidRDefault="005225B5" w:rsidP="001E6B62">
      <w:pPr>
        <w:numPr>
          <w:ilvl w:val="0"/>
          <w:numId w:val="9"/>
        </w:numPr>
        <w:ind w:left="240" w:hanging="240"/>
        <w:jc w:val="both"/>
        <w:rPr>
          <w:rFonts w:asciiTheme="minorHAnsi" w:eastAsia="Times New Roman" w:hAnsiTheme="minorHAnsi" w:cstheme="minorHAnsi"/>
          <w:color w:val="1F61AA"/>
          <w:szCs w:val="22"/>
        </w:rPr>
      </w:pPr>
      <w:r w:rsidRPr="006263CF">
        <w:rPr>
          <w:rFonts w:asciiTheme="minorHAnsi" w:hAnsiTheme="minorHAnsi" w:cstheme="minorHAnsi"/>
          <w:color w:val="000000"/>
          <w:szCs w:val="22"/>
        </w:rPr>
        <w:t>Необхідно отримати індивідуальну інформовану згоду пацієнта;</w:t>
      </w:r>
    </w:p>
    <w:p w:rsidR="005225B5" w:rsidRPr="006263CF" w:rsidRDefault="005225B5" w:rsidP="001E6B62">
      <w:pPr>
        <w:numPr>
          <w:ilvl w:val="0"/>
          <w:numId w:val="9"/>
        </w:numPr>
        <w:ind w:left="240" w:hanging="240"/>
        <w:jc w:val="both"/>
        <w:rPr>
          <w:rFonts w:asciiTheme="minorHAnsi" w:eastAsia="Times New Roman" w:hAnsiTheme="minorHAnsi" w:cstheme="minorHAnsi"/>
          <w:color w:val="1F61AA"/>
          <w:szCs w:val="22"/>
        </w:rPr>
      </w:pPr>
      <w:r w:rsidRPr="006263CF">
        <w:rPr>
          <w:rFonts w:asciiTheme="minorHAnsi" w:hAnsiTheme="minorHAnsi" w:cstheme="minorHAnsi"/>
          <w:color w:val="000000"/>
          <w:szCs w:val="22"/>
        </w:rPr>
        <w:t>Надати підтримку пацієнтам; і</w:t>
      </w:r>
    </w:p>
    <w:p w:rsidR="005225B5" w:rsidRPr="006263CF" w:rsidRDefault="005225B5" w:rsidP="001E6B62">
      <w:pPr>
        <w:numPr>
          <w:ilvl w:val="0"/>
          <w:numId w:val="9"/>
        </w:numPr>
        <w:ind w:left="240" w:hanging="240"/>
        <w:jc w:val="both"/>
        <w:rPr>
          <w:rFonts w:asciiTheme="minorHAnsi" w:eastAsia="Times New Roman" w:hAnsiTheme="minorHAnsi" w:cstheme="minorHAnsi"/>
          <w:color w:val="1F61AA"/>
          <w:szCs w:val="22"/>
        </w:rPr>
      </w:pPr>
      <w:r w:rsidRPr="006263CF">
        <w:rPr>
          <w:rFonts w:asciiTheme="minorHAnsi" w:hAnsiTheme="minorHAnsi" w:cstheme="minorHAnsi"/>
          <w:color w:val="000000"/>
          <w:szCs w:val="22"/>
        </w:rPr>
        <w:t>використовувати стандартизовану систему звітності та обліку, в тому числі в разі небажаних явищ.</w:t>
      </w:r>
    </w:p>
    <w:p w:rsidR="005225B5" w:rsidRPr="006263CF" w:rsidRDefault="005225B5" w:rsidP="006263CF">
      <w:pPr>
        <w:spacing w:before="144"/>
        <w:jc w:val="both"/>
        <w:rPr>
          <w:rFonts w:asciiTheme="minorHAnsi" w:hAnsiTheme="minorHAnsi" w:cstheme="minorHAnsi"/>
          <w:sz w:val="18"/>
        </w:rPr>
      </w:pPr>
      <w:r w:rsidRPr="006263CF">
        <w:rPr>
          <w:rFonts w:asciiTheme="minorHAnsi" w:hAnsiTheme="minorHAnsi" w:cstheme="minorHAnsi"/>
          <w:color w:val="000000"/>
          <w:szCs w:val="22"/>
        </w:rPr>
        <w:t>Детальна інформація про загальний протокол оперативних досліджень, збір даних і інших аспектів, які можуть бути адаптовані для оперативних досліджень БПЛ, містяться в дослідному пакеті ShORRT, розробленому ВООЗ і TDR (36).</w:t>
      </w:r>
    </w:p>
    <w:p w:rsidR="005225B5" w:rsidRPr="006263CF" w:rsidRDefault="005225B5" w:rsidP="006263CF">
      <w:pPr>
        <w:spacing w:before="144"/>
        <w:jc w:val="both"/>
        <w:rPr>
          <w:rFonts w:asciiTheme="minorHAnsi" w:hAnsiTheme="minorHAnsi" w:cstheme="minorHAnsi"/>
          <w:sz w:val="18"/>
        </w:rPr>
      </w:pPr>
      <w:r w:rsidRPr="006263CF">
        <w:rPr>
          <w:rFonts w:asciiTheme="minorHAnsi" w:hAnsiTheme="minorHAnsi" w:cstheme="minorHAnsi"/>
          <w:color w:val="000000"/>
          <w:szCs w:val="22"/>
        </w:rPr>
        <w:t>Пацієнти повинні бути повністю проінформовані про схему лікування, і особливо про те, що вона включає в себе новий компонент, претоманід. Інформована згода кожного пацієнта необхідна, однак вона не повинна бути занадто обтяжливою для пацієнтів - форми згоди повинні бути адаптовані, відповідати контексту і бути впорядкованими, так щоб пацієнтам було легко їх зрозуміти. В рамках процесу отримання інформованої згоди пацієнти повинні бути поінформовані про репродуктивні токсичні властивості, які спостерігаються в ході досліджень на тваринах, і про те, що потенційний вплив на чоловічу фертильність людини не було належним чином оцінено. Медикаментозне керівництво доступно як частина товарної етикетки претоманіду і може бути використано під час інформування пацієнтів. У будь-якому оперативному дослідженні, що зачіпають схему лікування БПЛ, повинні застосовуватися принципи належної клінічної практики. Необхідно докласти всіх зусиль, щоб ретельно відібрати відповідних пацієнтів, а потім, як тільки пацієнти будуть зараховані на курс лікування, забезпечити ефективну підтримку пацієнтів, для того щоб забезпечити прихильність до лікування і ретельне спостереження за небажаними явищами і реакцією на лікування.</w:t>
      </w:r>
    </w:p>
    <w:p w:rsidR="005225B5" w:rsidRPr="006263CF" w:rsidRDefault="005225B5" w:rsidP="006263CF">
      <w:pPr>
        <w:spacing w:before="144"/>
        <w:jc w:val="both"/>
        <w:rPr>
          <w:rFonts w:asciiTheme="minorHAnsi" w:hAnsiTheme="minorHAnsi" w:cstheme="minorHAnsi"/>
          <w:sz w:val="18"/>
        </w:rPr>
        <w:sectPr w:rsidR="005225B5" w:rsidRPr="006263CF" w:rsidSect="001E6B62">
          <w:pgSz w:w="11904" w:h="16838"/>
          <w:pgMar w:top="1344" w:right="1416" w:bottom="426" w:left="1416" w:header="708" w:footer="708" w:gutter="0"/>
          <w:cols w:space="60"/>
          <w:noEndnote/>
        </w:sectPr>
      </w:pPr>
    </w:p>
    <w:p w:rsidR="005225B5" w:rsidRPr="001E6B62" w:rsidRDefault="005225B5" w:rsidP="006263CF">
      <w:pPr>
        <w:ind w:right="5"/>
        <w:jc w:val="both"/>
        <w:rPr>
          <w:rFonts w:asciiTheme="minorHAnsi" w:hAnsiTheme="minorHAnsi" w:cstheme="minorHAnsi"/>
        </w:rPr>
      </w:pPr>
      <w:bookmarkStart w:id="39" w:name="bookmark38"/>
      <w:r w:rsidRPr="001E6B62">
        <w:rPr>
          <w:rFonts w:asciiTheme="minorHAnsi" w:hAnsiTheme="minorHAnsi" w:cstheme="minorHAnsi"/>
        </w:rPr>
        <w:lastRenderedPageBreak/>
        <w:t>Т</w:t>
      </w:r>
      <w:bookmarkEnd w:id="39"/>
      <w:r w:rsidRPr="001E6B62">
        <w:rPr>
          <w:rFonts w:asciiTheme="minorHAnsi" w:hAnsiTheme="minorHAnsi" w:cstheme="minorHAnsi"/>
        </w:rPr>
        <w:t>МЧ є важливим аспектом здійснення, який потребуватиме подальшого вдосконалення в багатьох країнах з урахуванням зростаючого потенційного використання бедаквіліну і лінезоліду (навіть при довгострокових схемах лікування МР/Риф-ТБ) і включення нових лікарських препаратів, таких як претоманід, в схеми лікування МР-ТБ.</w:t>
      </w:r>
      <w:r w:rsidRPr="001E6B62">
        <w:rPr>
          <w:rFonts w:asciiTheme="minorHAnsi" w:hAnsiTheme="minorHAnsi" w:cstheme="minorHAnsi"/>
          <w:color w:val="000000"/>
        </w:rPr>
        <w:t xml:space="preserve"> Базове ТМЧ підтвердить право на схему лікування БПЛ; тому створення і зміцнення служб ТМЧ буде важливим фактором реалізації. Для пацієнтів з підтвердженим МР/Риф-ТБ аналіз MTBDRsl вважається початковим тестом, краще культурального і фенотипового ТМЧ, для виявлення стійкості до фторхінолонів і, при необхідності, до ін'єкційних лікарських засобів другого ряду </w:t>
      </w:r>
      <w:r w:rsidRPr="001E6B62">
        <w:rPr>
          <w:rFonts w:asciiTheme="minorHAnsi" w:hAnsiTheme="minorHAnsi" w:cstheme="minorHAnsi"/>
          <w:i/>
          <w:iCs/>
          <w:color w:val="000000"/>
        </w:rPr>
        <w:t>(94)</w:t>
      </w:r>
      <w:r w:rsidRPr="001E6B62">
        <w:rPr>
          <w:rFonts w:asciiTheme="minorHAnsi" w:hAnsiTheme="minorHAnsi" w:cstheme="minorHAnsi"/>
          <w:color w:val="000000"/>
        </w:rPr>
        <w:t xml:space="preserve">. Якщо ТМЧ доступний для бедаквіліну або лінезоліду, дуже бажано, щоб це також виконувалося на вихідному рівні. ТМЧ для претоманіду знаходиться в стадії розробки. В умовах, коли можливості для проведення лабораторних досліджень ТМЧ з фторхінолонами поки відсутні, буде складно проводити практичні дослідження БПЛ. Пацієнти зі штамами, стійкими до будь-якого з лікарських препаратів, які використовуються у схемі БПЛ, повинні почати довгострокову схему лікування МР-ТБ. На додаток до цього, оскільки доступ до ТМЧ повинен бути поліпшений для всіх вхідних в схему БПЛ лікарських препаратів, необхідно мати в наявності медикаментозні порошки і дані про розподіл МІК всіх видів </w:t>
      </w:r>
      <w:r w:rsidRPr="001E6B62">
        <w:rPr>
          <w:rFonts w:asciiTheme="minorHAnsi" w:hAnsiTheme="minorHAnsi" w:cstheme="minorHAnsi"/>
          <w:i/>
          <w:iCs/>
          <w:color w:val="000000"/>
        </w:rPr>
        <w:t>M. tuberculosis</w:t>
      </w:r>
      <w:r w:rsidRPr="001E6B62">
        <w:rPr>
          <w:rFonts w:asciiTheme="minorHAnsi" w:hAnsiTheme="minorHAnsi" w:cstheme="minorHAnsi"/>
          <w:color w:val="000000"/>
        </w:rPr>
        <w:t>, які поширені по всьому світу.</w:t>
      </w:r>
    </w:p>
    <w:p w:rsidR="005225B5" w:rsidRPr="001E6B62" w:rsidRDefault="005225B5" w:rsidP="006263CF">
      <w:pPr>
        <w:spacing w:before="144"/>
        <w:ind w:right="5"/>
        <w:jc w:val="both"/>
        <w:rPr>
          <w:rFonts w:asciiTheme="minorHAnsi" w:hAnsiTheme="minorHAnsi" w:cstheme="minorHAnsi"/>
        </w:rPr>
      </w:pPr>
      <w:r w:rsidRPr="001E6B62">
        <w:rPr>
          <w:rFonts w:asciiTheme="minorHAnsi" w:hAnsiTheme="minorHAnsi" w:cstheme="minorHAnsi"/>
          <w:color w:val="000000"/>
        </w:rPr>
        <w:t>У дослідженні Nix-TB всі лікарські препарати приймали з їжею, а контроль над ними здійснювався відповідно до місцевої практики, як форма підтримки пацієнтів. Пацієнтам необхідно було пройти 6 місяців (тобто 26 тижнів призначеної дози) протягом 8 місяців; тим, у кого лікування було продовжено, необхідно було пройти 9 місяців лікування (тобто 39 тижнів призначеної дози) протягом 12 місяців (1).</w:t>
      </w:r>
    </w:p>
    <w:p w:rsidR="005225B5" w:rsidRPr="006263CF" w:rsidRDefault="005225B5" w:rsidP="006263CF">
      <w:pPr>
        <w:spacing w:before="149"/>
        <w:ind w:right="5"/>
        <w:jc w:val="both"/>
        <w:rPr>
          <w:rFonts w:asciiTheme="minorHAnsi" w:hAnsiTheme="minorHAnsi" w:cstheme="minorHAnsi"/>
          <w:sz w:val="18"/>
        </w:rPr>
      </w:pPr>
      <w:r w:rsidRPr="006263CF">
        <w:rPr>
          <w:rFonts w:asciiTheme="minorHAnsi" w:hAnsiTheme="minorHAnsi" w:cstheme="minorHAnsi"/>
          <w:color w:val="000000"/>
          <w:szCs w:val="22"/>
        </w:rPr>
        <w:t xml:space="preserve">Профілактика переривання лікування важлива для підвищення ймовірності успіху лікування. Заходи з підтримки прихильності до лікування пацієнта з урахуванням його потреб важливі для утримання пацієнтів на лікуванні і забезпечення хороших результатів лікування, наприклад, відповідна модель догляду, лікування під безпосереднім наглядом (DOT), що надається в місцевому співтоваристві або на дому, а також навченимприхильником лікування, соціальна підтримка і цифрові медико-санітарні втручання для спілкування з пацієнтом (див. </w:t>
      </w:r>
      <w:r w:rsidRPr="006263CF">
        <w:rPr>
          <w:rFonts w:asciiTheme="minorHAnsi" w:hAnsiTheme="minorHAnsi" w:cstheme="minorHAnsi"/>
          <w:color w:val="1F61AA"/>
          <w:szCs w:val="22"/>
        </w:rPr>
        <w:t>Розділ 9</w:t>
      </w:r>
      <w:r w:rsidRPr="006263CF">
        <w:rPr>
          <w:rFonts w:asciiTheme="minorHAnsi" w:hAnsiTheme="minorHAnsi" w:cstheme="minorHAnsi"/>
          <w:color w:val="000000"/>
          <w:szCs w:val="22"/>
        </w:rPr>
        <w:t xml:space="preserve">) </w:t>
      </w:r>
      <w:r w:rsidRPr="006263CF">
        <w:rPr>
          <w:rFonts w:asciiTheme="minorHAnsi" w:hAnsiTheme="minorHAnsi" w:cstheme="minorHAnsi"/>
          <w:i/>
          <w:iCs/>
          <w:color w:val="000000"/>
          <w:szCs w:val="22"/>
        </w:rPr>
        <w:t>(1, 2)</w:t>
      </w:r>
      <w:r w:rsidRPr="006263CF">
        <w:rPr>
          <w:rFonts w:asciiTheme="minorHAnsi" w:hAnsiTheme="minorHAnsi" w:cstheme="minorHAnsi"/>
          <w:color w:val="000000"/>
          <w:szCs w:val="22"/>
        </w:rPr>
        <w:t>.</w:t>
      </w:r>
    </w:p>
    <w:p w:rsidR="005225B5" w:rsidRPr="006263CF" w:rsidRDefault="005225B5" w:rsidP="006263CF">
      <w:pPr>
        <w:spacing w:before="278"/>
        <w:rPr>
          <w:rFonts w:asciiTheme="minorHAnsi" w:hAnsiTheme="minorHAnsi" w:cstheme="minorHAnsi"/>
          <w:sz w:val="18"/>
        </w:rPr>
      </w:pPr>
      <w:r w:rsidRPr="006263CF">
        <w:rPr>
          <w:rFonts w:asciiTheme="minorHAnsi" w:hAnsiTheme="minorHAnsi" w:cstheme="minorHAnsi"/>
          <w:b/>
          <w:bCs/>
          <w:color w:val="1F61AA"/>
          <w:sz w:val="36"/>
          <w:szCs w:val="38"/>
        </w:rPr>
        <w:t>7. 5 Моніторинг лікування</w:t>
      </w:r>
    </w:p>
    <w:p w:rsidR="005225B5" w:rsidRPr="006263CF" w:rsidRDefault="005225B5" w:rsidP="006263CF">
      <w:pPr>
        <w:tabs>
          <w:tab w:val="left" w:pos="720"/>
        </w:tabs>
        <w:spacing w:before="235"/>
        <w:rPr>
          <w:rFonts w:asciiTheme="minorHAnsi" w:hAnsiTheme="minorHAnsi" w:cstheme="minorHAnsi"/>
          <w:sz w:val="18"/>
        </w:rPr>
      </w:pPr>
      <w:r w:rsidRPr="006263CF">
        <w:rPr>
          <w:rFonts w:asciiTheme="minorHAnsi" w:hAnsiTheme="minorHAnsi" w:cstheme="minorHAnsi"/>
          <w:b/>
          <w:bCs/>
          <w:color w:val="1F61AA"/>
          <w:sz w:val="28"/>
          <w:szCs w:val="32"/>
        </w:rPr>
        <w:t>7.5.1</w:t>
      </w:r>
      <w:r w:rsidRPr="006263CF">
        <w:rPr>
          <w:rFonts w:asciiTheme="minorHAnsi" w:hAnsiTheme="minorHAnsi" w:cstheme="minorHAnsi"/>
          <w:b/>
          <w:bCs/>
          <w:color w:val="1F61AA"/>
          <w:sz w:val="28"/>
          <w:szCs w:val="32"/>
        </w:rPr>
        <w:tab/>
        <w:t>Моніторинг реакції на лікування і розподіл результатів</w:t>
      </w:r>
    </w:p>
    <w:p w:rsidR="005225B5" w:rsidRPr="006263CF" w:rsidRDefault="005225B5" w:rsidP="006263CF">
      <w:pPr>
        <w:spacing w:before="120"/>
        <w:jc w:val="both"/>
        <w:rPr>
          <w:rFonts w:asciiTheme="minorHAnsi" w:hAnsiTheme="minorHAnsi" w:cstheme="minorHAnsi"/>
          <w:sz w:val="18"/>
        </w:rPr>
      </w:pPr>
      <w:r w:rsidRPr="006263CF">
        <w:rPr>
          <w:rFonts w:asciiTheme="minorHAnsi" w:hAnsiTheme="minorHAnsi" w:cstheme="minorHAnsi"/>
          <w:color w:val="000000"/>
          <w:szCs w:val="22"/>
        </w:rPr>
        <w:t>Реакція на лікування контролюється на основі щомісячного аналізу мікроскопії мазка мокротиння та культури (в ідеалі з однаковою частотою). Це схоже на графік, який використовується у пацієнтів на довгострокових схемах лікування МР-ТБ. В очікуванні оновлених визначень, визначення результатів лікування і системи звітності для пацієнтів на короткострокових схемах лікування МР-ТБ ті ж, що і для пацієнтів на довгострокових схемах лікування МР-ТБ (26).</w:t>
      </w:r>
    </w:p>
    <w:p w:rsidR="005225B5" w:rsidRPr="006263CF" w:rsidRDefault="005225B5" w:rsidP="006263CF">
      <w:pPr>
        <w:spacing w:before="144"/>
        <w:ind w:right="5"/>
        <w:jc w:val="both"/>
        <w:rPr>
          <w:rFonts w:asciiTheme="minorHAnsi" w:hAnsiTheme="minorHAnsi" w:cstheme="minorHAnsi"/>
          <w:sz w:val="18"/>
        </w:rPr>
      </w:pPr>
      <w:r w:rsidRPr="006263CF">
        <w:rPr>
          <w:rFonts w:asciiTheme="minorHAnsi" w:hAnsiTheme="minorHAnsi" w:cstheme="minorHAnsi"/>
          <w:color w:val="000000"/>
          <w:szCs w:val="22"/>
        </w:rPr>
        <w:t>Лікування повинно проводитися в ретельно контрольованих умовах для забезпечення оптимальної ефективності та безпеки лікарських засобів, і для контролю за розвитком нових видів медикаментозної резистентності, якщо такі виникнуть. З огляду на те, що схема лікування БПЛ є новою і короткостроковою схемою, яка включає в себе новий лікувальний препарат і впроваджується в умовах оперативних досліджень, важливо також стежити за пацієнтами після завершення лікування, щоб гарантувати відсутність рецидиву. У дослідженні Nix-TB після завершення лікування моніторинг проводився щомісячно протягом 1-3 місяців, а потім з інтервалом в 3 місяці. Подальше спостереження після завершення лікування тривало в цілому 24 місяці, однак на момент аналізу даних за цей період було проведено перевірку приблизно половини пацієнтів. Аналіз даних дослідження Nix-TB показав, що неефективне лікування або рецидив мали місце у трьох пацієнтів (2,8% всіх пацієнтів), беручи до уваги період післялікувального спостереження.</w:t>
      </w:r>
    </w:p>
    <w:p w:rsidR="005225B5" w:rsidRPr="006263CF" w:rsidRDefault="005225B5" w:rsidP="006263CF">
      <w:pPr>
        <w:tabs>
          <w:tab w:val="left" w:pos="720"/>
        </w:tabs>
        <w:spacing w:before="269"/>
        <w:rPr>
          <w:rFonts w:asciiTheme="minorHAnsi" w:hAnsiTheme="minorHAnsi" w:cstheme="minorHAnsi"/>
          <w:sz w:val="18"/>
        </w:rPr>
      </w:pPr>
      <w:r w:rsidRPr="006263CF">
        <w:rPr>
          <w:rFonts w:asciiTheme="minorHAnsi" w:hAnsiTheme="minorHAnsi" w:cstheme="minorHAnsi"/>
          <w:b/>
          <w:bCs/>
          <w:color w:val="1F61AA"/>
          <w:sz w:val="28"/>
          <w:szCs w:val="32"/>
        </w:rPr>
        <w:t xml:space="preserve">7.5.2 </w:t>
      </w:r>
      <w:r w:rsidRPr="006263CF">
        <w:rPr>
          <w:rFonts w:asciiTheme="minorHAnsi" w:hAnsiTheme="minorHAnsi" w:cstheme="minorHAnsi"/>
          <w:b/>
          <w:bCs/>
          <w:color w:val="1F61AA"/>
          <w:sz w:val="28"/>
          <w:szCs w:val="32"/>
        </w:rPr>
        <w:tab/>
        <w:t>Моніторинг безпеки</w:t>
      </w:r>
    </w:p>
    <w:p w:rsidR="005225B5" w:rsidRPr="006263CF" w:rsidRDefault="005225B5" w:rsidP="006263CF">
      <w:pPr>
        <w:spacing w:before="120"/>
        <w:ind w:right="5"/>
        <w:jc w:val="both"/>
        <w:rPr>
          <w:rFonts w:asciiTheme="minorHAnsi" w:hAnsiTheme="minorHAnsi" w:cstheme="minorHAnsi"/>
          <w:sz w:val="18"/>
        </w:rPr>
      </w:pPr>
      <w:r w:rsidRPr="006263CF">
        <w:rPr>
          <w:rFonts w:asciiTheme="minorHAnsi" w:hAnsiTheme="minorHAnsi" w:cstheme="minorHAnsi"/>
          <w:color w:val="000000"/>
          <w:szCs w:val="22"/>
        </w:rPr>
        <w:t xml:space="preserve">У зв'язку з досить високим рівнем небажаних явищ, які виникають у пацієнтів при дослідженні Nix-TB (як описано вище в цьому розділі), безпека пацієнтів, які отримують БПЛ, повинна активно </w:t>
      </w:r>
    </w:p>
    <w:p w:rsidR="005225B5" w:rsidRPr="006263CF" w:rsidRDefault="005225B5" w:rsidP="006263CF">
      <w:pPr>
        <w:spacing w:before="120"/>
        <w:ind w:right="5"/>
        <w:jc w:val="both"/>
        <w:rPr>
          <w:rFonts w:asciiTheme="minorHAnsi" w:hAnsiTheme="minorHAnsi" w:cstheme="minorHAnsi"/>
          <w:sz w:val="18"/>
        </w:rPr>
        <w:sectPr w:rsidR="005225B5" w:rsidRPr="006263CF" w:rsidSect="001E6B62">
          <w:pgSz w:w="11904" w:h="16838"/>
          <w:pgMar w:top="1349" w:right="1411" w:bottom="1560" w:left="1416" w:header="708" w:footer="708" w:gutter="0"/>
          <w:cols w:space="60"/>
          <w:noEndnote/>
        </w:sectPr>
      </w:pPr>
    </w:p>
    <w:p w:rsidR="005225B5" w:rsidRPr="001E6B62" w:rsidRDefault="005225B5" w:rsidP="006263CF">
      <w:pPr>
        <w:jc w:val="both"/>
        <w:rPr>
          <w:rFonts w:asciiTheme="minorHAnsi" w:hAnsiTheme="minorHAnsi" w:cstheme="minorHAnsi"/>
        </w:rPr>
      </w:pPr>
      <w:r w:rsidRPr="001E6B62">
        <w:rPr>
          <w:rFonts w:asciiTheme="minorHAnsi" w:hAnsiTheme="minorHAnsi" w:cstheme="minorHAnsi"/>
          <w:color w:val="000000"/>
        </w:rPr>
        <w:lastRenderedPageBreak/>
        <w:t>контролюватися, слідуючи концепції системи активного моніторингу та управління безпекою застосування протитуберкульозних препаратів. Пацієнти повинні пройти тестування на базовому рівні, а потім спостерігатися в ході лікування з використанням графіків відповідних клінічних та лабораторних тестів. Згідно товарної етикетці претоманіду, базові оцінки до початку схеми лікування БПЛ включають оцінку симптомів і ознак захворювань печінки (наприклад, втоми, анорексії, нудоти, жовтяниці, темної сечі, хворобливості печінки і гепатомегалії) і проведення лабораторних досліджень (аланінамінотрансферази [АЛТ], аспартатамінотрансферази [АСТ], лужної фосфатази і білірубіну, повного аналізу крові і сироваткового калію, кальцію і магнію - які повинні бути скоректовані при відхиленні від норми). Лікарі також повинні отримати ЕКГ перед початком лікування пацієнта. Базовий графік моніторингу дослідження Nix-TB був набагато більш повним, ніж цей, і включав ретельну базову клінічну оцінку, потім щотижневе спостереження за пацієнтом до 20-го тижня, після чого слід 4-6 щотижневе спостереження, частково в залежності від того, чи проходив пацієнт лікування в цілому 6 місяців або ж лікування було продовжено ще на 3 місяці (в цілому до 9 місяців).</w:t>
      </w:r>
    </w:p>
    <w:p w:rsidR="005225B5" w:rsidRPr="001E6B62" w:rsidRDefault="005225B5" w:rsidP="006263CF">
      <w:pPr>
        <w:spacing w:before="144"/>
        <w:jc w:val="both"/>
        <w:rPr>
          <w:rFonts w:asciiTheme="minorHAnsi" w:hAnsiTheme="minorHAnsi" w:cstheme="minorHAnsi"/>
        </w:rPr>
      </w:pPr>
      <w:r w:rsidRPr="001E6B62">
        <w:rPr>
          <w:rFonts w:asciiTheme="minorHAnsi" w:hAnsiTheme="minorHAnsi" w:cstheme="minorHAnsi"/>
          <w:color w:val="000000"/>
        </w:rPr>
        <w:t>Для будь-якого протоколу оперативних досліджень БПЛ повинні бути розроблені детальні графіки базового і подальшого моніторингу, в тому числі після завершення лікування, зі стандартизованими заходами по реєстрації небажаних явищ. Концепція ВООЗ щодо системи активного моніторингу та управління безпекою застосування протитуберкульозних препаратів повинна застосовуватися до пацієнтів, що знаходяться на будь-якій схемі лікування МР-ТБ, для забезпечення належних дій і прийнятного рівня моніторингу та швидкого реагування на небажані явища - поряд з моніторингом результатів лікування, включаючи ранній моніторинг на предмет неефективності лікування. Додаткові дані про небажані явища матимуть важливе значення для створення бази даних про безпеку схеми лікування БПЛ в різних умовах.</w:t>
      </w:r>
    </w:p>
    <w:p w:rsidR="005225B5" w:rsidRPr="001E6B62" w:rsidRDefault="005225B5" w:rsidP="006263CF">
      <w:pPr>
        <w:spacing w:before="149"/>
        <w:jc w:val="both"/>
        <w:rPr>
          <w:rFonts w:asciiTheme="minorHAnsi" w:hAnsiTheme="minorHAnsi" w:cstheme="minorHAnsi"/>
        </w:rPr>
      </w:pPr>
      <w:r w:rsidRPr="001E6B62">
        <w:rPr>
          <w:rFonts w:asciiTheme="minorHAnsi" w:hAnsiTheme="minorHAnsi" w:cstheme="minorHAnsi"/>
          <w:color w:val="000000"/>
        </w:rPr>
        <w:t>Контроль змін у дозуванні і тривалості прийому лінезоліду, зокрема (при необхідності), також буде важливий для інформування майбутньої доказової бази про ширше використання схеми лікування БПЛ і переносимості лінезоліду в цій схемі. На основі фармакокінетичної токсикодинамічної моделі, розробленої на основі даних дослідження Nix-TB (Савік Р., Каліфорнійський університет, Сан-Франциско, неопубліковані дані, листопад 2019 року), був зроблений висновок про те, що фармакокінетика, яка пов'язана з лінезолідом, є нелінійною у пацієнтів з МР-ТБ зі стійкістю до фторхінолонів, а індивідуальний час концентрації лінезоліду є найкращим предиктором токсичності в цій моделі. При вищих сумарних добових дозах спостерігалися вищі показники токсичності, при цьому показники токсичності можна було порівняти для графіків дозування 2 рази на день і 1 раз на день</w:t>
      </w:r>
      <w:r w:rsidRPr="001E6B62">
        <w:rPr>
          <w:rFonts w:asciiTheme="minorHAnsi" w:hAnsiTheme="minorHAnsi" w:cstheme="minorHAnsi"/>
          <w:color w:val="000000"/>
          <w:vertAlign w:val="superscript"/>
        </w:rPr>
        <w:t>20</w:t>
      </w:r>
      <w:r w:rsidRPr="001E6B62">
        <w:rPr>
          <w:rFonts w:asciiTheme="minorHAnsi" w:hAnsiTheme="minorHAnsi" w:cstheme="minorHAnsi"/>
          <w:color w:val="000000"/>
        </w:rPr>
        <w:t>. Моделювання даних показало, що з анемією можна боротися шляхом ретельного моніторингу змін в гемоглобіні протягом перших 4 тижнів лікування. Зокрема, зниження гемоглобіну більш ніж на 10% від початкового рівня повинно привести до зниження дози лінезоліду; рівні гемоглобіну добре відновлюються після зниження дози. Необхідно ретельно контролювати периферичну нейропатію та неврит зорового нерва. Потенційно тромбоцитопенія не викликала великого занепокоєння при високих дозах лінезоліду для МР-ТБ у пацієнтів зі стійкістю до фторхінолонів (1).</w:t>
      </w:r>
    </w:p>
    <w:p w:rsidR="005225B5" w:rsidRPr="001E6B62" w:rsidRDefault="005225B5" w:rsidP="006263CF">
      <w:pPr>
        <w:spacing w:before="144"/>
        <w:jc w:val="both"/>
        <w:rPr>
          <w:rFonts w:asciiTheme="minorHAnsi" w:hAnsiTheme="minorHAnsi" w:cstheme="minorHAnsi"/>
        </w:rPr>
      </w:pPr>
      <w:r w:rsidRPr="001E6B62">
        <w:rPr>
          <w:rFonts w:asciiTheme="minorHAnsi" w:hAnsiTheme="minorHAnsi" w:cstheme="minorHAnsi"/>
          <w:color w:val="000000"/>
        </w:rPr>
        <w:t>Небажані явища, пов'язані з претоманідом, потенційні сигнали безпеки, пов'язані з чоловічим безпліддям, спостерігалися в моделях тварин (миші і людиноподібні мавпи). Група фахівців підкреслила потенційні труднощі в моніторингу безпліддя в програмному середовищі (1). Додаткові дослідження людської сперми, рекомендовані управлінням з санітарного нагляду за якістю харчових продуктів і лікарських засобів США (FDA), будуть проведені Альянсом по туберкульозу; однак на момент проведення засідання ГРК ці дані не були готові для розгляду. ГРК визначив, що безпліддя є серйозною проблемою, оскільки зачіпає не тільки пацієнтів, але і їх сім'ї. Судження про співвідношення бажаних і небажаних явищ вимагає додаткових наукових даних, перш ніж можна буде прийняти рішення про те, чи варто впроваджувати схему лікування БПЛ у всьому світі в програмних умовах.</w:t>
      </w:r>
    </w:p>
    <w:p w:rsidR="005225B5" w:rsidRPr="001E6B62" w:rsidRDefault="005225B5" w:rsidP="006263CF">
      <w:pPr>
        <w:spacing w:before="149"/>
        <w:jc w:val="both"/>
        <w:rPr>
          <w:rFonts w:asciiTheme="minorHAnsi" w:hAnsiTheme="minorHAnsi" w:cstheme="minorHAnsi"/>
        </w:rPr>
      </w:pPr>
      <w:r w:rsidRPr="001E6B62">
        <w:rPr>
          <w:rFonts w:asciiTheme="minorHAnsi" w:hAnsiTheme="minorHAnsi" w:cstheme="minorHAnsi"/>
          <w:color w:val="000000"/>
        </w:rPr>
        <w:t xml:space="preserve">Повинен бути встановлений графік проведення контрольних оглядів, який повинен застосовуватися до всіх пацієнтів, які проходять лікування за схемою БПЛ. Пацієнти повинні пройти відповідне обстеження в початковому стані, а також під час і після лікування (5). Це повинно включати необхідні клінічні оцінки, бактеріологічні та лабораторні тести, радіологічні та ЕКГ дослідження (див. графік зразків в </w:t>
      </w:r>
      <w:r w:rsidRPr="001E6B62">
        <w:rPr>
          <w:rFonts w:asciiTheme="minorHAnsi" w:hAnsiTheme="minorHAnsi" w:cstheme="minorHAnsi"/>
          <w:color w:val="1F61AA"/>
        </w:rPr>
        <w:t>Таблиці 7.3</w:t>
      </w:r>
      <w:r w:rsidRPr="001E6B62">
        <w:rPr>
          <w:rFonts w:asciiTheme="minorHAnsi" w:hAnsiTheme="minorHAnsi" w:cstheme="minorHAnsi"/>
          <w:color w:val="000000"/>
        </w:rPr>
        <w:t>). Базовий візит відноситься до початку лікування за схемою БПЛ. Графік моніторингу повинен враховувати наступні аспекти:</w:t>
      </w:r>
    </w:p>
    <w:p w:rsidR="000344A4" w:rsidRDefault="000344A4" w:rsidP="000344A4">
      <w:pPr>
        <w:spacing w:before="480"/>
        <w:rPr>
          <w:rFonts w:asciiTheme="minorHAnsi" w:hAnsiTheme="minorHAnsi" w:cstheme="minorHAnsi"/>
          <w:color w:val="000000"/>
          <w:sz w:val="14"/>
          <w:szCs w:val="16"/>
          <w:vertAlign w:val="superscript"/>
        </w:rPr>
      </w:pPr>
      <w:r>
        <w:rPr>
          <w:rFonts w:asciiTheme="minorHAnsi" w:hAnsiTheme="minorHAnsi" w:cstheme="minorHAnsi"/>
          <w:color w:val="000000"/>
          <w:sz w:val="14"/>
          <w:szCs w:val="16"/>
          <w:u w:val="single"/>
          <w:vertAlign w:val="superscript"/>
        </w:rPr>
        <w:tab/>
      </w:r>
      <w:r>
        <w:rPr>
          <w:rFonts w:asciiTheme="minorHAnsi" w:hAnsiTheme="minorHAnsi" w:cstheme="minorHAnsi"/>
          <w:color w:val="000000"/>
          <w:sz w:val="14"/>
          <w:szCs w:val="16"/>
          <w:u w:val="single"/>
          <w:vertAlign w:val="superscript"/>
        </w:rPr>
        <w:tab/>
      </w:r>
      <w:r>
        <w:rPr>
          <w:rFonts w:asciiTheme="minorHAnsi" w:hAnsiTheme="minorHAnsi" w:cstheme="minorHAnsi"/>
          <w:color w:val="000000"/>
          <w:sz w:val="14"/>
          <w:szCs w:val="16"/>
          <w:u w:val="single"/>
          <w:vertAlign w:val="superscript"/>
        </w:rPr>
        <w:tab/>
      </w:r>
    </w:p>
    <w:p w:rsidR="005225B5" w:rsidRPr="006263CF" w:rsidRDefault="005225B5" w:rsidP="000344A4">
      <w:pPr>
        <w:rPr>
          <w:rFonts w:asciiTheme="minorHAnsi" w:hAnsiTheme="minorHAnsi" w:cstheme="minorHAnsi"/>
          <w:sz w:val="18"/>
        </w:rPr>
      </w:pPr>
      <w:r w:rsidRPr="006263CF">
        <w:rPr>
          <w:rFonts w:asciiTheme="minorHAnsi" w:hAnsiTheme="minorHAnsi" w:cstheme="minorHAnsi"/>
          <w:color w:val="000000"/>
          <w:sz w:val="14"/>
          <w:szCs w:val="16"/>
          <w:vertAlign w:val="superscript"/>
        </w:rPr>
        <w:t>20</w:t>
      </w:r>
      <w:r w:rsidRPr="006263CF">
        <w:rPr>
          <w:rFonts w:asciiTheme="minorHAnsi" w:hAnsiTheme="minorHAnsi" w:cstheme="minorHAnsi"/>
          <w:color w:val="000000"/>
          <w:sz w:val="14"/>
          <w:szCs w:val="16"/>
        </w:rPr>
        <w:t xml:space="preserve"> Де BID - 2 рази на день, а QD - 1 раз на день.</w:t>
      </w:r>
    </w:p>
    <w:p w:rsidR="005225B5" w:rsidRPr="006263CF" w:rsidRDefault="005225B5" w:rsidP="006263CF">
      <w:pPr>
        <w:spacing w:before="792"/>
        <w:rPr>
          <w:rFonts w:asciiTheme="minorHAnsi" w:hAnsiTheme="minorHAnsi" w:cstheme="minorHAnsi"/>
          <w:sz w:val="18"/>
        </w:rPr>
        <w:sectPr w:rsidR="005225B5" w:rsidRPr="006263CF" w:rsidSect="001E6B62">
          <w:pgSz w:w="11904" w:h="16838"/>
          <w:pgMar w:top="1349" w:right="1416" w:bottom="38" w:left="1416" w:header="708" w:footer="708" w:gutter="0"/>
          <w:cols w:space="60"/>
          <w:noEndnote/>
        </w:sectPr>
      </w:pPr>
    </w:p>
    <w:p w:rsidR="005225B5" w:rsidRPr="006263CF" w:rsidRDefault="005225B5" w:rsidP="001E6B62">
      <w:pPr>
        <w:numPr>
          <w:ilvl w:val="0"/>
          <w:numId w:val="9"/>
        </w:numPr>
        <w:tabs>
          <w:tab w:val="left" w:pos="240"/>
        </w:tabs>
        <w:ind w:left="240" w:right="5" w:hanging="240"/>
        <w:jc w:val="both"/>
        <w:rPr>
          <w:rFonts w:asciiTheme="minorHAnsi" w:eastAsia="Times New Roman" w:hAnsiTheme="minorHAnsi" w:cstheme="minorHAnsi"/>
          <w:color w:val="1F61AA"/>
          <w:szCs w:val="22"/>
        </w:rPr>
      </w:pPr>
      <w:r w:rsidRPr="006263CF">
        <w:rPr>
          <w:rFonts w:asciiTheme="minorHAnsi" w:hAnsiTheme="minorHAnsi" w:cstheme="minorHAnsi"/>
          <w:color w:val="000000"/>
          <w:szCs w:val="22"/>
        </w:rPr>
        <w:lastRenderedPageBreak/>
        <w:t>Моніторинг лабораторних показників і ЕКГ слід продовжувати з щомісячними інтервалами (якщо це зазначено) протягом всього курсу лікування (тобто 9 місяців у разі його продовження);</w:t>
      </w:r>
    </w:p>
    <w:p w:rsidR="005225B5" w:rsidRPr="006263CF" w:rsidRDefault="005225B5" w:rsidP="001E6B62">
      <w:pPr>
        <w:numPr>
          <w:ilvl w:val="0"/>
          <w:numId w:val="9"/>
        </w:numPr>
        <w:tabs>
          <w:tab w:val="left" w:pos="240"/>
        </w:tabs>
        <w:ind w:left="240" w:hanging="240"/>
        <w:jc w:val="both"/>
        <w:rPr>
          <w:rFonts w:asciiTheme="minorHAnsi" w:eastAsia="Times New Roman" w:hAnsiTheme="minorHAnsi" w:cstheme="minorHAnsi"/>
          <w:color w:val="1F61AA"/>
          <w:szCs w:val="22"/>
        </w:rPr>
      </w:pPr>
      <w:r w:rsidRPr="006263CF">
        <w:rPr>
          <w:rFonts w:asciiTheme="minorHAnsi" w:hAnsiTheme="minorHAnsi" w:cstheme="minorHAnsi"/>
          <w:color w:val="000000"/>
          <w:szCs w:val="22"/>
        </w:rPr>
        <w:t>більш частий моніторинг може бути рекомендований в конкретних ситуаціях, включаючи людей похилого віку, ВІЛ-інфікованих пацієнтів, хворих на гепатит (викликаних вірусом гепатиту В [ВГВ] або вірусом гепатиту С [ВГС]) або на цукровий діабет, або з помірною або тяжкою печінковою або нирковою недостатністю; і</w:t>
      </w:r>
    </w:p>
    <w:p w:rsidR="005225B5" w:rsidRPr="006263CF" w:rsidRDefault="005225B5" w:rsidP="001E6B62">
      <w:pPr>
        <w:numPr>
          <w:ilvl w:val="0"/>
          <w:numId w:val="9"/>
        </w:numPr>
        <w:tabs>
          <w:tab w:val="left" w:pos="240"/>
        </w:tabs>
        <w:ind w:left="240" w:hanging="240"/>
        <w:jc w:val="both"/>
        <w:rPr>
          <w:rFonts w:asciiTheme="minorHAnsi" w:eastAsia="Times New Roman" w:hAnsiTheme="minorHAnsi" w:cstheme="minorHAnsi"/>
          <w:color w:val="1F61AA"/>
          <w:szCs w:val="22"/>
        </w:rPr>
      </w:pPr>
      <w:r w:rsidRPr="006263CF">
        <w:rPr>
          <w:rFonts w:asciiTheme="minorHAnsi" w:hAnsiTheme="minorHAnsi" w:cstheme="minorHAnsi"/>
          <w:color w:val="000000"/>
          <w:szCs w:val="22"/>
        </w:rPr>
        <w:t>в разі порушень електролітного балансу або аномалій ЕКГ слід проводити більш частий моніторинг.</w:t>
      </w:r>
    </w:p>
    <w:p w:rsidR="005225B5" w:rsidRPr="006263CF" w:rsidRDefault="005225B5" w:rsidP="001E6B62">
      <w:pPr>
        <w:spacing w:before="144"/>
        <w:jc w:val="both"/>
        <w:rPr>
          <w:rFonts w:asciiTheme="minorHAnsi" w:hAnsiTheme="minorHAnsi" w:cstheme="minorHAnsi"/>
          <w:sz w:val="18"/>
        </w:rPr>
      </w:pPr>
      <w:r w:rsidRPr="006263CF">
        <w:rPr>
          <w:rFonts w:asciiTheme="minorHAnsi" w:hAnsiTheme="minorHAnsi" w:cstheme="minorHAnsi"/>
          <w:color w:val="000000"/>
          <w:szCs w:val="22"/>
        </w:rPr>
        <w:t>Слід проводити активну фармакологічну корекцію, а також вживати належних заходів у разі небажаних явищ і запобігати ускладненням, що виникають в результаті взаємодії між лікарськими засобами. Таким чином, НПБТ повинно активно контролювати безпеку лікарських засобів для забезпечення належного догляду за пацієнтами, повідомляти про будь-які небажані явища в відповідальний орган з безпеки лікарських засобів в країні, а також інформувати про національну і глобальну політику.</w:t>
      </w:r>
    </w:p>
    <w:p w:rsidR="005225B5" w:rsidRPr="006263CF" w:rsidRDefault="005225B5" w:rsidP="006263CF">
      <w:pPr>
        <w:spacing w:before="269"/>
        <w:rPr>
          <w:rFonts w:asciiTheme="minorHAnsi" w:hAnsiTheme="minorHAnsi" w:cstheme="minorHAnsi"/>
          <w:sz w:val="18"/>
        </w:rPr>
      </w:pPr>
      <w:r w:rsidRPr="006263CF">
        <w:rPr>
          <w:rFonts w:asciiTheme="minorHAnsi" w:hAnsiTheme="minorHAnsi" w:cstheme="minorHAnsi"/>
          <w:b/>
          <w:bCs/>
          <w:color w:val="1F61AA"/>
          <w:sz w:val="28"/>
          <w:szCs w:val="32"/>
        </w:rPr>
        <w:t>7.5.3 Зміна або переривання лікування</w:t>
      </w:r>
    </w:p>
    <w:p w:rsidR="005225B5" w:rsidRPr="006263CF" w:rsidRDefault="005225B5" w:rsidP="006263CF">
      <w:pPr>
        <w:spacing w:before="125"/>
        <w:ind w:right="5"/>
        <w:jc w:val="both"/>
        <w:rPr>
          <w:rFonts w:asciiTheme="minorHAnsi" w:hAnsiTheme="minorHAnsi" w:cstheme="minorHAnsi"/>
          <w:sz w:val="18"/>
        </w:rPr>
      </w:pPr>
      <w:r w:rsidRPr="006263CF">
        <w:rPr>
          <w:rFonts w:asciiTheme="minorHAnsi" w:hAnsiTheme="minorHAnsi" w:cstheme="minorHAnsi"/>
          <w:color w:val="000000"/>
          <w:szCs w:val="22"/>
        </w:rPr>
        <w:t xml:space="preserve">Для безпечного управління небажаними явищами може знадобитися зниження дози або припинення використання компонентів лікарських засобів. Проте, схема лікування БПЛ була вивчена як стандартизований курс лікування. Зміна схеми лікування шляхом раннього припинення або заміни будь-якого з компонентів лікарських засобів може привести до небажаних результатів лікування. Хоча зміна дози бедаквіліну і претоманіду не допускається, зміна дози лінезоліду допускається після 1-го місяця лікування в разі небажаних явищ (див. </w:t>
      </w:r>
      <w:r w:rsidRPr="006263CF">
        <w:rPr>
          <w:rFonts w:asciiTheme="minorHAnsi" w:hAnsiTheme="minorHAnsi" w:cstheme="minorHAnsi"/>
          <w:color w:val="1F61AA"/>
          <w:szCs w:val="22"/>
        </w:rPr>
        <w:t>Розділ 6.5</w:t>
      </w:r>
      <w:r w:rsidRPr="006263CF">
        <w:rPr>
          <w:rFonts w:asciiTheme="minorHAnsi" w:hAnsiTheme="minorHAnsi" w:cstheme="minorHAnsi"/>
          <w:color w:val="000000"/>
          <w:szCs w:val="22"/>
        </w:rPr>
        <w:t>, в якому описані деякі прийнятні зміни тривалості прийому по відношенню до пропущених доз).</w:t>
      </w:r>
    </w:p>
    <w:p w:rsidR="005225B5" w:rsidRPr="006263CF" w:rsidRDefault="005225B5" w:rsidP="006263CF">
      <w:pPr>
        <w:spacing w:before="144"/>
        <w:jc w:val="both"/>
        <w:rPr>
          <w:rFonts w:asciiTheme="minorHAnsi" w:hAnsiTheme="minorHAnsi" w:cstheme="minorHAnsi"/>
          <w:sz w:val="18"/>
        </w:rPr>
      </w:pPr>
      <w:r w:rsidRPr="006263CF">
        <w:rPr>
          <w:rFonts w:asciiTheme="minorHAnsi" w:hAnsiTheme="minorHAnsi" w:cstheme="minorHAnsi"/>
          <w:color w:val="000000"/>
          <w:szCs w:val="22"/>
        </w:rPr>
        <w:t>Можливо знадобиться припинити схему лікування БПЛ у деяких пацієнтів. У таких випадках необхідно проводити оцінку стану здоров'я пацієнтів і переходити на індивідуальну довгострокову схему лікування на основі настанов ВООЗ щодо схеми лікування з використанням пріоритетної групи лікарських засобів.</w:t>
      </w:r>
    </w:p>
    <w:p w:rsidR="005225B5" w:rsidRPr="006263CF" w:rsidRDefault="005225B5" w:rsidP="006263CF">
      <w:pPr>
        <w:spacing w:before="149"/>
        <w:rPr>
          <w:rFonts w:asciiTheme="minorHAnsi" w:hAnsiTheme="minorHAnsi" w:cstheme="minorHAnsi"/>
          <w:sz w:val="18"/>
        </w:rPr>
      </w:pPr>
      <w:r w:rsidRPr="006263CF">
        <w:rPr>
          <w:rFonts w:asciiTheme="minorHAnsi" w:hAnsiTheme="minorHAnsi" w:cstheme="minorHAnsi"/>
          <w:color w:val="000000"/>
          <w:szCs w:val="22"/>
        </w:rPr>
        <w:t>Найбільш поширеними ситуаціями, в яких схема лікування може бути припиненою, є наступні:</w:t>
      </w:r>
    </w:p>
    <w:p w:rsidR="005225B5" w:rsidRPr="006263CF" w:rsidRDefault="005225B5" w:rsidP="006263CF">
      <w:pPr>
        <w:numPr>
          <w:ilvl w:val="0"/>
          <w:numId w:val="9"/>
        </w:numPr>
        <w:tabs>
          <w:tab w:val="left" w:pos="240"/>
        </w:tabs>
        <w:spacing w:before="91"/>
        <w:ind w:left="240" w:hanging="240"/>
        <w:jc w:val="both"/>
        <w:rPr>
          <w:rFonts w:asciiTheme="minorHAnsi" w:eastAsia="Times New Roman" w:hAnsiTheme="minorHAnsi" w:cstheme="minorHAnsi"/>
          <w:color w:val="1F61AA"/>
          <w:szCs w:val="22"/>
        </w:rPr>
      </w:pPr>
      <w:r w:rsidRPr="006263CF">
        <w:rPr>
          <w:rFonts w:asciiTheme="minorHAnsi" w:hAnsiTheme="minorHAnsi" w:cstheme="minorHAnsi"/>
          <w:i/>
          <w:iCs/>
          <w:color w:val="000000"/>
          <w:szCs w:val="22"/>
        </w:rPr>
        <w:t xml:space="preserve">Непереносима токсичність </w:t>
      </w:r>
      <w:r w:rsidRPr="006263CF">
        <w:rPr>
          <w:rFonts w:asciiTheme="minorHAnsi" w:hAnsiTheme="minorHAnsi" w:cstheme="minorHAnsi"/>
          <w:color w:val="000000"/>
          <w:szCs w:val="22"/>
        </w:rPr>
        <w:t>- може знадобитися призупинити дію одного або кількох лікарських засобів назавжди через їх важку токсичність. У таких випадках лікар (або, бажано, клінічний комітет або консиліум) повинен вивчити історію хвороби і ретельно оцінити стан пацієнта, щоб визначити, яку схему лікування слід призначити.</w:t>
      </w:r>
    </w:p>
    <w:p w:rsidR="005225B5" w:rsidRPr="006263CF" w:rsidRDefault="005225B5" w:rsidP="006263CF">
      <w:pPr>
        <w:numPr>
          <w:ilvl w:val="0"/>
          <w:numId w:val="9"/>
        </w:numPr>
        <w:tabs>
          <w:tab w:val="left" w:pos="240"/>
        </w:tabs>
        <w:ind w:left="240" w:hanging="240"/>
        <w:jc w:val="both"/>
        <w:rPr>
          <w:rFonts w:asciiTheme="minorHAnsi" w:eastAsia="Times New Roman" w:hAnsiTheme="minorHAnsi" w:cstheme="minorHAnsi"/>
          <w:color w:val="1F61AA"/>
          <w:szCs w:val="22"/>
        </w:rPr>
      </w:pPr>
      <w:r w:rsidRPr="006263CF">
        <w:rPr>
          <w:rFonts w:asciiTheme="minorHAnsi" w:hAnsiTheme="minorHAnsi" w:cstheme="minorHAnsi"/>
          <w:color w:val="000000"/>
          <w:szCs w:val="22"/>
        </w:rPr>
        <w:t>Неефективність лікування – якщо клінічна і бактеріологічна реакція на лікування незадовільна, слід розглянути питання про зміну схеми лікування. ТМЧ слід повторювати, незалежно від того, чи буде змінена схема лікування чи ні, для прийняття майбутніх управлінських рішень.</w:t>
      </w:r>
    </w:p>
    <w:p w:rsidR="005225B5" w:rsidRPr="006263CF" w:rsidRDefault="005225B5" w:rsidP="006263CF">
      <w:pPr>
        <w:numPr>
          <w:ilvl w:val="0"/>
          <w:numId w:val="9"/>
        </w:numPr>
        <w:tabs>
          <w:tab w:val="left" w:pos="240"/>
        </w:tabs>
        <w:ind w:left="240" w:hanging="240"/>
        <w:jc w:val="both"/>
        <w:rPr>
          <w:rFonts w:asciiTheme="minorHAnsi" w:eastAsia="Times New Roman" w:hAnsiTheme="minorHAnsi" w:cstheme="minorHAnsi"/>
          <w:color w:val="1F61AA"/>
          <w:szCs w:val="22"/>
        </w:rPr>
      </w:pPr>
      <w:r w:rsidRPr="006263CF">
        <w:rPr>
          <w:rFonts w:asciiTheme="minorHAnsi" w:hAnsiTheme="minorHAnsi" w:cstheme="minorHAnsi"/>
          <w:i/>
          <w:iCs/>
          <w:color w:val="000000"/>
          <w:szCs w:val="22"/>
        </w:rPr>
        <w:t xml:space="preserve">Стійкість до лікарських засобів в схемі лікування БПЛ </w:t>
      </w:r>
      <w:r w:rsidRPr="006263CF">
        <w:rPr>
          <w:rFonts w:asciiTheme="minorHAnsi" w:hAnsiTheme="minorHAnsi" w:cstheme="minorHAnsi"/>
          <w:color w:val="000000"/>
          <w:szCs w:val="22"/>
        </w:rPr>
        <w:t>- для пацієнтів, які подають зразок мокротиння для культури 2-ї лінії ТМЧ на початку лікування, результати можуть бути недоступні до початку лікування. Якщо після початку лікування буде виявлена стійкість до компонентів лікарських засобів, що входять до складу схеми лікування БПЛ, необхідно буде скасувати схему лікування.</w:t>
      </w:r>
    </w:p>
    <w:p w:rsidR="005225B5" w:rsidRPr="006263CF" w:rsidRDefault="005225B5" w:rsidP="006263CF">
      <w:pPr>
        <w:numPr>
          <w:ilvl w:val="0"/>
          <w:numId w:val="9"/>
        </w:numPr>
        <w:tabs>
          <w:tab w:val="left" w:pos="240"/>
        </w:tabs>
        <w:ind w:left="240" w:right="5" w:hanging="240"/>
        <w:jc w:val="both"/>
        <w:rPr>
          <w:rFonts w:asciiTheme="minorHAnsi" w:eastAsia="Times New Roman" w:hAnsiTheme="minorHAnsi" w:cstheme="minorHAnsi"/>
          <w:color w:val="1F61AA"/>
          <w:szCs w:val="22"/>
        </w:rPr>
      </w:pPr>
      <w:r w:rsidRPr="006263CF">
        <w:rPr>
          <w:rFonts w:asciiTheme="minorHAnsi" w:hAnsiTheme="minorHAnsi" w:cstheme="minorHAnsi"/>
          <w:color w:val="000000"/>
          <w:szCs w:val="22"/>
        </w:rPr>
        <w:t>Вагітність під час лікування - пацієнтам (жінкам), які завагітніли під час лікування, необхідно буде припинити лікування по схемі БПЛ.</w:t>
      </w:r>
    </w:p>
    <w:p w:rsidR="005225B5" w:rsidRPr="006263CF" w:rsidRDefault="005225B5" w:rsidP="006263CF">
      <w:pPr>
        <w:spacing w:before="149"/>
        <w:jc w:val="both"/>
        <w:rPr>
          <w:rFonts w:asciiTheme="minorHAnsi" w:hAnsiTheme="minorHAnsi" w:cstheme="minorHAnsi"/>
          <w:sz w:val="18"/>
        </w:rPr>
      </w:pPr>
      <w:r w:rsidRPr="006263CF">
        <w:rPr>
          <w:rFonts w:asciiTheme="minorHAnsi" w:hAnsiTheme="minorHAnsi" w:cstheme="minorHAnsi"/>
          <w:color w:val="000000"/>
          <w:szCs w:val="22"/>
        </w:rPr>
        <w:t>Що стосується припинення використання будь-якого компоненту в лікуванні по схемі БПЛ через гостру токсичність, то слід враховувати наступні фактори:</w:t>
      </w:r>
    </w:p>
    <w:p w:rsidR="005225B5" w:rsidRPr="006263CF" w:rsidRDefault="005225B5" w:rsidP="006263CF">
      <w:pPr>
        <w:numPr>
          <w:ilvl w:val="0"/>
          <w:numId w:val="9"/>
        </w:numPr>
        <w:tabs>
          <w:tab w:val="left" w:pos="240"/>
        </w:tabs>
        <w:spacing w:before="144"/>
        <w:ind w:left="240" w:right="5" w:hanging="240"/>
        <w:jc w:val="both"/>
        <w:rPr>
          <w:rFonts w:asciiTheme="minorHAnsi" w:eastAsia="Times New Roman" w:hAnsiTheme="minorHAnsi" w:cstheme="minorHAnsi"/>
          <w:color w:val="1F61AA"/>
          <w:szCs w:val="22"/>
        </w:rPr>
      </w:pPr>
      <w:r w:rsidRPr="006263CF">
        <w:rPr>
          <w:rFonts w:asciiTheme="minorHAnsi" w:hAnsiTheme="minorHAnsi" w:cstheme="minorHAnsi"/>
          <w:color w:val="000000"/>
          <w:szCs w:val="22"/>
        </w:rPr>
        <w:t>Якщо необхідно скасувати або бедаквілін, або претоманід, всю схемі лікування БПЛ також потрібно скасувати.</w:t>
      </w:r>
    </w:p>
    <w:p w:rsidR="005225B5" w:rsidRPr="006263CF" w:rsidRDefault="005225B5" w:rsidP="006263CF">
      <w:pPr>
        <w:numPr>
          <w:ilvl w:val="0"/>
          <w:numId w:val="9"/>
        </w:numPr>
        <w:tabs>
          <w:tab w:val="left" w:pos="240"/>
        </w:tabs>
        <w:ind w:left="240" w:hanging="240"/>
        <w:jc w:val="both"/>
        <w:rPr>
          <w:rFonts w:asciiTheme="minorHAnsi" w:eastAsia="Times New Roman" w:hAnsiTheme="minorHAnsi" w:cstheme="minorHAnsi"/>
          <w:color w:val="1F61AA"/>
          <w:szCs w:val="22"/>
        </w:rPr>
      </w:pPr>
      <w:r w:rsidRPr="006263CF">
        <w:rPr>
          <w:rFonts w:asciiTheme="minorHAnsi" w:hAnsiTheme="minorHAnsi" w:cstheme="minorHAnsi"/>
          <w:color w:val="000000"/>
          <w:szCs w:val="22"/>
        </w:rPr>
        <w:t>Якщо лінезолід остаточно припиняється протягом перших 4 послідовних тижнів лікування, то вся схема лікування повинна бути також припинена.</w:t>
      </w:r>
    </w:p>
    <w:p w:rsidR="005225B5" w:rsidRPr="006263CF" w:rsidRDefault="005225B5" w:rsidP="006263CF">
      <w:pPr>
        <w:numPr>
          <w:ilvl w:val="0"/>
          <w:numId w:val="9"/>
        </w:numPr>
        <w:tabs>
          <w:tab w:val="left" w:pos="240"/>
        </w:tabs>
        <w:ind w:left="240" w:hanging="240"/>
        <w:jc w:val="both"/>
        <w:rPr>
          <w:rFonts w:asciiTheme="minorHAnsi" w:eastAsia="Times New Roman" w:hAnsiTheme="minorHAnsi" w:cstheme="minorHAnsi"/>
          <w:color w:val="1F61AA"/>
          <w:szCs w:val="22"/>
        </w:rPr>
      </w:pPr>
      <w:r w:rsidRPr="006263CF">
        <w:rPr>
          <w:rFonts w:asciiTheme="minorHAnsi" w:hAnsiTheme="minorHAnsi" w:cstheme="minorHAnsi"/>
          <w:color w:val="000000"/>
          <w:szCs w:val="22"/>
        </w:rPr>
        <w:t>Тимчасове припинення застосування лінезоліду (через специфічну токсичність лінезоліду) або повної схеми лікування допускається при підозрі на токсичність, пов'язану з лікарськими засобами. Повторне введення схеми лікування можна розглянути після її припинення не більше ніж 35 днів поспіль.</w:t>
      </w:r>
    </w:p>
    <w:p w:rsidR="005225B5" w:rsidRPr="006263CF" w:rsidRDefault="005225B5" w:rsidP="006263CF">
      <w:pPr>
        <w:numPr>
          <w:ilvl w:val="0"/>
          <w:numId w:val="9"/>
        </w:numPr>
        <w:tabs>
          <w:tab w:val="left" w:pos="240"/>
        </w:tabs>
        <w:ind w:left="240" w:hanging="240"/>
        <w:jc w:val="both"/>
        <w:rPr>
          <w:rFonts w:asciiTheme="minorHAnsi" w:eastAsia="Times New Roman" w:hAnsiTheme="minorHAnsi" w:cstheme="minorHAnsi"/>
          <w:color w:val="1F61AA"/>
          <w:szCs w:val="22"/>
        </w:rPr>
      </w:pPr>
      <w:r w:rsidRPr="006263CF">
        <w:rPr>
          <w:rFonts w:asciiTheme="minorHAnsi" w:hAnsiTheme="minorHAnsi" w:cstheme="minorHAnsi"/>
          <w:color w:val="000000"/>
          <w:szCs w:val="22"/>
        </w:rPr>
        <w:t>Якщо лінезолід необхідно назавжди скасувати на більш пізній стадії схеми лікування, коли пацієнт уже завершив початкові 4 тижні лікування лінезолідом у добовій дозі 1200 мг, лікарі повинні оцінити стан пацієнта і розглянути можливість скасування схеми лікування або продовження прийому бедаквіліну і претоманіду на всю решту схеми.</w:t>
      </w:r>
    </w:p>
    <w:p w:rsidR="005225B5" w:rsidRPr="006263CF" w:rsidRDefault="005225B5" w:rsidP="006263CF">
      <w:pPr>
        <w:numPr>
          <w:ilvl w:val="0"/>
          <w:numId w:val="9"/>
        </w:numPr>
        <w:tabs>
          <w:tab w:val="left" w:pos="240"/>
        </w:tabs>
        <w:ind w:left="240" w:hanging="240"/>
        <w:jc w:val="both"/>
        <w:rPr>
          <w:rFonts w:asciiTheme="minorHAnsi" w:eastAsia="Times New Roman" w:hAnsiTheme="minorHAnsi" w:cstheme="minorHAnsi"/>
          <w:color w:val="1F61AA"/>
          <w:szCs w:val="22"/>
        </w:rPr>
        <w:sectPr w:rsidR="005225B5" w:rsidRPr="006263CF">
          <w:pgSz w:w="11904" w:h="16838"/>
          <w:pgMar w:top="1349" w:right="1416" w:bottom="1445" w:left="1416"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173"/>
        <w:gridCol w:w="1222"/>
        <w:gridCol w:w="847"/>
        <w:gridCol w:w="946"/>
        <w:gridCol w:w="191"/>
        <w:gridCol w:w="1196"/>
        <w:gridCol w:w="1685"/>
      </w:tblGrid>
      <w:tr w:rsidR="005225B5" w:rsidRPr="006263CF">
        <w:trPr>
          <w:trHeight w:hRule="exact" w:val="754"/>
        </w:trPr>
        <w:tc>
          <w:tcPr>
            <w:tcW w:w="9260" w:type="dxa"/>
            <w:gridSpan w:val="7"/>
            <w:tcBorders>
              <w:top w:val="nil"/>
              <w:left w:val="nil"/>
              <w:bottom w:val="nil"/>
              <w:right w:val="nil"/>
            </w:tcBorders>
            <w:shd w:val="clear" w:color="auto" w:fill="FFFFFF"/>
          </w:tcPr>
          <w:p w:rsidR="005225B5" w:rsidRPr="006263CF" w:rsidRDefault="005225B5" w:rsidP="006263CF">
            <w:pPr>
              <w:ind w:right="317"/>
              <w:rPr>
                <w:rFonts w:asciiTheme="minorHAnsi" w:hAnsiTheme="minorHAnsi" w:cstheme="minorHAnsi"/>
                <w:sz w:val="18"/>
              </w:rPr>
            </w:pPr>
            <w:bookmarkStart w:id="40" w:name="bookmark39"/>
            <w:r w:rsidRPr="006263CF">
              <w:rPr>
                <w:rFonts w:asciiTheme="minorHAnsi" w:hAnsiTheme="minorHAnsi" w:cstheme="minorHAnsi"/>
                <w:b/>
                <w:bCs/>
                <w:color w:val="636466"/>
                <w:sz w:val="22"/>
                <w:szCs w:val="24"/>
              </w:rPr>
              <w:lastRenderedPageBreak/>
              <w:t>T</w:t>
            </w:r>
            <w:bookmarkEnd w:id="40"/>
            <w:r w:rsidRPr="006263CF">
              <w:rPr>
                <w:rFonts w:asciiTheme="minorHAnsi" w:hAnsiTheme="minorHAnsi" w:cstheme="minorHAnsi"/>
                <w:b/>
                <w:bCs/>
                <w:color w:val="636466"/>
                <w:sz w:val="22"/>
                <w:szCs w:val="24"/>
              </w:rPr>
              <w:t>аблиця 7.3. Приклад початкових, планових і післялікувальних графіків контрольних обстежень у рамках лікувальної схеми БПЛ</w:t>
            </w:r>
          </w:p>
        </w:tc>
      </w:tr>
      <w:tr w:rsidR="005225B5" w:rsidRPr="006263CF" w:rsidTr="001E6B62">
        <w:trPr>
          <w:trHeight w:hRule="exact" w:val="773"/>
        </w:trPr>
        <w:tc>
          <w:tcPr>
            <w:tcW w:w="3173" w:type="dxa"/>
            <w:tcBorders>
              <w:top w:val="nil"/>
              <w:left w:val="nil"/>
              <w:bottom w:val="single" w:sz="4" w:space="0" w:color="1F61AA"/>
              <w:right w:val="nil"/>
            </w:tcBorders>
            <w:shd w:val="clear" w:color="auto" w:fill="C1C8E4"/>
            <w:vAlign w:val="center"/>
          </w:tcPr>
          <w:p w:rsidR="005225B5" w:rsidRPr="006263CF" w:rsidRDefault="005225B5" w:rsidP="001E6B62">
            <w:pPr>
              <w:ind w:left="53" w:right="14"/>
              <w:rPr>
                <w:rFonts w:asciiTheme="minorHAnsi" w:hAnsiTheme="minorHAnsi" w:cstheme="minorHAnsi"/>
                <w:sz w:val="18"/>
              </w:rPr>
            </w:pPr>
            <w:r w:rsidRPr="006263CF">
              <w:rPr>
                <w:rFonts w:asciiTheme="minorHAnsi" w:hAnsiTheme="minorHAnsi" w:cstheme="minorHAnsi"/>
                <w:b/>
                <w:bCs/>
                <w:color w:val="000000"/>
                <w:sz w:val="18"/>
              </w:rPr>
              <w:t>Огляд</w:t>
            </w:r>
          </w:p>
        </w:tc>
        <w:tc>
          <w:tcPr>
            <w:tcW w:w="1222" w:type="dxa"/>
            <w:tcBorders>
              <w:top w:val="nil"/>
              <w:left w:val="nil"/>
              <w:bottom w:val="single" w:sz="4" w:space="0" w:color="1F61AA"/>
              <w:right w:val="nil"/>
            </w:tcBorders>
            <w:shd w:val="clear" w:color="auto" w:fill="C1C8E4"/>
            <w:vAlign w:val="center"/>
          </w:tcPr>
          <w:p w:rsidR="005225B5" w:rsidRPr="006263CF" w:rsidRDefault="005225B5" w:rsidP="001E6B62">
            <w:pPr>
              <w:jc w:val="center"/>
              <w:rPr>
                <w:rFonts w:asciiTheme="minorHAnsi" w:hAnsiTheme="minorHAnsi" w:cstheme="minorHAnsi"/>
                <w:sz w:val="18"/>
              </w:rPr>
            </w:pPr>
            <w:r w:rsidRPr="006263CF">
              <w:rPr>
                <w:rFonts w:asciiTheme="minorHAnsi" w:hAnsiTheme="minorHAnsi" w:cstheme="minorHAnsi"/>
                <w:b/>
                <w:bCs/>
                <w:color w:val="000000"/>
                <w:sz w:val="18"/>
              </w:rPr>
              <w:t>Початковий рівень</w:t>
            </w:r>
          </w:p>
        </w:tc>
        <w:tc>
          <w:tcPr>
            <w:tcW w:w="847" w:type="dxa"/>
            <w:tcBorders>
              <w:top w:val="nil"/>
              <w:left w:val="nil"/>
              <w:bottom w:val="single" w:sz="4" w:space="0" w:color="1F61AA"/>
              <w:right w:val="nil"/>
            </w:tcBorders>
            <w:shd w:val="clear" w:color="auto" w:fill="C1C8E4"/>
            <w:vAlign w:val="center"/>
          </w:tcPr>
          <w:p w:rsidR="005225B5" w:rsidRPr="006263CF" w:rsidRDefault="005225B5" w:rsidP="001E6B62">
            <w:pPr>
              <w:ind w:left="53" w:right="14"/>
              <w:jc w:val="center"/>
              <w:rPr>
                <w:rFonts w:asciiTheme="minorHAnsi" w:hAnsiTheme="minorHAnsi" w:cstheme="minorHAnsi"/>
                <w:sz w:val="18"/>
              </w:rPr>
            </w:pPr>
            <w:r w:rsidRPr="006263CF">
              <w:rPr>
                <w:rFonts w:asciiTheme="minorHAnsi" w:hAnsiTheme="minorHAnsi" w:cstheme="minorHAnsi"/>
                <w:b/>
                <w:bCs/>
                <w:color w:val="000000"/>
                <w:sz w:val="18"/>
              </w:rPr>
              <w:t>2 тижні</w:t>
            </w:r>
          </w:p>
        </w:tc>
        <w:tc>
          <w:tcPr>
            <w:tcW w:w="1137" w:type="dxa"/>
            <w:gridSpan w:val="2"/>
            <w:tcBorders>
              <w:top w:val="nil"/>
              <w:left w:val="nil"/>
              <w:bottom w:val="single" w:sz="4" w:space="0" w:color="1F61AA"/>
              <w:right w:val="nil"/>
            </w:tcBorders>
            <w:shd w:val="clear" w:color="auto" w:fill="C1C8E4"/>
            <w:vAlign w:val="center"/>
          </w:tcPr>
          <w:p w:rsidR="005225B5" w:rsidRPr="006263CF" w:rsidRDefault="005225B5" w:rsidP="001E6B62">
            <w:pPr>
              <w:ind w:left="53" w:right="14"/>
              <w:jc w:val="center"/>
              <w:rPr>
                <w:rFonts w:asciiTheme="minorHAnsi" w:hAnsiTheme="minorHAnsi" w:cstheme="minorHAnsi"/>
                <w:sz w:val="18"/>
              </w:rPr>
            </w:pPr>
            <w:r w:rsidRPr="006263CF">
              <w:rPr>
                <w:rFonts w:asciiTheme="minorHAnsi" w:hAnsiTheme="minorHAnsi" w:cstheme="minorHAnsi"/>
                <w:b/>
                <w:bCs/>
                <w:color w:val="000000"/>
                <w:sz w:val="18"/>
              </w:rPr>
              <w:t>Щомісячно</w:t>
            </w:r>
          </w:p>
        </w:tc>
        <w:tc>
          <w:tcPr>
            <w:tcW w:w="1196" w:type="dxa"/>
            <w:tcBorders>
              <w:top w:val="nil"/>
              <w:left w:val="nil"/>
              <w:bottom w:val="single" w:sz="4" w:space="0" w:color="1F61AA"/>
              <w:right w:val="nil"/>
            </w:tcBorders>
            <w:shd w:val="clear" w:color="auto" w:fill="C1C8E4"/>
            <w:vAlign w:val="center"/>
          </w:tcPr>
          <w:p w:rsidR="005225B5" w:rsidRPr="006263CF" w:rsidRDefault="005225B5" w:rsidP="001E6B62">
            <w:pPr>
              <w:ind w:left="53" w:right="14"/>
              <w:jc w:val="center"/>
              <w:rPr>
                <w:rFonts w:asciiTheme="minorHAnsi" w:hAnsiTheme="minorHAnsi" w:cstheme="minorHAnsi"/>
                <w:sz w:val="18"/>
              </w:rPr>
            </w:pPr>
            <w:r w:rsidRPr="006263CF">
              <w:rPr>
                <w:rFonts w:asciiTheme="minorHAnsi" w:hAnsiTheme="minorHAnsi" w:cstheme="minorHAnsi"/>
                <w:b/>
                <w:bCs/>
                <w:color w:val="000000"/>
                <w:sz w:val="18"/>
              </w:rPr>
              <w:t>Кінець лікування</w:t>
            </w:r>
          </w:p>
        </w:tc>
        <w:tc>
          <w:tcPr>
            <w:tcW w:w="1685" w:type="dxa"/>
            <w:tcBorders>
              <w:top w:val="nil"/>
              <w:left w:val="nil"/>
              <w:bottom w:val="single" w:sz="4" w:space="0" w:color="1F61AA"/>
              <w:right w:val="nil"/>
            </w:tcBorders>
            <w:shd w:val="clear" w:color="auto" w:fill="C1C8E4"/>
            <w:vAlign w:val="center"/>
          </w:tcPr>
          <w:p w:rsidR="005225B5" w:rsidRPr="006263CF" w:rsidRDefault="005225B5" w:rsidP="001E6B62">
            <w:pPr>
              <w:ind w:left="53" w:right="14"/>
              <w:jc w:val="center"/>
              <w:rPr>
                <w:rFonts w:asciiTheme="minorHAnsi" w:hAnsiTheme="minorHAnsi" w:cstheme="minorHAnsi"/>
                <w:sz w:val="18"/>
              </w:rPr>
            </w:pPr>
            <w:r w:rsidRPr="006263CF">
              <w:rPr>
                <w:rFonts w:asciiTheme="minorHAnsi" w:hAnsiTheme="minorHAnsi" w:cstheme="minorHAnsi"/>
                <w:b/>
                <w:bCs/>
                <w:color w:val="000000"/>
                <w:sz w:val="18"/>
              </w:rPr>
              <w:t>6 та</w:t>
            </w:r>
          </w:p>
          <w:p w:rsidR="005225B5" w:rsidRPr="006263CF" w:rsidRDefault="005225B5" w:rsidP="001E6B62">
            <w:pPr>
              <w:ind w:left="53" w:right="14"/>
              <w:jc w:val="center"/>
              <w:rPr>
                <w:rFonts w:asciiTheme="minorHAnsi" w:hAnsiTheme="minorHAnsi" w:cstheme="minorHAnsi"/>
                <w:sz w:val="18"/>
              </w:rPr>
            </w:pPr>
            <w:r w:rsidRPr="006263CF">
              <w:rPr>
                <w:rFonts w:asciiTheme="minorHAnsi" w:hAnsiTheme="minorHAnsi" w:cstheme="minorHAnsi"/>
                <w:b/>
                <w:bCs/>
                <w:color w:val="000000"/>
                <w:sz w:val="18"/>
              </w:rPr>
              <w:t>12 місяців</w:t>
            </w:r>
          </w:p>
          <w:p w:rsidR="005225B5" w:rsidRPr="006263CF" w:rsidRDefault="005225B5" w:rsidP="001E6B62">
            <w:pPr>
              <w:ind w:left="53" w:right="14"/>
              <w:jc w:val="center"/>
              <w:rPr>
                <w:rFonts w:asciiTheme="minorHAnsi" w:hAnsiTheme="minorHAnsi" w:cstheme="minorHAnsi"/>
                <w:sz w:val="18"/>
              </w:rPr>
            </w:pPr>
            <w:r w:rsidRPr="006263CF">
              <w:rPr>
                <w:rFonts w:asciiTheme="minorHAnsi" w:hAnsiTheme="minorHAnsi" w:cstheme="minorHAnsi"/>
                <w:b/>
                <w:bCs/>
                <w:color w:val="000000"/>
                <w:sz w:val="18"/>
              </w:rPr>
              <w:t>після лікування</w:t>
            </w:r>
          </w:p>
        </w:tc>
      </w:tr>
      <w:tr w:rsidR="005225B5" w:rsidRPr="006263CF" w:rsidTr="001E6B62">
        <w:trPr>
          <w:trHeight w:hRule="exact" w:val="408"/>
        </w:trPr>
        <w:tc>
          <w:tcPr>
            <w:tcW w:w="3173"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ind w:left="53"/>
              <w:rPr>
                <w:rFonts w:asciiTheme="minorHAnsi" w:hAnsiTheme="minorHAnsi" w:cstheme="minorHAnsi"/>
                <w:sz w:val="18"/>
              </w:rPr>
            </w:pPr>
            <w:r w:rsidRPr="006263CF">
              <w:rPr>
                <w:rFonts w:asciiTheme="minorHAnsi" w:hAnsiTheme="minorHAnsi" w:cstheme="minorHAnsi"/>
                <w:i/>
                <w:iCs/>
                <w:color w:val="000000"/>
                <w:sz w:val="18"/>
              </w:rPr>
              <w:t>Клінічна оцінка</w:t>
            </w:r>
          </w:p>
        </w:tc>
        <w:tc>
          <w:tcPr>
            <w:tcW w:w="1222"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p>
        </w:tc>
        <w:tc>
          <w:tcPr>
            <w:tcW w:w="847"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p>
        </w:tc>
        <w:tc>
          <w:tcPr>
            <w:tcW w:w="1137" w:type="dxa"/>
            <w:gridSpan w:val="2"/>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p>
        </w:tc>
        <w:tc>
          <w:tcPr>
            <w:tcW w:w="1196"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p>
        </w:tc>
        <w:tc>
          <w:tcPr>
            <w:tcW w:w="1685"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p>
        </w:tc>
      </w:tr>
      <w:tr w:rsidR="005225B5" w:rsidRPr="006263CF" w:rsidTr="001E6B62">
        <w:trPr>
          <w:trHeight w:hRule="exact" w:val="370"/>
        </w:trPr>
        <w:tc>
          <w:tcPr>
            <w:tcW w:w="3173"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ind w:left="53"/>
              <w:rPr>
                <w:rFonts w:asciiTheme="minorHAnsi" w:hAnsiTheme="minorHAnsi" w:cstheme="minorHAnsi"/>
                <w:sz w:val="18"/>
              </w:rPr>
            </w:pPr>
            <w:r w:rsidRPr="006263CF">
              <w:rPr>
                <w:rFonts w:asciiTheme="minorHAnsi" w:hAnsiTheme="minorHAnsi" w:cstheme="minorHAnsi"/>
                <w:color w:val="000000"/>
                <w:sz w:val="18"/>
              </w:rPr>
              <w:t>Клінічний аналіз</w:t>
            </w:r>
            <w:r w:rsidRPr="006263CF">
              <w:rPr>
                <w:rFonts w:asciiTheme="minorHAnsi" w:hAnsiTheme="minorHAnsi" w:cstheme="minorHAnsi"/>
                <w:color w:val="000000"/>
                <w:sz w:val="18"/>
                <w:vertAlign w:val="superscript"/>
              </w:rPr>
              <w:t>a</w:t>
            </w:r>
          </w:p>
        </w:tc>
        <w:tc>
          <w:tcPr>
            <w:tcW w:w="1222"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r w:rsidRPr="006263CF">
              <w:rPr>
                <w:rFonts w:asciiTheme="minorHAnsi" w:hAnsiTheme="minorHAnsi" w:cstheme="minorHAnsi"/>
                <w:color w:val="000000"/>
                <w:sz w:val="18"/>
              </w:rPr>
              <w:t>X</w:t>
            </w:r>
          </w:p>
        </w:tc>
        <w:tc>
          <w:tcPr>
            <w:tcW w:w="847"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r w:rsidRPr="006263CF">
              <w:rPr>
                <w:rFonts w:asciiTheme="minorHAnsi" w:hAnsiTheme="minorHAnsi" w:cstheme="minorHAnsi"/>
                <w:color w:val="000000"/>
                <w:sz w:val="18"/>
              </w:rPr>
              <w:t>X</w:t>
            </w:r>
          </w:p>
        </w:tc>
        <w:tc>
          <w:tcPr>
            <w:tcW w:w="1137" w:type="dxa"/>
            <w:gridSpan w:val="2"/>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r w:rsidRPr="006263CF">
              <w:rPr>
                <w:rFonts w:asciiTheme="minorHAnsi" w:hAnsiTheme="minorHAnsi" w:cstheme="minorHAnsi"/>
                <w:color w:val="000000"/>
                <w:sz w:val="18"/>
              </w:rPr>
              <w:t>X</w:t>
            </w:r>
          </w:p>
        </w:tc>
        <w:tc>
          <w:tcPr>
            <w:tcW w:w="1196"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r w:rsidRPr="006263CF">
              <w:rPr>
                <w:rFonts w:asciiTheme="minorHAnsi" w:hAnsiTheme="minorHAnsi" w:cstheme="minorHAnsi"/>
                <w:color w:val="000000"/>
                <w:sz w:val="18"/>
              </w:rPr>
              <w:t>X</w:t>
            </w:r>
          </w:p>
        </w:tc>
        <w:tc>
          <w:tcPr>
            <w:tcW w:w="1685"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r w:rsidRPr="006263CF">
              <w:rPr>
                <w:rFonts w:asciiTheme="minorHAnsi" w:hAnsiTheme="minorHAnsi" w:cstheme="minorHAnsi"/>
                <w:color w:val="000000"/>
                <w:sz w:val="18"/>
              </w:rPr>
              <w:t>X</w:t>
            </w:r>
          </w:p>
        </w:tc>
      </w:tr>
      <w:tr w:rsidR="005225B5" w:rsidRPr="006263CF" w:rsidTr="001E6B62">
        <w:trPr>
          <w:trHeight w:hRule="exact" w:val="374"/>
        </w:trPr>
        <w:tc>
          <w:tcPr>
            <w:tcW w:w="3173"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ind w:left="53"/>
              <w:rPr>
                <w:rFonts w:asciiTheme="minorHAnsi" w:hAnsiTheme="minorHAnsi" w:cstheme="minorHAnsi"/>
                <w:sz w:val="18"/>
              </w:rPr>
            </w:pPr>
            <w:r w:rsidRPr="006263CF">
              <w:rPr>
                <w:rFonts w:asciiTheme="minorHAnsi" w:hAnsiTheme="minorHAnsi" w:cstheme="minorHAnsi"/>
                <w:color w:val="000000"/>
                <w:sz w:val="18"/>
              </w:rPr>
              <w:t>Психосоціальний аналіз</w:t>
            </w:r>
            <w:r w:rsidRPr="006263CF">
              <w:rPr>
                <w:rFonts w:asciiTheme="minorHAnsi" w:hAnsiTheme="minorHAnsi" w:cstheme="minorHAnsi"/>
                <w:color w:val="000000"/>
                <w:sz w:val="18"/>
                <w:vertAlign w:val="superscript"/>
              </w:rPr>
              <w:t>b</w:t>
            </w:r>
          </w:p>
        </w:tc>
        <w:tc>
          <w:tcPr>
            <w:tcW w:w="1222"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r w:rsidRPr="006263CF">
              <w:rPr>
                <w:rFonts w:asciiTheme="minorHAnsi" w:hAnsiTheme="minorHAnsi" w:cstheme="minorHAnsi"/>
                <w:color w:val="000000"/>
                <w:sz w:val="18"/>
              </w:rPr>
              <w:t>X</w:t>
            </w:r>
          </w:p>
        </w:tc>
        <w:tc>
          <w:tcPr>
            <w:tcW w:w="847"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r w:rsidRPr="006263CF">
              <w:rPr>
                <w:rFonts w:asciiTheme="minorHAnsi" w:hAnsiTheme="minorHAnsi" w:cstheme="minorHAnsi"/>
                <w:color w:val="000000"/>
                <w:sz w:val="18"/>
              </w:rPr>
              <w:t>X</w:t>
            </w:r>
          </w:p>
        </w:tc>
        <w:tc>
          <w:tcPr>
            <w:tcW w:w="1137" w:type="dxa"/>
            <w:gridSpan w:val="2"/>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r w:rsidRPr="006263CF">
              <w:rPr>
                <w:rFonts w:asciiTheme="minorHAnsi" w:hAnsiTheme="minorHAnsi" w:cstheme="minorHAnsi"/>
                <w:color w:val="000000"/>
                <w:sz w:val="18"/>
              </w:rPr>
              <w:t>X</w:t>
            </w:r>
          </w:p>
        </w:tc>
        <w:tc>
          <w:tcPr>
            <w:tcW w:w="1196"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r w:rsidRPr="006263CF">
              <w:rPr>
                <w:rFonts w:asciiTheme="minorHAnsi" w:hAnsiTheme="minorHAnsi" w:cstheme="minorHAnsi"/>
                <w:color w:val="000000"/>
                <w:sz w:val="18"/>
              </w:rPr>
              <w:t>X</w:t>
            </w:r>
          </w:p>
        </w:tc>
        <w:tc>
          <w:tcPr>
            <w:tcW w:w="1685"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r w:rsidRPr="006263CF">
              <w:rPr>
                <w:rFonts w:asciiTheme="minorHAnsi" w:hAnsiTheme="minorHAnsi" w:cstheme="minorHAnsi"/>
                <w:color w:val="000000"/>
                <w:sz w:val="18"/>
              </w:rPr>
              <w:t>X</w:t>
            </w:r>
          </w:p>
        </w:tc>
      </w:tr>
      <w:tr w:rsidR="005225B5" w:rsidRPr="006263CF" w:rsidTr="001E6B62">
        <w:trPr>
          <w:trHeight w:hRule="exact" w:val="370"/>
        </w:trPr>
        <w:tc>
          <w:tcPr>
            <w:tcW w:w="3173"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ind w:left="53"/>
              <w:rPr>
                <w:rFonts w:asciiTheme="minorHAnsi" w:hAnsiTheme="minorHAnsi" w:cstheme="minorHAnsi"/>
                <w:sz w:val="18"/>
              </w:rPr>
            </w:pPr>
            <w:r w:rsidRPr="006263CF">
              <w:rPr>
                <w:rFonts w:asciiTheme="minorHAnsi" w:hAnsiTheme="minorHAnsi" w:cstheme="minorHAnsi"/>
                <w:color w:val="000000"/>
                <w:sz w:val="18"/>
              </w:rPr>
              <w:t>Вага/ІМТ</w:t>
            </w:r>
          </w:p>
        </w:tc>
        <w:tc>
          <w:tcPr>
            <w:tcW w:w="1222"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r w:rsidRPr="006263CF">
              <w:rPr>
                <w:rFonts w:asciiTheme="minorHAnsi" w:hAnsiTheme="minorHAnsi" w:cstheme="minorHAnsi"/>
                <w:color w:val="000000"/>
                <w:sz w:val="18"/>
              </w:rPr>
              <w:t>X</w:t>
            </w:r>
          </w:p>
        </w:tc>
        <w:tc>
          <w:tcPr>
            <w:tcW w:w="847"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r w:rsidRPr="006263CF">
              <w:rPr>
                <w:rFonts w:asciiTheme="minorHAnsi" w:hAnsiTheme="minorHAnsi" w:cstheme="minorHAnsi"/>
                <w:color w:val="000000"/>
                <w:sz w:val="18"/>
              </w:rPr>
              <w:t>X</w:t>
            </w:r>
          </w:p>
        </w:tc>
        <w:tc>
          <w:tcPr>
            <w:tcW w:w="1137" w:type="dxa"/>
            <w:gridSpan w:val="2"/>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r w:rsidRPr="006263CF">
              <w:rPr>
                <w:rFonts w:asciiTheme="minorHAnsi" w:hAnsiTheme="minorHAnsi" w:cstheme="minorHAnsi"/>
                <w:color w:val="000000"/>
                <w:sz w:val="18"/>
              </w:rPr>
              <w:t>X</w:t>
            </w:r>
          </w:p>
        </w:tc>
        <w:tc>
          <w:tcPr>
            <w:tcW w:w="1196"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r w:rsidRPr="006263CF">
              <w:rPr>
                <w:rFonts w:asciiTheme="minorHAnsi" w:hAnsiTheme="minorHAnsi" w:cstheme="minorHAnsi"/>
                <w:color w:val="000000"/>
                <w:sz w:val="18"/>
              </w:rPr>
              <w:t>X</w:t>
            </w:r>
          </w:p>
        </w:tc>
        <w:tc>
          <w:tcPr>
            <w:tcW w:w="1685"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r w:rsidRPr="006263CF">
              <w:rPr>
                <w:rFonts w:asciiTheme="minorHAnsi" w:hAnsiTheme="minorHAnsi" w:cstheme="minorHAnsi"/>
                <w:color w:val="000000"/>
                <w:sz w:val="18"/>
              </w:rPr>
              <w:t>X</w:t>
            </w:r>
          </w:p>
        </w:tc>
      </w:tr>
      <w:tr w:rsidR="005225B5" w:rsidRPr="006263CF" w:rsidTr="001E6B62">
        <w:trPr>
          <w:trHeight w:hRule="exact" w:val="374"/>
        </w:trPr>
        <w:tc>
          <w:tcPr>
            <w:tcW w:w="3173"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ind w:left="53"/>
              <w:rPr>
                <w:rFonts w:asciiTheme="minorHAnsi" w:hAnsiTheme="minorHAnsi" w:cstheme="minorHAnsi"/>
                <w:sz w:val="18"/>
              </w:rPr>
            </w:pPr>
            <w:r w:rsidRPr="006263CF">
              <w:rPr>
                <w:rFonts w:asciiTheme="minorHAnsi" w:hAnsiTheme="minorHAnsi" w:cstheme="minorHAnsi"/>
                <w:color w:val="000000"/>
                <w:sz w:val="18"/>
              </w:rPr>
              <w:t>Статус продуктивності</w:t>
            </w:r>
          </w:p>
        </w:tc>
        <w:tc>
          <w:tcPr>
            <w:tcW w:w="1222"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r w:rsidRPr="006263CF">
              <w:rPr>
                <w:rFonts w:asciiTheme="minorHAnsi" w:hAnsiTheme="minorHAnsi" w:cstheme="minorHAnsi"/>
                <w:color w:val="000000"/>
                <w:sz w:val="18"/>
              </w:rPr>
              <w:t>X</w:t>
            </w:r>
          </w:p>
        </w:tc>
        <w:tc>
          <w:tcPr>
            <w:tcW w:w="847"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p>
        </w:tc>
        <w:tc>
          <w:tcPr>
            <w:tcW w:w="1137" w:type="dxa"/>
            <w:gridSpan w:val="2"/>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p>
        </w:tc>
        <w:tc>
          <w:tcPr>
            <w:tcW w:w="1196"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p>
        </w:tc>
        <w:tc>
          <w:tcPr>
            <w:tcW w:w="1685"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p>
        </w:tc>
      </w:tr>
      <w:tr w:rsidR="005225B5" w:rsidRPr="006263CF" w:rsidTr="001E6B62">
        <w:trPr>
          <w:trHeight w:hRule="exact" w:val="370"/>
        </w:trPr>
        <w:tc>
          <w:tcPr>
            <w:tcW w:w="3173"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ind w:left="53"/>
              <w:rPr>
                <w:rFonts w:asciiTheme="minorHAnsi" w:hAnsiTheme="minorHAnsi" w:cstheme="minorHAnsi"/>
                <w:sz w:val="18"/>
              </w:rPr>
            </w:pPr>
            <w:r w:rsidRPr="006263CF">
              <w:rPr>
                <w:rFonts w:asciiTheme="minorHAnsi" w:hAnsiTheme="minorHAnsi" w:cstheme="minorHAnsi"/>
                <w:color w:val="000000"/>
                <w:sz w:val="18"/>
              </w:rPr>
              <w:t>Скринінг на периферичну нейропатію</w:t>
            </w:r>
          </w:p>
        </w:tc>
        <w:tc>
          <w:tcPr>
            <w:tcW w:w="1222"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r w:rsidRPr="006263CF">
              <w:rPr>
                <w:rFonts w:asciiTheme="minorHAnsi" w:hAnsiTheme="minorHAnsi" w:cstheme="minorHAnsi"/>
                <w:color w:val="000000"/>
                <w:sz w:val="18"/>
              </w:rPr>
              <w:t>X</w:t>
            </w:r>
          </w:p>
        </w:tc>
        <w:tc>
          <w:tcPr>
            <w:tcW w:w="847"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r w:rsidRPr="006263CF">
              <w:rPr>
                <w:rFonts w:asciiTheme="minorHAnsi" w:hAnsiTheme="minorHAnsi" w:cstheme="minorHAnsi"/>
                <w:color w:val="000000"/>
                <w:sz w:val="18"/>
              </w:rPr>
              <w:t>X</w:t>
            </w:r>
          </w:p>
        </w:tc>
        <w:tc>
          <w:tcPr>
            <w:tcW w:w="1137" w:type="dxa"/>
            <w:gridSpan w:val="2"/>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r w:rsidRPr="006263CF">
              <w:rPr>
                <w:rFonts w:asciiTheme="minorHAnsi" w:hAnsiTheme="minorHAnsi" w:cstheme="minorHAnsi"/>
                <w:color w:val="000000"/>
                <w:sz w:val="18"/>
              </w:rPr>
              <w:t>X</w:t>
            </w:r>
          </w:p>
        </w:tc>
        <w:tc>
          <w:tcPr>
            <w:tcW w:w="1196"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r w:rsidRPr="006263CF">
              <w:rPr>
                <w:rFonts w:asciiTheme="minorHAnsi" w:hAnsiTheme="minorHAnsi" w:cstheme="minorHAnsi"/>
                <w:color w:val="000000"/>
                <w:sz w:val="18"/>
              </w:rPr>
              <w:t>X</w:t>
            </w:r>
          </w:p>
        </w:tc>
        <w:tc>
          <w:tcPr>
            <w:tcW w:w="1685"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p>
        </w:tc>
      </w:tr>
      <w:tr w:rsidR="005225B5" w:rsidRPr="006263CF" w:rsidTr="001E6B62">
        <w:trPr>
          <w:trHeight w:hRule="exact" w:val="595"/>
        </w:trPr>
        <w:tc>
          <w:tcPr>
            <w:tcW w:w="3173"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ind w:left="53" w:right="907"/>
              <w:rPr>
                <w:rFonts w:asciiTheme="minorHAnsi" w:hAnsiTheme="minorHAnsi" w:cstheme="minorHAnsi"/>
                <w:sz w:val="18"/>
              </w:rPr>
            </w:pPr>
            <w:r w:rsidRPr="006263CF">
              <w:rPr>
                <w:rFonts w:asciiTheme="minorHAnsi" w:hAnsiTheme="minorHAnsi" w:cstheme="minorHAnsi"/>
                <w:color w:val="000000"/>
                <w:sz w:val="18"/>
              </w:rPr>
              <w:t>Скринінг на гостроту зору і розрізнення кольорів</w:t>
            </w:r>
          </w:p>
        </w:tc>
        <w:tc>
          <w:tcPr>
            <w:tcW w:w="1222"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r w:rsidRPr="006263CF">
              <w:rPr>
                <w:rFonts w:asciiTheme="minorHAnsi" w:hAnsiTheme="minorHAnsi" w:cstheme="minorHAnsi"/>
                <w:color w:val="000000"/>
                <w:sz w:val="18"/>
              </w:rPr>
              <w:t>X</w:t>
            </w:r>
          </w:p>
        </w:tc>
        <w:tc>
          <w:tcPr>
            <w:tcW w:w="847"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r w:rsidRPr="006263CF">
              <w:rPr>
                <w:rFonts w:asciiTheme="minorHAnsi" w:hAnsiTheme="minorHAnsi" w:cstheme="minorHAnsi"/>
                <w:color w:val="000000"/>
                <w:sz w:val="18"/>
              </w:rPr>
              <w:t>X</w:t>
            </w:r>
          </w:p>
        </w:tc>
        <w:tc>
          <w:tcPr>
            <w:tcW w:w="1137" w:type="dxa"/>
            <w:gridSpan w:val="2"/>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r w:rsidRPr="006263CF">
              <w:rPr>
                <w:rFonts w:asciiTheme="minorHAnsi" w:hAnsiTheme="minorHAnsi" w:cstheme="minorHAnsi"/>
                <w:color w:val="000000"/>
                <w:sz w:val="18"/>
              </w:rPr>
              <w:t>X</w:t>
            </w:r>
          </w:p>
        </w:tc>
        <w:tc>
          <w:tcPr>
            <w:tcW w:w="1196"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r w:rsidRPr="006263CF">
              <w:rPr>
                <w:rFonts w:asciiTheme="minorHAnsi" w:hAnsiTheme="minorHAnsi" w:cstheme="minorHAnsi"/>
                <w:color w:val="000000"/>
                <w:sz w:val="18"/>
              </w:rPr>
              <w:t>X</w:t>
            </w:r>
          </w:p>
        </w:tc>
        <w:tc>
          <w:tcPr>
            <w:tcW w:w="1685"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p>
        </w:tc>
      </w:tr>
      <w:tr w:rsidR="005225B5" w:rsidRPr="006263CF" w:rsidTr="001E6B62">
        <w:trPr>
          <w:trHeight w:hRule="exact" w:val="590"/>
        </w:trPr>
        <w:tc>
          <w:tcPr>
            <w:tcW w:w="3173"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ind w:left="53" w:right="480"/>
              <w:rPr>
                <w:rFonts w:asciiTheme="minorHAnsi" w:hAnsiTheme="minorHAnsi" w:cstheme="minorHAnsi"/>
                <w:sz w:val="18"/>
              </w:rPr>
            </w:pPr>
            <w:r w:rsidRPr="006263CF">
              <w:rPr>
                <w:rFonts w:asciiTheme="minorHAnsi" w:hAnsiTheme="minorHAnsi" w:cstheme="minorHAnsi"/>
                <w:color w:val="000000"/>
                <w:sz w:val="18"/>
              </w:rPr>
              <w:t>Оцінка небажаних явищ і прийняття подальших заходів</w:t>
            </w:r>
          </w:p>
        </w:tc>
        <w:tc>
          <w:tcPr>
            <w:tcW w:w="1222"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r w:rsidRPr="006263CF">
              <w:rPr>
                <w:rFonts w:asciiTheme="minorHAnsi" w:hAnsiTheme="minorHAnsi" w:cstheme="minorHAnsi"/>
                <w:color w:val="000000"/>
                <w:sz w:val="18"/>
              </w:rPr>
              <w:t>X</w:t>
            </w:r>
          </w:p>
        </w:tc>
        <w:tc>
          <w:tcPr>
            <w:tcW w:w="847"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r w:rsidRPr="006263CF">
              <w:rPr>
                <w:rFonts w:asciiTheme="minorHAnsi" w:hAnsiTheme="minorHAnsi" w:cstheme="minorHAnsi"/>
                <w:color w:val="000000"/>
                <w:sz w:val="18"/>
              </w:rPr>
              <w:t>X</w:t>
            </w:r>
          </w:p>
        </w:tc>
        <w:tc>
          <w:tcPr>
            <w:tcW w:w="1137" w:type="dxa"/>
            <w:gridSpan w:val="2"/>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r w:rsidRPr="006263CF">
              <w:rPr>
                <w:rFonts w:asciiTheme="minorHAnsi" w:hAnsiTheme="minorHAnsi" w:cstheme="minorHAnsi"/>
                <w:color w:val="000000"/>
                <w:sz w:val="18"/>
              </w:rPr>
              <w:t>X</w:t>
            </w:r>
          </w:p>
        </w:tc>
        <w:tc>
          <w:tcPr>
            <w:tcW w:w="1196"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r w:rsidRPr="006263CF">
              <w:rPr>
                <w:rFonts w:asciiTheme="minorHAnsi" w:hAnsiTheme="minorHAnsi" w:cstheme="minorHAnsi"/>
                <w:color w:val="000000"/>
                <w:sz w:val="18"/>
              </w:rPr>
              <w:t>X</w:t>
            </w:r>
          </w:p>
        </w:tc>
        <w:tc>
          <w:tcPr>
            <w:tcW w:w="1685"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r w:rsidRPr="006263CF">
              <w:rPr>
                <w:rFonts w:asciiTheme="minorHAnsi" w:hAnsiTheme="minorHAnsi" w:cstheme="minorHAnsi"/>
                <w:color w:val="000000"/>
                <w:sz w:val="18"/>
              </w:rPr>
              <w:t>X</w:t>
            </w:r>
          </w:p>
        </w:tc>
      </w:tr>
      <w:tr w:rsidR="005225B5" w:rsidRPr="006263CF" w:rsidTr="001E6B62">
        <w:trPr>
          <w:trHeight w:hRule="exact" w:val="374"/>
        </w:trPr>
        <w:tc>
          <w:tcPr>
            <w:tcW w:w="3173"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ind w:left="53"/>
              <w:rPr>
                <w:rFonts w:asciiTheme="minorHAnsi" w:hAnsiTheme="minorHAnsi" w:cstheme="minorHAnsi"/>
                <w:sz w:val="18"/>
              </w:rPr>
            </w:pPr>
            <w:r w:rsidRPr="006263CF">
              <w:rPr>
                <w:rFonts w:asciiTheme="minorHAnsi" w:hAnsiTheme="minorHAnsi" w:cstheme="minorHAnsi"/>
                <w:color w:val="000000"/>
                <w:sz w:val="18"/>
              </w:rPr>
              <w:t>Підсумкова консультація</w:t>
            </w:r>
          </w:p>
        </w:tc>
        <w:tc>
          <w:tcPr>
            <w:tcW w:w="1222"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p>
        </w:tc>
        <w:tc>
          <w:tcPr>
            <w:tcW w:w="847"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p>
        </w:tc>
        <w:tc>
          <w:tcPr>
            <w:tcW w:w="1137" w:type="dxa"/>
            <w:gridSpan w:val="2"/>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p>
        </w:tc>
        <w:tc>
          <w:tcPr>
            <w:tcW w:w="1196"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r w:rsidRPr="006263CF">
              <w:rPr>
                <w:rFonts w:asciiTheme="minorHAnsi" w:hAnsiTheme="minorHAnsi" w:cstheme="minorHAnsi"/>
                <w:color w:val="000000"/>
                <w:sz w:val="18"/>
              </w:rPr>
              <w:t>X</w:t>
            </w:r>
          </w:p>
        </w:tc>
        <w:tc>
          <w:tcPr>
            <w:tcW w:w="1685"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r w:rsidRPr="006263CF">
              <w:rPr>
                <w:rFonts w:asciiTheme="minorHAnsi" w:hAnsiTheme="minorHAnsi" w:cstheme="minorHAnsi"/>
                <w:color w:val="000000"/>
                <w:sz w:val="18"/>
              </w:rPr>
              <w:t>X</w:t>
            </w:r>
          </w:p>
        </w:tc>
      </w:tr>
      <w:tr w:rsidR="005225B5" w:rsidRPr="006263CF" w:rsidTr="001E6B62">
        <w:trPr>
          <w:trHeight w:hRule="exact" w:val="370"/>
        </w:trPr>
        <w:tc>
          <w:tcPr>
            <w:tcW w:w="3173"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ind w:left="53"/>
              <w:rPr>
                <w:rFonts w:asciiTheme="minorHAnsi" w:hAnsiTheme="minorHAnsi" w:cstheme="minorHAnsi"/>
                <w:sz w:val="18"/>
              </w:rPr>
            </w:pPr>
            <w:r w:rsidRPr="006263CF">
              <w:rPr>
                <w:rFonts w:asciiTheme="minorHAnsi" w:hAnsiTheme="minorHAnsi" w:cstheme="minorHAnsi"/>
                <w:i/>
                <w:iCs/>
                <w:color w:val="000000"/>
                <w:sz w:val="18"/>
              </w:rPr>
              <w:t>Бактеріологічні оцінки</w:t>
            </w:r>
          </w:p>
        </w:tc>
        <w:tc>
          <w:tcPr>
            <w:tcW w:w="1222"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p>
        </w:tc>
        <w:tc>
          <w:tcPr>
            <w:tcW w:w="847"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p>
        </w:tc>
        <w:tc>
          <w:tcPr>
            <w:tcW w:w="1137" w:type="dxa"/>
            <w:gridSpan w:val="2"/>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p>
        </w:tc>
        <w:tc>
          <w:tcPr>
            <w:tcW w:w="1196"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p>
        </w:tc>
        <w:tc>
          <w:tcPr>
            <w:tcW w:w="1685"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p>
        </w:tc>
      </w:tr>
      <w:tr w:rsidR="005225B5" w:rsidRPr="006263CF" w:rsidTr="001E6B62">
        <w:trPr>
          <w:trHeight w:hRule="exact" w:val="374"/>
        </w:trPr>
        <w:tc>
          <w:tcPr>
            <w:tcW w:w="3173"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ind w:left="53"/>
              <w:rPr>
                <w:rFonts w:asciiTheme="minorHAnsi" w:hAnsiTheme="minorHAnsi" w:cstheme="minorHAnsi"/>
                <w:sz w:val="18"/>
              </w:rPr>
            </w:pPr>
            <w:r w:rsidRPr="006263CF">
              <w:rPr>
                <w:rFonts w:asciiTheme="minorHAnsi" w:hAnsiTheme="minorHAnsi" w:cstheme="minorHAnsi"/>
                <w:color w:val="000000"/>
                <w:sz w:val="18"/>
              </w:rPr>
              <w:t>Мазок мокротиння</w:t>
            </w:r>
          </w:p>
        </w:tc>
        <w:tc>
          <w:tcPr>
            <w:tcW w:w="1222"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r w:rsidRPr="006263CF">
              <w:rPr>
                <w:rFonts w:asciiTheme="minorHAnsi" w:hAnsiTheme="minorHAnsi" w:cstheme="minorHAnsi"/>
                <w:color w:val="000000"/>
                <w:sz w:val="18"/>
              </w:rPr>
              <w:t>X</w:t>
            </w:r>
          </w:p>
        </w:tc>
        <w:tc>
          <w:tcPr>
            <w:tcW w:w="847"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p>
        </w:tc>
        <w:tc>
          <w:tcPr>
            <w:tcW w:w="1137" w:type="dxa"/>
            <w:gridSpan w:val="2"/>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r w:rsidRPr="006263CF">
              <w:rPr>
                <w:rFonts w:asciiTheme="minorHAnsi" w:hAnsiTheme="minorHAnsi" w:cstheme="minorHAnsi"/>
                <w:color w:val="000000"/>
                <w:sz w:val="18"/>
              </w:rPr>
              <w:t>X</w:t>
            </w:r>
          </w:p>
        </w:tc>
        <w:tc>
          <w:tcPr>
            <w:tcW w:w="1196"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r w:rsidRPr="006263CF">
              <w:rPr>
                <w:rFonts w:asciiTheme="minorHAnsi" w:hAnsiTheme="minorHAnsi" w:cstheme="minorHAnsi"/>
                <w:color w:val="000000"/>
                <w:sz w:val="18"/>
              </w:rPr>
              <w:t>X</w:t>
            </w:r>
          </w:p>
        </w:tc>
        <w:tc>
          <w:tcPr>
            <w:tcW w:w="1685"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r w:rsidRPr="006263CF">
              <w:rPr>
                <w:rFonts w:asciiTheme="minorHAnsi" w:hAnsiTheme="minorHAnsi" w:cstheme="minorHAnsi"/>
                <w:color w:val="000000"/>
                <w:sz w:val="18"/>
              </w:rPr>
              <w:t>X</w:t>
            </w:r>
          </w:p>
        </w:tc>
      </w:tr>
      <w:tr w:rsidR="005225B5" w:rsidRPr="006263CF" w:rsidTr="001E6B62">
        <w:trPr>
          <w:trHeight w:hRule="exact" w:val="374"/>
        </w:trPr>
        <w:tc>
          <w:tcPr>
            <w:tcW w:w="3173"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ind w:left="53"/>
              <w:rPr>
                <w:rFonts w:asciiTheme="minorHAnsi" w:hAnsiTheme="minorHAnsi" w:cstheme="minorHAnsi"/>
                <w:sz w:val="18"/>
              </w:rPr>
            </w:pPr>
            <w:r w:rsidRPr="006263CF">
              <w:rPr>
                <w:rFonts w:asciiTheme="minorHAnsi" w:hAnsiTheme="minorHAnsi" w:cstheme="minorHAnsi"/>
                <w:color w:val="000000"/>
                <w:sz w:val="18"/>
              </w:rPr>
              <w:t>Бакпосів мокротиння</w:t>
            </w:r>
          </w:p>
        </w:tc>
        <w:tc>
          <w:tcPr>
            <w:tcW w:w="1222"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r w:rsidRPr="006263CF">
              <w:rPr>
                <w:rFonts w:asciiTheme="minorHAnsi" w:hAnsiTheme="minorHAnsi" w:cstheme="minorHAnsi"/>
                <w:color w:val="000000"/>
                <w:sz w:val="18"/>
              </w:rPr>
              <w:t>X</w:t>
            </w:r>
          </w:p>
        </w:tc>
        <w:tc>
          <w:tcPr>
            <w:tcW w:w="847"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p>
        </w:tc>
        <w:tc>
          <w:tcPr>
            <w:tcW w:w="1137" w:type="dxa"/>
            <w:gridSpan w:val="2"/>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r w:rsidRPr="006263CF">
              <w:rPr>
                <w:rFonts w:asciiTheme="minorHAnsi" w:hAnsiTheme="minorHAnsi" w:cstheme="minorHAnsi"/>
                <w:color w:val="000000"/>
                <w:sz w:val="18"/>
              </w:rPr>
              <w:t>X</w:t>
            </w:r>
          </w:p>
        </w:tc>
        <w:tc>
          <w:tcPr>
            <w:tcW w:w="1196"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r w:rsidRPr="006263CF">
              <w:rPr>
                <w:rFonts w:asciiTheme="minorHAnsi" w:hAnsiTheme="minorHAnsi" w:cstheme="minorHAnsi"/>
                <w:color w:val="000000"/>
                <w:sz w:val="18"/>
              </w:rPr>
              <w:t>X</w:t>
            </w:r>
          </w:p>
        </w:tc>
        <w:tc>
          <w:tcPr>
            <w:tcW w:w="1685"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r w:rsidRPr="006263CF">
              <w:rPr>
                <w:rFonts w:asciiTheme="minorHAnsi" w:hAnsiTheme="minorHAnsi" w:cstheme="minorHAnsi"/>
                <w:color w:val="000000"/>
                <w:sz w:val="18"/>
              </w:rPr>
              <w:t>X</w:t>
            </w:r>
          </w:p>
        </w:tc>
      </w:tr>
      <w:tr w:rsidR="005225B5" w:rsidRPr="006263CF" w:rsidTr="001E6B62">
        <w:trPr>
          <w:trHeight w:hRule="exact" w:val="478"/>
        </w:trPr>
        <w:tc>
          <w:tcPr>
            <w:tcW w:w="3173"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ind w:left="53"/>
              <w:rPr>
                <w:rFonts w:asciiTheme="minorHAnsi" w:hAnsiTheme="minorHAnsi" w:cstheme="minorHAnsi"/>
                <w:sz w:val="18"/>
              </w:rPr>
            </w:pPr>
            <w:r w:rsidRPr="006263CF">
              <w:rPr>
                <w:rFonts w:asciiTheme="minorHAnsi" w:hAnsiTheme="minorHAnsi" w:cstheme="minorHAnsi"/>
                <w:color w:val="000000"/>
                <w:sz w:val="18"/>
              </w:rPr>
              <w:t>Тест медикаментозної чутливості мокротиння</w:t>
            </w:r>
            <w:r w:rsidRPr="006263CF">
              <w:rPr>
                <w:rFonts w:asciiTheme="minorHAnsi" w:hAnsiTheme="minorHAnsi" w:cstheme="minorHAnsi"/>
                <w:color w:val="000000"/>
                <w:sz w:val="18"/>
                <w:vertAlign w:val="superscript"/>
              </w:rPr>
              <w:t>c</w:t>
            </w:r>
          </w:p>
        </w:tc>
        <w:tc>
          <w:tcPr>
            <w:tcW w:w="1222"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r w:rsidRPr="006263CF">
              <w:rPr>
                <w:rFonts w:asciiTheme="minorHAnsi" w:hAnsiTheme="minorHAnsi" w:cstheme="minorHAnsi"/>
                <w:color w:val="000000"/>
                <w:sz w:val="18"/>
              </w:rPr>
              <w:t>X</w:t>
            </w:r>
          </w:p>
        </w:tc>
        <w:tc>
          <w:tcPr>
            <w:tcW w:w="847"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p>
        </w:tc>
        <w:tc>
          <w:tcPr>
            <w:tcW w:w="4018" w:type="dxa"/>
            <w:gridSpan w:val="4"/>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r w:rsidRPr="006263CF">
              <w:rPr>
                <w:rFonts w:asciiTheme="minorHAnsi" w:hAnsiTheme="minorHAnsi" w:cstheme="minorHAnsi"/>
                <w:color w:val="000000"/>
                <w:sz w:val="18"/>
              </w:rPr>
              <w:t>Якщо мазок або бакпосів позитивні</w:t>
            </w:r>
          </w:p>
        </w:tc>
      </w:tr>
      <w:tr w:rsidR="005225B5" w:rsidRPr="006263CF" w:rsidTr="001E6B62">
        <w:trPr>
          <w:trHeight w:hRule="exact" w:val="595"/>
        </w:trPr>
        <w:tc>
          <w:tcPr>
            <w:tcW w:w="3173"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ind w:left="53" w:right="1219"/>
              <w:rPr>
                <w:rFonts w:asciiTheme="minorHAnsi" w:hAnsiTheme="minorHAnsi" w:cstheme="minorHAnsi"/>
                <w:sz w:val="18"/>
              </w:rPr>
            </w:pPr>
            <w:r w:rsidRPr="006263CF">
              <w:rPr>
                <w:rFonts w:asciiTheme="minorHAnsi" w:hAnsiTheme="minorHAnsi" w:cstheme="minorHAnsi"/>
                <w:color w:val="000000"/>
                <w:sz w:val="18"/>
              </w:rPr>
              <w:t>Інші зразки (мазок/бакпосів/ТМЧ)</w:t>
            </w:r>
          </w:p>
        </w:tc>
        <w:tc>
          <w:tcPr>
            <w:tcW w:w="1222"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r w:rsidRPr="006263CF">
              <w:rPr>
                <w:rFonts w:asciiTheme="minorHAnsi" w:hAnsiTheme="minorHAnsi" w:cstheme="minorHAnsi"/>
                <w:color w:val="000000"/>
                <w:sz w:val="18"/>
              </w:rPr>
              <w:t>X</w:t>
            </w:r>
          </w:p>
        </w:tc>
        <w:tc>
          <w:tcPr>
            <w:tcW w:w="847"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p>
        </w:tc>
        <w:tc>
          <w:tcPr>
            <w:tcW w:w="4018" w:type="dxa"/>
            <w:gridSpan w:val="4"/>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r w:rsidRPr="006263CF">
              <w:rPr>
                <w:rFonts w:asciiTheme="minorHAnsi" w:hAnsiTheme="minorHAnsi" w:cstheme="minorHAnsi"/>
                <w:color w:val="000000"/>
                <w:sz w:val="18"/>
              </w:rPr>
              <w:t>Якщо немає документально підтвердженої відповіді на лікування</w:t>
            </w:r>
          </w:p>
        </w:tc>
      </w:tr>
      <w:tr w:rsidR="005225B5" w:rsidRPr="006263CF" w:rsidTr="001E6B62">
        <w:trPr>
          <w:trHeight w:hRule="exact" w:val="370"/>
        </w:trPr>
        <w:tc>
          <w:tcPr>
            <w:tcW w:w="4395" w:type="dxa"/>
            <w:gridSpan w:val="2"/>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ind w:left="53"/>
              <w:rPr>
                <w:rFonts w:asciiTheme="minorHAnsi" w:hAnsiTheme="minorHAnsi" w:cstheme="minorHAnsi"/>
                <w:sz w:val="18"/>
              </w:rPr>
            </w:pPr>
            <w:r w:rsidRPr="006263CF">
              <w:rPr>
                <w:rFonts w:asciiTheme="minorHAnsi" w:hAnsiTheme="minorHAnsi" w:cstheme="minorHAnsi"/>
                <w:i/>
                <w:iCs/>
                <w:color w:val="000000"/>
                <w:sz w:val="18"/>
              </w:rPr>
              <w:t>Рентгенологія, ЕКГ та лабораторні оцінки</w:t>
            </w:r>
          </w:p>
        </w:tc>
        <w:tc>
          <w:tcPr>
            <w:tcW w:w="847"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p>
        </w:tc>
        <w:tc>
          <w:tcPr>
            <w:tcW w:w="946"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p>
        </w:tc>
        <w:tc>
          <w:tcPr>
            <w:tcW w:w="1387" w:type="dxa"/>
            <w:gridSpan w:val="2"/>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p>
        </w:tc>
        <w:tc>
          <w:tcPr>
            <w:tcW w:w="1685"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p>
        </w:tc>
      </w:tr>
      <w:tr w:rsidR="005225B5" w:rsidRPr="006263CF" w:rsidTr="001E6B62">
        <w:trPr>
          <w:trHeight w:hRule="exact" w:val="374"/>
        </w:trPr>
        <w:tc>
          <w:tcPr>
            <w:tcW w:w="3173"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ind w:left="53"/>
              <w:rPr>
                <w:rFonts w:asciiTheme="minorHAnsi" w:hAnsiTheme="minorHAnsi" w:cstheme="minorHAnsi"/>
                <w:sz w:val="18"/>
              </w:rPr>
            </w:pPr>
            <w:r w:rsidRPr="006263CF">
              <w:rPr>
                <w:rFonts w:asciiTheme="minorHAnsi" w:hAnsiTheme="minorHAnsi" w:cstheme="minorHAnsi"/>
                <w:color w:val="000000"/>
                <w:sz w:val="18"/>
              </w:rPr>
              <w:t>Рентгенографія органів грудної клітки</w:t>
            </w:r>
          </w:p>
        </w:tc>
        <w:tc>
          <w:tcPr>
            <w:tcW w:w="1222"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r w:rsidRPr="006263CF">
              <w:rPr>
                <w:rFonts w:asciiTheme="minorHAnsi" w:hAnsiTheme="minorHAnsi" w:cstheme="minorHAnsi"/>
                <w:color w:val="000000"/>
                <w:sz w:val="18"/>
              </w:rPr>
              <w:t>X</w:t>
            </w:r>
          </w:p>
        </w:tc>
        <w:tc>
          <w:tcPr>
            <w:tcW w:w="847"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p>
        </w:tc>
        <w:tc>
          <w:tcPr>
            <w:tcW w:w="946"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p>
        </w:tc>
        <w:tc>
          <w:tcPr>
            <w:tcW w:w="1387" w:type="dxa"/>
            <w:gridSpan w:val="2"/>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r w:rsidRPr="006263CF">
              <w:rPr>
                <w:rFonts w:asciiTheme="minorHAnsi" w:hAnsiTheme="minorHAnsi" w:cstheme="minorHAnsi"/>
                <w:color w:val="000000"/>
                <w:sz w:val="18"/>
              </w:rPr>
              <w:t>X</w:t>
            </w:r>
          </w:p>
        </w:tc>
        <w:tc>
          <w:tcPr>
            <w:tcW w:w="1685"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r w:rsidRPr="006263CF">
              <w:rPr>
                <w:rFonts w:asciiTheme="minorHAnsi" w:hAnsiTheme="minorHAnsi" w:cstheme="minorHAnsi"/>
                <w:color w:val="000000"/>
                <w:sz w:val="18"/>
              </w:rPr>
              <w:t>X</w:t>
            </w:r>
          </w:p>
        </w:tc>
      </w:tr>
      <w:tr w:rsidR="005225B5" w:rsidRPr="006263CF" w:rsidTr="001E6B62">
        <w:trPr>
          <w:trHeight w:hRule="exact" w:val="370"/>
        </w:trPr>
        <w:tc>
          <w:tcPr>
            <w:tcW w:w="3173"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ind w:left="53"/>
              <w:rPr>
                <w:rFonts w:asciiTheme="minorHAnsi" w:hAnsiTheme="minorHAnsi" w:cstheme="minorHAnsi"/>
                <w:sz w:val="18"/>
              </w:rPr>
            </w:pPr>
            <w:r w:rsidRPr="006263CF">
              <w:rPr>
                <w:rFonts w:asciiTheme="minorHAnsi" w:hAnsiTheme="minorHAnsi" w:cstheme="minorHAnsi"/>
                <w:color w:val="000000"/>
                <w:sz w:val="18"/>
              </w:rPr>
              <w:t>ЕКГ</w:t>
            </w:r>
          </w:p>
        </w:tc>
        <w:tc>
          <w:tcPr>
            <w:tcW w:w="1222"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r w:rsidRPr="006263CF">
              <w:rPr>
                <w:rFonts w:asciiTheme="minorHAnsi" w:hAnsiTheme="minorHAnsi" w:cstheme="minorHAnsi"/>
                <w:color w:val="000000"/>
                <w:sz w:val="18"/>
              </w:rPr>
              <w:t>X</w:t>
            </w:r>
          </w:p>
        </w:tc>
        <w:tc>
          <w:tcPr>
            <w:tcW w:w="847"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r w:rsidRPr="006263CF">
              <w:rPr>
                <w:rFonts w:asciiTheme="minorHAnsi" w:hAnsiTheme="minorHAnsi" w:cstheme="minorHAnsi"/>
                <w:color w:val="000000"/>
                <w:sz w:val="18"/>
              </w:rPr>
              <w:t>X</w:t>
            </w:r>
          </w:p>
        </w:tc>
        <w:tc>
          <w:tcPr>
            <w:tcW w:w="946"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r w:rsidRPr="006263CF">
              <w:rPr>
                <w:rFonts w:asciiTheme="minorHAnsi" w:hAnsiTheme="minorHAnsi" w:cstheme="minorHAnsi"/>
                <w:color w:val="000000"/>
                <w:sz w:val="18"/>
              </w:rPr>
              <w:t>X</w:t>
            </w:r>
          </w:p>
        </w:tc>
        <w:tc>
          <w:tcPr>
            <w:tcW w:w="1387" w:type="dxa"/>
            <w:gridSpan w:val="2"/>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r w:rsidRPr="006263CF">
              <w:rPr>
                <w:rFonts w:asciiTheme="minorHAnsi" w:hAnsiTheme="minorHAnsi" w:cstheme="minorHAnsi"/>
                <w:color w:val="000000"/>
                <w:sz w:val="18"/>
              </w:rPr>
              <w:t>X</w:t>
            </w:r>
          </w:p>
        </w:tc>
        <w:tc>
          <w:tcPr>
            <w:tcW w:w="1685"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p>
        </w:tc>
      </w:tr>
      <w:tr w:rsidR="005225B5" w:rsidRPr="006263CF" w:rsidTr="001E6B62">
        <w:trPr>
          <w:trHeight w:hRule="exact" w:val="374"/>
        </w:trPr>
        <w:tc>
          <w:tcPr>
            <w:tcW w:w="3173"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ind w:left="53"/>
              <w:rPr>
                <w:rFonts w:asciiTheme="minorHAnsi" w:hAnsiTheme="minorHAnsi" w:cstheme="minorHAnsi"/>
                <w:sz w:val="18"/>
              </w:rPr>
            </w:pPr>
            <w:r w:rsidRPr="006263CF">
              <w:rPr>
                <w:rFonts w:asciiTheme="minorHAnsi" w:hAnsiTheme="minorHAnsi" w:cstheme="minorHAnsi"/>
                <w:color w:val="000000"/>
                <w:sz w:val="18"/>
              </w:rPr>
              <w:t>Клінічний аналіз крові</w:t>
            </w:r>
          </w:p>
        </w:tc>
        <w:tc>
          <w:tcPr>
            <w:tcW w:w="1222"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r w:rsidRPr="006263CF">
              <w:rPr>
                <w:rFonts w:asciiTheme="minorHAnsi" w:hAnsiTheme="minorHAnsi" w:cstheme="minorHAnsi"/>
                <w:color w:val="000000"/>
                <w:sz w:val="18"/>
              </w:rPr>
              <w:t>X</w:t>
            </w:r>
          </w:p>
        </w:tc>
        <w:tc>
          <w:tcPr>
            <w:tcW w:w="847"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r w:rsidRPr="006263CF">
              <w:rPr>
                <w:rFonts w:asciiTheme="minorHAnsi" w:hAnsiTheme="minorHAnsi" w:cstheme="minorHAnsi"/>
                <w:color w:val="000000"/>
                <w:sz w:val="18"/>
              </w:rPr>
              <w:t>X</w:t>
            </w:r>
          </w:p>
        </w:tc>
        <w:tc>
          <w:tcPr>
            <w:tcW w:w="946"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r w:rsidRPr="006263CF">
              <w:rPr>
                <w:rFonts w:asciiTheme="minorHAnsi" w:hAnsiTheme="minorHAnsi" w:cstheme="minorHAnsi"/>
                <w:color w:val="000000"/>
                <w:sz w:val="18"/>
              </w:rPr>
              <w:t>X</w:t>
            </w:r>
          </w:p>
        </w:tc>
        <w:tc>
          <w:tcPr>
            <w:tcW w:w="1387" w:type="dxa"/>
            <w:gridSpan w:val="2"/>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r w:rsidRPr="006263CF">
              <w:rPr>
                <w:rFonts w:asciiTheme="minorHAnsi" w:hAnsiTheme="minorHAnsi" w:cstheme="minorHAnsi"/>
                <w:color w:val="000000"/>
                <w:sz w:val="18"/>
              </w:rPr>
              <w:t>X</w:t>
            </w:r>
          </w:p>
        </w:tc>
        <w:tc>
          <w:tcPr>
            <w:tcW w:w="1685"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p>
        </w:tc>
      </w:tr>
      <w:tr w:rsidR="005225B5" w:rsidRPr="006263CF" w:rsidTr="001E6B62">
        <w:trPr>
          <w:trHeight w:hRule="exact" w:val="590"/>
        </w:trPr>
        <w:tc>
          <w:tcPr>
            <w:tcW w:w="3173"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ind w:left="53" w:right="1320"/>
              <w:rPr>
                <w:rFonts w:asciiTheme="minorHAnsi" w:hAnsiTheme="minorHAnsi" w:cstheme="minorHAnsi"/>
                <w:sz w:val="18"/>
              </w:rPr>
            </w:pPr>
            <w:r w:rsidRPr="006263CF">
              <w:rPr>
                <w:rFonts w:asciiTheme="minorHAnsi" w:hAnsiTheme="minorHAnsi" w:cstheme="minorHAnsi"/>
                <w:color w:val="000000"/>
                <w:sz w:val="18"/>
              </w:rPr>
              <w:t>Печінкові проби (АСТ, АЛТ, білірубін)</w:t>
            </w:r>
          </w:p>
        </w:tc>
        <w:tc>
          <w:tcPr>
            <w:tcW w:w="1222"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r w:rsidRPr="006263CF">
              <w:rPr>
                <w:rFonts w:asciiTheme="minorHAnsi" w:hAnsiTheme="minorHAnsi" w:cstheme="minorHAnsi"/>
                <w:color w:val="000000"/>
                <w:sz w:val="18"/>
              </w:rPr>
              <w:t>X</w:t>
            </w:r>
          </w:p>
        </w:tc>
        <w:tc>
          <w:tcPr>
            <w:tcW w:w="847"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r w:rsidRPr="006263CF">
              <w:rPr>
                <w:rFonts w:asciiTheme="minorHAnsi" w:hAnsiTheme="minorHAnsi" w:cstheme="minorHAnsi"/>
                <w:color w:val="000000"/>
                <w:sz w:val="18"/>
              </w:rPr>
              <w:t>X</w:t>
            </w:r>
          </w:p>
        </w:tc>
        <w:tc>
          <w:tcPr>
            <w:tcW w:w="946"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r w:rsidRPr="006263CF">
              <w:rPr>
                <w:rFonts w:asciiTheme="minorHAnsi" w:hAnsiTheme="minorHAnsi" w:cstheme="minorHAnsi"/>
                <w:color w:val="000000"/>
                <w:sz w:val="18"/>
              </w:rPr>
              <w:t>X</w:t>
            </w:r>
          </w:p>
        </w:tc>
        <w:tc>
          <w:tcPr>
            <w:tcW w:w="1387" w:type="dxa"/>
            <w:gridSpan w:val="2"/>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r w:rsidRPr="006263CF">
              <w:rPr>
                <w:rFonts w:asciiTheme="minorHAnsi" w:hAnsiTheme="minorHAnsi" w:cstheme="minorHAnsi"/>
                <w:color w:val="000000"/>
                <w:sz w:val="18"/>
              </w:rPr>
              <w:t>X</w:t>
            </w:r>
          </w:p>
        </w:tc>
        <w:tc>
          <w:tcPr>
            <w:tcW w:w="1685"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p>
        </w:tc>
      </w:tr>
      <w:tr w:rsidR="005225B5" w:rsidRPr="006263CF" w:rsidTr="001E6B62">
        <w:trPr>
          <w:trHeight w:hRule="exact" w:val="374"/>
        </w:trPr>
        <w:tc>
          <w:tcPr>
            <w:tcW w:w="3173"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ind w:left="53"/>
              <w:rPr>
                <w:rFonts w:asciiTheme="minorHAnsi" w:hAnsiTheme="minorHAnsi" w:cstheme="minorHAnsi"/>
                <w:sz w:val="18"/>
              </w:rPr>
            </w:pPr>
            <w:r w:rsidRPr="006263CF">
              <w:rPr>
                <w:rFonts w:asciiTheme="minorHAnsi" w:hAnsiTheme="minorHAnsi" w:cstheme="minorHAnsi"/>
                <w:color w:val="000000"/>
                <w:sz w:val="18"/>
              </w:rPr>
              <w:t>Сироваткові електроліти</w:t>
            </w:r>
          </w:p>
        </w:tc>
        <w:tc>
          <w:tcPr>
            <w:tcW w:w="1222"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r w:rsidRPr="006263CF">
              <w:rPr>
                <w:rFonts w:asciiTheme="minorHAnsi" w:hAnsiTheme="minorHAnsi" w:cstheme="minorHAnsi"/>
                <w:color w:val="000000"/>
                <w:sz w:val="18"/>
              </w:rPr>
              <w:t>X</w:t>
            </w:r>
          </w:p>
        </w:tc>
        <w:tc>
          <w:tcPr>
            <w:tcW w:w="847"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p>
        </w:tc>
        <w:tc>
          <w:tcPr>
            <w:tcW w:w="946"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p>
        </w:tc>
        <w:tc>
          <w:tcPr>
            <w:tcW w:w="1387" w:type="dxa"/>
            <w:gridSpan w:val="2"/>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p>
        </w:tc>
        <w:tc>
          <w:tcPr>
            <w:tcW w:w="1685"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p>
        </w:tc>
      </w:tr>
      <w:tr w:rsidR="005225B5" w:rsidRPr="006263CF" w:rsidTr="001E6B62">
        <w:trPr>
          <w:trHeight w:hRule="exact" w:val="374"/>
        </w:trPr>
        <w:tc>
          <w:tcPr>
            <w:tcW w:w="3173"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ind w:left="53"/>
              <w:rPr>
                <w:rFonts w:asciiTheme="minorHAnsi" w:hAnsiTheme="minorHAnsi" w:cstheme="minorHAnsi"/>
                <w:sz w:val="18"/>
              </w:rPr>
            </w:pPr>
            <w:r w:rsidRPr="006263CF">
              <w:rPr>
                <w:rFonts w:asciiTheme="minorHAnsi" w:hAnsiTheme="minorHAnsi" w:cstheme="minorHAnsi"/>
                <w:color w:val="000000"/>
                <w:sz w:val="18"/>
              </w:rPr>
              <w:t>Сечовина, креатинін</w:t>
            </w:r>
          </w:p>
        </w:tc>
        <w:tc>
          <w:tcPr>
            <w:tcW w:w="1222"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r w:rsidRPr="006263CF">
              <w:rPr>
                <w:rFonts w:asciiTheme="minorHAnsi" w:hAnsiTheme="minorHAnsi" w:cstheme="minorHAnsi"/>
                <w:color w:val="000000"/>
                <w:sz w:val="18"/>
              </w:rPr>
              <w:t>X</w:t>
            </w:r>
          </w:p>
        </w:tc>
        <w:tc>
          <w:tcPr>
            <w:tcW w:w="847"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p>
        </w:tc>
        <w:tc>
          <w:tcPr>
            <w:tcW w:w="946"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p>
        </w:tc>
        <w:tc>
          <w:tcPr>
            <w:tcW w:w="1387" w:type="dxa"/>
            <w:gridSpan w:val="2"/>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p>
        </w:tc>
        <w:tc>
          <w:tcPr>
            <w:tcW w:w="1685"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p>
        </w:tc>
      </w:tr>
      <w:tr w:rsidR="005225B5" w:rsidRPr="006263CF" w:rsidTr="001E6B62">
        <w:trPr>
          <w:trHeight w:hRule="exact" w:val="370"/>
        </w:trPr>
        <w:tc>
          <w:tcPr>
            <w:tcW w:w="3173"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ind w:left="53"/>
              <w:rPr>
                <w:rFonts w:asciiTheme="minorHAnsi" w:hAnsiTheme="minorHAnsi" w:cstheme="minorHAnsi"/>
                <w:sz w:val="18"/>
              </w:rPr>
            </w:pPr>
            <w:r w:rsidRPr="006263CF">
              <w:rPr>
                <w:rFonts w:asciiTheme="minorHAnsi" w:hAnsiTheme="minorHAnsi" w:cstheme="minorHAnsi"/>
                <w:color w:val="000000"/>
                <w:sz w:val="18"/>
              </w:rPr>
              <w:t>Тест на вагітність</w:t>
            </w:r>
          </w:p>
        </w:tc>
        <w:tc>
          <w:tcPr>
            <w:tcW w:w="1222"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r w:rsidRPr="006263CF">
              <w:rPr>
                <w:rFonts w:asciiTheme="minorHAnsi" w:hAnsiTheme="minorHAnsi" w:cstheme="minorHAnsi"/>
                <w:color w:val="000000"/>
                <w:sz w:val="18"/>
              </w:rPr>
              <w:t>X</w:t>
            </w:r>
          </w:p>
        </w:tc>
        <w:tc>
          <w:tcPr>
            <w:tcW w:w="847"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p>
        </w:tc>
        <w:tc>
          <w:tcPr>
            <w:tcW w:w="946"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p>
        </w:tc>
        <w:tc>
          <w:tcPr>
            <w:tcW w:w="1387" w:type="dxa"/>
            <w:gridSpan w:val="2"/>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p>
        </w:tc>
        <w:tc>
          <w:tcPr>
            <w:tcW w:w="1685"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p>
        </w:tc>
      </w:tr>
      <w:tr w:rsidR="005225B5" w:rsidRPr="006263CF" w:rsidTr="001E6B62">
        <w:trPr>
          <w:trHeight w:hRule="exact" w:val="374"/>
        </w:trPr>
        <w:tc>
          <w:tcPr>
            <w:tcW w:w="3173"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ind w:left="53"/>
              <w:rPr>
                <w:rFonts w:asciiTheme="minorHAnsi" w:hAnsiTheme="minorHAnsi" w:cstheme="minorHAnsi"/>
                <w:sz w:val="18"/>
              </w:rPr>
            </w:pPr>
            <w:r w:rsidRPr="006263CF">
              <w:rPr>
                <w:rFonts w:asciiTheme="minorHAnsi" w:hAnsiTheme="minorHAnsi" w:cstheme="minorHAnsi"/>
                <w:color w:val="000000"/>
                <w:sz w:val="18"/>
              </w:rPr>
              <w:t>Тесті на ВІЛ/ГВГ/ГВС</w:t>
            </w:r>
          </w:p>
        </w:tc>
        <w:tc>
          <w:tcPr>
            <w:tcW w:w="1222"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r w:rsidRPr="006263CF">
              <w:rPr>
                <w:rFonts w:asciiTheme="minorHAnsi" w:hAnsiTheme="minorHAnsi" w:cstheme="minorHAnsi"/>
                <w:color w:val="000000"/>
                <w:sz w:val="18"/>
              </w:rPr>
              <w:t>X</w:t>
            </w:r>
          </w:p>
        </w:tc>
        <w:tc>
          <w:tcPr>
            <w:tcW w:w="847"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p>
        </w:tc>
        <w:tc>
          <w:tcPr>
            <w:tcW w:w="946"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p>
        </w:tc>
        <w:tc>
          <w:tcPr>
            <w:tcW w:w="1387" w:type="dxa"/>
            <w:gridSpan w:val="2"/>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p>
        </w:tc>
        <w:tc>
          <w:tcPr>
            <w:tcW w:w="1685"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p>
        </w:tc>
      </w:tr>
      <w:tr w:rsidR="005225B5" w:rsidRPr="006263CF" w:rsidTr="001E6B62">
        <w:trPr>
          <w:trHeight w:hRule="exact" w:val="374"/>
        </w:trPr>
        <w:tc>
          <w:tcPr>
            <w:tcW w:w="3173"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ind w:left="53"/>
              <w:rPr>
                <w:rFonts w:asciiTheme="minorHAnsi" w:hAnsiTheme="minorHAnsi" w:cstheme="minorHAnsi"/>
                <w:sz w:val="18"/>
              </w:rPr>
            </w:pPr>
            <w:r w:rsidRPr="006263CF">
              <w:rPr>
                <w:rFonts w:asciiTheme="minorHAnsi" w:hAnsiTheme="minorHAnsi" w:cstheme="minorHAnsi"/>
                <w:color w:val="000000"/>
                <w:sz w:val="18"/>
              </w:rPr>
              <w:t>Рівень цукру в крові/HbA1c</w:t>
            </w:r>
          </w:p>
        </w:tc>
        <w:tc>
          <w:tcPr>
            <w:tcW w:w="1222"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r w:rsidRPr="006263CF">
              <w:rPr>
                <w:rFonts w:asciiTheme="minorHAnsi" w:hAnsiTheme="minorHAnsi" w:cstheme="minorHAnsi"/>
                <w:color w:val="000000"/>
                <w:sz w:val="18"/>
              </w:rPr>
              <w:t>X</w:t>
            </w:r>
          </w:p>
        </w:tc>
        <w:tc>
          <w:tcPr>
            <w:tcW w:w="847"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p>
        </w:tc>
        <w:tc>
          <w:tcPr>
            <w:tcW w:w="946"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p>
        </w:tc>
        <w:tc>
          <w:tcPr>
            <w:tcW w:w="1387" w:type="dxa"/>
            <w:gridSpan w:val="2"/>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p>
        </w:tc>
        <w:tc>
          <w:tcPr>
            <w:tcW w:w="1685" w:type="dxa"/>
            <w:tcBorders>
              <w:top w:val="single" w:sz="4" w:space="0" w:color="1F61AA"/>
              <w:left w:val="nil"/>
              <w:bottom w:val="single" w:sz="4" w:space="0" w:color="1F61AA"/>
              <w:right w:val="nil"/>
            </w:tcBorders>
            <w:shd w:val="clear" w:color="auto" w:fill="FFFFFF"/>
            <w:vAlign w:val="center"/>
          </w:tcPr>
          <w:p w:rsidR="005225B5" w:rsidRPr="006263CF" w:rsidRDefault="005225B5" w:rsidP="001E6B62">
            <w:pPr>
              <w:jc w:val="center"/>
              <w:rPr>
                <w:rFonts w:asciiTheme="minorHAnsi" w:hAnsiTheme="minorHAnsi" w:cstheme="minorHAnsi"/>
                <w:sz w:val="18"/>
              </w:rPr>
            </w:pPr>
          </w:p>
        </w:tc>
      </w:tr>
      <w:tr w:rsidR="005225B5" w:rsidRPr="006263CF" w:rsidTr="001E6B62">
        <w:trPr>
          <w:trHeight w:hRule="exact" w:val="2563"/>
        </w:trPr>
        <w:tc>
          <w:tcPr>
            <w:tcW w:w="9260" w:type="dxa"/>
            <w:gridSpan w:val="7"/>
            <w:tcBorders>
              <w:top w:val="single" w:sz="4" w:space="0" w:color="1F61AA"/>
              <w:left w:val="nil"/>
              <w:bottom w:val="nil"/>
              <w:right w:val="nil"/>
            </w:tcBorders>
            <w:shd w:val="clear" w:color="auto" w:fill="FFFFFF"/>
          </w:tcPr>
          <w:p w:rsidR="005225B5" w:rsidRPr="006263CF" w:rsidRDefault="005225B5" w:rsidP="001E6B62">
            <w:pPr>
              <w:spacing w:before="120"/>
              <w:ind w:right="19"/>
              <w:jc w:val="both"/>
              <w:rPr>
                <w:rFonts w:asciiTheme="minorHAnsi" w:hAnsiTheme="minorHAnsi" w:cstheme="minorHAnsi"/>
                <w:sz w:val="18"/>
              </w:rPr>
            </w:pPr>
            <w:r w:rsidRPr="006263CF">
              <w:rPr>
                <w:rFonts w:asciiTheme="minorHAnsi" w:hAnsiTheme="minorHAnsi" w:cstheme="minorHAnsi"/>
                <w:color w:val="000000"/>
                <w:sz w:val="14"/>
                <w:szCs w:val="16"/>
              </w:rPr>
              <w:t>АЛТ: аланінамінотрансфераза; АСТ: аспартатамінотрансфераза; ІМТ: індекс маси тіла; РЦК: рівень цукру в крові; ТМЧ: тест медикаментозної чутливості; ЕКГ: ЕКГ: електрокардіографія; Hb: гемоглобін; ГВГ: вірус гепатиту В; ВГС: вірус гепатиту С; ВІЛ: вірус імунодефіциту людини; ТБ: туберкульоз.</w:t>
            </w:r>
          </w:p>
          <w:p w:rsidR="005225B5" w:rsidRPr="006263CF" w:rsidRDefault="005225B5" w:rsidP="001E6B62">
            <w:pPr>
              <w:ind w:left="244" w:right="19" w:hanging="244"/>
              <w:jc w:val="both"/>
              <w:rPr>
                <w:rFonts w:asciiTheme="minorHAnsi" w:hAnsiTheme="minorHAnsi" w:cstheme="minorHAnsi"/>
                <w:sz w:val="18"/>
              </w:rPr>
            </w:pPr>
            <w:r w:rsidRPr="006263CF">
              <w:rPr>
                <w:rFonts w:asciiTheme="minorHAnsi" w:hAnsiTheme="minorHAnsi" w:cstheme="minorHAnsi"/>
                <w:color w:val="000000"/>
                <w:sz w:val="14"/>
                <w:szCs w:val="16"/>
                <w:vertAlign w:val="superscript"/>
              </w:rPr>
              <w:t>a</w:t>
            </w:r>
            <w:r w:rsidRPr="006263CF">
              <w:rPr>
                <w:rFonts w:asciiTheme="minorHAnsi" w:hAnsiTheme="minorHAnsi" w:cstheme="minorHAnsi"/>
                <w:color w:val="000000"/>
                <w:sz w:val="14"/>
                <w:szCs w:val="16"/>
              </w:rPr>
              <w:t xml:space="preserve"> </w:t>
            </w:r>
            <w:r w:rsidR="001E6B62">
              <w:rPr>
                <w:rFonts w:asciiTheme="minorHAnsi" w:hAnsiTheme="minorHAnsi" w:cstheme="minorHAnsi"/>
                <w:color w:val="000000"/>
                <w:sz w:val="14"/>
                <w:szCs w:val="16"/>
              </w:rPr>
              <w:tab/>
            </w:r>
            <w:r w:rsidRPr="006263CF">
              <w:rPr>
                <w:rFonts w:asciiTheme="minorHAnsi" w:hAnsiTheme="minorHAnsi" w:cstheme="minorHAnsi"/>
                <w:color w:val="000000"/>
                <w:sz w:val="14"/>
                <w:szCs w:val="16"/>
              </w:rPr>
              <w:t>Показники життєво важливих функцій, скринінг на симптоми туберкульозу, біль, нудота, апетит і харчування, діарея, кандидоз. Клінічна оцінка повинна бути зосереджена на наступному: a) моніторинг заходів у відповідь на лікування і b) усунення загальних симптомів, пов'язаних з лікуванням ТБ і тривалим використанням антибіотиків, з метою підтримки прихильності до лікування.</w:t>
            </w:r>
          </w:p>
          <w:p w:rsidR="005225B5" w:rsidRPr="006263CF" w:rsidRDefault="005225B5" w:rsidP="001E6B62">
            <w:pPr>
              <w:ind w:left="244" w:right="19" w:hanging="244"/>
              <w:jc w:val="both"/>
              <w:rPr>
                <w:rFonts w:asciiTheme="minorHAnsi" w:hAnsiTheme="minorHAnsi" w:cstheme="minorHAnsi"/>
                <w:sz w:val="18"/>
              </w:rPr>
            </w:pPr>
            <w:r w:rsidRPr="006263CF">
              <w:rPr>
                <w:rFonts w:asciiTheme="minorHAnsi" w:hAnsiTheme="minorHAnsi" w:cstheme="minorHAnsi"/>
                <w:color w:val="000000"/>
                <w:sz w:val="14"/>
                <w:szCs w:val="16"/>
                <w:vertAlign w:val="superscript"/>
              </w:rPr>
              <w:t>b</w:t>
            </w:r>
            <w:r w:rsidRPr="006263CF">
              <w:rPr>
                <w:rFonts w:asciiTheme="minorHAnsi" w:hAnsiTheme="minorHAnsi" w:cstheme="minorHAnsi"/>
                <w:color w:val="000000"/>
                <w:sz w:val="14"/>
                <w:szCs w:val="16"/>
              </w:rPr>
              <w:t xml:space="preserve"> </w:t>
            </w:r>
            <w:r w:rsidR="001E6B62">
              <w:rPr>
                <w:rFonts w:asciiTheme="minorHAnsi" w:hAnsiTheme="minorHAnsi" w:cstheme="minorHAnsi"/>
                <w:color w:val="000000"/>
                <w:sz w:val="14"/>
                <w:szCs w:val="16"/>
              </w:rPr>
              <w:tab/>
            </w:r>
            <w:r w:rsidRPr="006263CF">
              <w:rPr>
                <w:rFonts w:asciiTheme="minorHAnsi" w:hAnsiTheme="minorHAnsi" w:cstheme="minorHAnsi"/>
                <w:color w:val="000000"/>
                <w:sz w:val="14"/>
                <w:szCs w:val="16"/>
              </w:rPr>
              <w:t>Продовольча безпека, житлові умови, психічний стан, токсикоманія. Психосоціальна оцінка повинна давати можливість оцінити чинники, що сприяють прихильності до лікування, і повинна бути безпосередньо пов'язана з відповідними заходами, коли це можливо, відповідно до конкретних опитувачів по країнам.</w:t>
            </w:r>
          </w:p>
          <w:p w:rsidR="005225B5" w:rsidRPr="006263CF" w:rsidRDefault="005225B5" w:rsidP="001E6B62">
            <w:pPr>
              <w:ind w:left="244" w:right="19" w:hanging="244"/>
              <w:jc w:val="both"/>
              <w:rPr>
                <w:rFonts w:asciiTheme="minorHAnsi" w:hAnsiTheme="minorHAnsi" w:cstheme="minorHAnsi"/>
                <w:sz w:val="18"/>
              </w:rPr>
            </w:pPr>
            <w:r w:rsidRPr="006263CF">
              <w:rPr>
                <w:rFonts w:asciiTheme="minorHAnsi" w:hAnsiTheme="minorHAnsi" w:cstheme="minorHAnsi"/>
                <w:color w:val="000000"/>
                <w:sz w:val="14"/>
                <w:szCs w:val="16"/>
                <w:vertAlign w:val="superscript"/>
              </w:rPr>
              <w:t>c</w:t>
            </w:r>
            <w:r w:rsidRPr="006263CF">
              <w:rPr>
                <w:rFonts w:asciiTheme="minorHAnsi" w:hAnsiTheme="minorHAnsi" w:cstheme="minorHAnsi"/>
                <w:color w:val="000000"/>
                <w:sz w:val="14"/>
                <w:szCs w:val="16"/>
              </w:rPr>
              <w:t xml:space="preserve"> </w:t>
            </w:r>
            <w:r w:rsidR="001E6B62">
              <w:rPr>
                <w:rFonts w:asciiTheme="minorHAnsi" w:hAnsiTheme="minorHAnsi" w:cstheme="minorHAnsi"/>
                <w:color w:val="000000"/>
                <w:sz w:val="14"/>
                <w:szCs w:val="16"/>
              </w:rPr>
              <w:tab/>
            </w:r>
            <w:r w:rsidRPr="006263CF">
              <w:rPr>
                <w:rFonts w:asciiTheme="minorHAnsi" w:hAnsiTheme="minorHAnsi" w:cstheme="minorHAnsi"/>
                <w:color w:val="000000"/>
                <w:sz w:val="14"/>
                <w:szCs w:val="16"/>
              </w:rPr>
              <w:t>Xpert MTB/RIF, Hain GenoType MTBDRsl, ТМЧ 2-го ряду на основі культури, секвенування наступного покоління. За наявності таких, вони повинні включати Xpert/ШЛС-ТБ і ТМЧ для лікарських засобів з компонентом БПЛ.</w:t>
            </w:r>
          </w:p>
        </w:tc>
      </w:tr>
    </w:tbl>
    <w:p w:rsidR="005225B5" w:rsidRPr="006263CF" w:rsidRDefault="005225B5" w:rsidP="006263CF">
      <w:pPr>
        <w:rPr>
          <w:rFonts w:asciiTheme="minorHAnsi" w:hAnsiTheme="minorHAnsi" w:cstheme="minorHAnsi"/>
          <w:sz w:val="18"/>
        </w:rPr>
        <w:sectPr w:rsidR="005225B5" w:rsidRPr="006263CF" w:rsidSect="001E6B62">
          <w:pgSz w:w="11904" w:h="16838"/>
          <w:pgMar w:top="1382" w:right="1282" w:bottom="568" w:left="1363" w:header="708" w:footer="708" w:gutter="0"/>
          <w:cols w:space="60"/>
          <w:noEndnote/>
        </w:sectPr>
      </w:pPr>
    </w:p>
    <w:p w:rsidR="005225B5" w:rsidRPr="001E6B62" w:rsidRDefault="00C73DE6" w:rsidP="001E6B62">
      <w:pPr>
        <w:rPr>
          <w:rFonts w:asciiTheme="minorHAnsi" w:hAnsiTheme="minorHAnsi" w:cstheme="minorHAnsi"/>
          <w:b/>
          <w:sz w:val="18"/>
        </w:rPr>
      </w:pPr>
      <w:bookmarkStart w:id="41" w:name="bookmark40"/>
      <w:r>
        <w:rPr>
          <w:rFonts w:asciiTheme="minorHAnsi" w:hAnsiTheme="minorHAnsi" w:cstheme="minorHAnsi"/>
          <w:b/>
          <w:noProof/>
          <w:color w:val="1F61AA"/>
          <w:sz w:val="56"/>
          <w:szCs w:val="64"/>
        </w:rPr>
        <w:lastRenderedPageBreak/>
        <w:drawing>
          <wp:anchor distT="0" distB="0" distL="6400800" distR="6400800" simplePos="0" relativeHeight="251700224" behindDoc="1" locked="0" layoutInCell="0" allowOverlap="1" wp14:anchorId="1EF24912" wp14:editId="4FEA0577">
            <wp:simplePos x="0" y="0"/>
            <wp:positionH relativeFrom="margin">
              <wp:posOffset>-989330</wp:posOffset>
            </wp:positionH>
            <wp:positionV relativeFrom="paragraph">
              <wp:posOffset>-1362075</wp:posOffset>
            </wp:positionV>
            <wp:extent cx="7729220" cy="1708785"/>
            <wp:effectExtent l="0" t="0" r="5080" b="5715"/>
            <wp:wrapNone/>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29220" cy="1708785"/>
                    </a:xfrm>
                    <a:prstGeom prst="rect">
                      <a:avLst/>
                    </a:prstGeom>
                    <a:noFill/>
                    <a:ln>
                      <a:noFill/>
                    </a:ln>
                  </pic:spPr>
                </pic:pic>
              </a:graphicData>
            </a:graphic>
            <wp14:sizeRelH relativeFrom="page">
              <wp14:pctWidth>0</wp14:pctWidth>
            </wp14:sizeRelH>
            <wp14:sizeRelV relativeFrom="page">
              <wp14:pctHeight>0</wp14:pctHeight>
            </wp14:sizeRelV>
          </wp:anchor>
        </w:drawing>
      </w:r>
      <w:r w:rsidR="005225B5" w:rsidRPr="001E6B62">
        <w:rPr>
          <w:rFonts w:asciiTheme="minorHAnsi" w:hAnsiTheme="minorHAnsi" w:cstheme="minorHAnsi"/>
          <w:b/>
          <w:color w:val="1F61AA"/>
          <w:sz w:val="56"/>
          <w:szCs w:val="64"/>
        </w:rPr>
        <w:t>8</w:t>
      </w:r>
      <w:bookmarkEnd w:id="41"/>
      <w:r w:rsidR="005225B5" w:rsidRPr="001E6B62">
        <w:rPr>
          <w:rFonts w:asciiTheme="minorHAnsi" w:hAnsiTheme="minorHAnsi" w:cstheme="minorHAnsi"/>
          <w:b/>
          <w:color w:val="1F61AA"/>
          <w:sz w:val="56"/>
          <w:szCs w:val="64"/>
        </w:rPr>
        <w:t>. Додатки до лікування МР-ТБ</w:t>
      </w:r>
    </w:p>
    <w:p w:rsidR="005225B5" w:rsidRPr="006263CF" w:rsidRDefault="005225B5" w:rsidP="001E6B62">
      <w:pPr>
        <w:spacing w:before="480"/>
        <w:rPr>
          <w:rFonts w:asciiTheme="minorHAnsi" w:hAnsiTheme="minorHAnsi" w:cstheme="minorHAnsi"/>
          <w:sz w:val="18"/>
        </w:rPr>
      </w:pPr>
      <w:r w:rsidRPr="006263CF">
        <w:rPr>
          <w:rFonts w:asciiTheme="minorHAnsi" w:hAnsiTheme="minorHAnsi" w:cstheme="minorHAnsi"/>
          <w:b/>
          <w:bCs/>
          <w:color w:val="1F61AA"/>
          <w:sz w:val="36"/>
          <w:szCs w:val="38"/>
        </w:rPr>
        <w:t>8.1 Хірургічне втручання при лікуванні М/ШЛС-ТБ</w:t>
      </w:r>
    </w:p>
    <w:p w:rsidR="005225B5" w:rsidRPr="006263CF" w:rsidRDefault="005225B5" w:rsidP="006263CF">
      <w:pPr>
        <w:spacing w:before="110"/>
        <w:jc w:val="both"/>
        <w:rPr>
          <w:rFonts w:asciiTheme="minorHAnsi" w:hAnsiTheme="minorHAnsi" w:cstheme="minorHAnsi"/>
          <w:sz w:val="18"/>
        </w:rPr>
      </w:pPr>
      <w:r w:rsidRPr="006263CF">
        <w:rPr>
          <w:rFonts w:asciiTheme="minorHAnsi" w:hAnsiTheme="minorHAnsi" w:cstheme="minorHAnsi"/>
          <w:color w:val="000000"/>
          <w:szCs w:val="22"/>
        </w:rPr>
        <w:t>Хірургія застосовувалася при лікуванні туберкульозу ще до появи хіміотерапії. У зв'язку зі складною перспективою того, що більша кількість випадків М/ШЛС-ТБ практично не піддається лікуванню усіма доступними лікарськими засобами або ризикує мати серйозні наслідки, була переоцінена роль легеневої хірургії, як засобу зниження кількості легеневої тканини з важко вирішуваною патологією і зменшення бактеріальної навантаження. Згідно з численними серіями захворювань, резекційна операція може бути безпечною і ефективною при наявності кваліфікованих торакальних хірургів і відмінного післяопераційного догляду (98, 99).</w:t>
      </w:r>
    </w:p>
    <w:p w:rsidR="005225B5" w:rsidRPr="001E6B62" w:rsidRDefault="005225B5" w:rsidP="006263CF">
      <w:pPr>
        <w:spacing w:before="144"/>
        <w:jc w:val="both"/>
        <w:rPr>
          <w:rFonts w:asciiTheme="minorHAnsi" w:hAnsiTheme="minorHAnsi" w:cstheme="minorHAnsi"/>
        </w:rPr>
      </w:pPr>
      <w:r w:rsidRPr="006263CF">
        <w:rPr>
          <w:rFonts w:asciiTheme="minorHAnsi" w:hAnsiTheme="minorHAnsi" w:cstheme="minorHAnsi"/>
          <w:color w:val="000000"/>
          <w:szCs w:val="22"/>
        </w:rPr>
        <w:t xml:space="preserve">Оновлені консолідовані настанови ВООЗ включають умовну рекомендацію по вибірковій частковій резекції легень (лобектомія або клиноподібна резекція) в якості доповнення до хіміотерапії пацієнтів з МР/Риф-ТБ і ШЛС-ТБ. Рекомендація не відноситься до радикальної пневмонектомії, яка не мала статистично </w:t>
      </w:r>
      <w:r w:rsidRPr="001E6B62">
        <w:rPr>
          <w:rFonts w:asciiTheme="minorHAnsi" w:hAnsiTheme="minorHAnsi" w:cstheme="minorHAnsi"/>
          <w:color w:val="000000"/>
        </w:rPr>
        <w:t>значущого ефекту [98]. Ця політика була заснована на даних метааналізу ІДП для оцінки ефективності різних форм факультативної хірургії в якості доповнення до комбінованої медичної терапії МР-ТБ (98), а також на систематичному огляді і метааналіз на рівні дослідження(100).</w:t>
      </w:r>
    </w:p>
    <w:p w:rsidR="005225B5" w:rsidRPr="001E6B62" w:rsidRDefault="005225B5" w:rsidP="006263CF">
      <w:pPr>
        <w:spacing w:before="149"/>
        <w:jc w:val="both"/>
        <w:rPr>
          <w:rFonts w:asciiTheme="minorHAnsi" w:hAnsiTheme="minorHAnsi" w:cstheme="minorHAnsi"/>
        </w:rPr>
      </w:pPr>
      <w:r w:rsidRPr="001E6B62">
        <w:rPr>
          <w:rFonts w:asciiTheme="minorHAnsi" w:hAnsiTheme="minorHAnsi" w:cstheme="minorHAnsi"/>
          <w:color w:val="000000"/>
        </w:rPr>
        <w:t xml:space="preserve">Очікується, що відносні вигоди від хірургічних операцій будуть в значній мірі залежати від цільових підгруп населення. В ході перегляду настанов у 2016 році (15) не вдалося провести чітку диференціацію по типу пацієнта, який найкраще підходить для того чи іншого втручання, або по типу втручання, яке принесе найбільшу користь. Очікується, що буде помірний ефект у середнього пацієнта, якого вважають відповідним для операції. Шанси на успіх у пацієнтів з ШЛС-ТБ були статистично значно нижчими при проведенні операції в порівнянні з іншими пацієнтами (скориговане СШ): 0.4, 95% ДI: 0,2–0,9) </w:t>
      </w:r>
      <w:r w:rsidRPr="001E6B62">
        <w:rPr>
          <w:rFonts w:asciiTheme="minorHAnsi" w:hAnsiTheme="minorHAnsi" w:cstheme="minorHAnsi"/>
          <w:i/>
          <w:iCs/>
          <w:color w:val="000000"/>
        </w:rPr>
        <w:t>(98)</w:t>
      </w:r>
      <w:r w:rsidRPr="001E6B62">
        <w:rPr>
          <w:rFonts w:asciiTheme="minorHAnsi" w:hAnsiTheme="minorHAnsi" w:cstheme="minorHAnsi"/>
          <w:color w:val="000000"/>
        </w:rPr>
        <w:t>. Цей висновок, ймовірно, буде упередженим, враховуючи, що пацієнти, які перенесли операцію, мали інші фактори, що призводять до поганих результатів, - чинники, які не можна було скоригувати. Програми з обмеженим доступом до хірургічного втручання можуть бути орієнтовані на пацієнтів, у яких раніше був позитивний мазок мокротиння, які мають стійкість до багатьох лікарських засобів і у яких є локалізовані захворювання легень. Комп'ютеризована томографія, тестування функції легень і кількісна перфузія або вентиляція легень можуть зіграти певну роль в передопераційній підготовці.</w:t>
      </w:r>
    </w:p>
    <w:p w:rsidR="005225B5" w:rsidRPr="001E6B62" w:rsidRDefault="005225B5" w:rsidP="006263CF">
      <w:pPr>
        <w:spacing w:before="144"/>
        <w:jc w:val="both"/>
        <w:rPr>
          <w:rFonts w:asciiTheme="minorHAnsi" w:hAnsiTheme="minorHAnsi" w:cstheme="minorHAnsi"/>
        </w:rPr>
      </w:pPr>
      <w:r w:rsidRPr="001E6B62">
        <w:rPr>
          <w:rFonts w:asciiTheme="minorHAnsi" w:hAnsiTheme="minorHAnsi" w:cstheme="minorHAnsi"/>
          <w:color w:val="000000"/>
        </w:rPr>
        <w:t xml:space="preserve">Резекційна операція повинна бути розрахована таким чином, щоб дати пацієнту найкращі шанси на одужання з найменшим ризиком спричинення шкоди. Таким чином, хірургічні операції можуть проводитися на ранньому етапі захворювання, коли ризик захворюваності і смертності у пацієнта нижче (наприклад, коли хвороба все ще локалізована в одній легені або одній легеневій частці). Як правило, перед резекційною операцією необхідно провести не менше 2 місяців терапії, щоб зменшити бактеріальну інфекцію в оточуючих тканинах легень. Прогноз видається більш точним, коли після конверсії культури проводиться часткова резекція легень. </w:t>
      </w:r>
      <w:r w:rsidRPr="001E6B62">
        <w:rPr>
          <w:rFonts w:asciiTheme="minorHAnsi" w:hAnsiTheme="minorHAnsi" w:cstheme="minorHAnsi"/>
        </w:rPr>
        <w:t xml:space="preserve">Навіть при успішній резекції загальна тривалість лікування і тривалість лікування після перетворення культури повинні визначатися рекомендаціями, наведеними в </w:t>
      </w:r>
      <w:r w:rsidRPr="001E6B62">
        <w:rPr>
          <w:rFonts w:asciiTheme="minorHAnsi" w:hAnsiTheme="minorHAnsi" w:cstheme="minorHAnsi"/>
          <w:color w:val="1F61AA"/>
        </w:rPr>
        <w:t>Розділах 5-7</w:t>
      </w:r>
      <w:r w:rsidRPr="001E6B62">
        <w:rPr>
          <w:rFonts w:asciiTheme="minorHAnsi" w:hAnsiTheme="minorHAnsi" w:cstheme="minorHAnsi"/>
        </w:rPr>
        <w:t>.</w:t>
      </w:r>
    </w:p>
    <w:p w:rsidR="005225B5" w:rsidRPr="006263CF" w:rsidRDefault="005225B5" w:rsidP="006263CF">
      <w:pPr>
        <w:spacing w:before="149"/>
        <w:jc w:val="both"/>
        <w:rPr>
          <w:rFonts w:asciiTheme="minorHAnsi" w:hAnsiTheme="minorHAnsi" w:cstheme="minorHAnsi"/>
          <w:sz w:val="18"/>
        </w:rPr>
      </w:pPr>
      <w:r w:rsidRPr="001E6B62">
        <w:rPr>
          <w:rFonts w:asciiTheme="minorHAnsi" w:hAnsiTheme="minorHAnsi" w:cstheme="minorHAnsi"/>
          <w:color w:val="000000"/>
        </w:rPr>
        <w:t>Часткову резекцію легень для пацієнтів з МР/Риф-ТБ слід розглядати тільки при наявності гарного хірургічного обладнання, укомплектованого кваліфікованими і досвідченими хірургами. Багато програм матимуть обмежений доступ до хірургічного втручання. У програмах з неоптимальними хірургічними можливостями і без підготовлених торакальних хірургів резекційна</w:t>
      </w:r>
      <w:r w:rsidRPr="006263CF">
        <w:rPr>
          <w:rFonts w:asciiTheme="minorHAnsi" w:hAnsiTheme="minorHAnsi" w:cstheme="minorHAnsi"/>
          <w:color w:val="000000"/>
          <w:szCs w:val="22"/>
        </w:rPr>
        <w:t xml:space="preserve"> хірургія може збільшити захворюваність або смертність. Спеціалізований</w:t>
      </w:r>
    </w:p>
    <w:p w:rsidR="005225B5" w:rsidRPr="006263CF" w:rsidRDefault="005225B5" w:rsidP="006263CF">
      <w:pPr>
        <w:spacing w:before="149"/>
        <w:jc w:val="both"/>
        <w:rPr>
          <w:rFonts w:asciiTheme="minorHAnsi" w:hAnsiTheme="minorHAnsi" w:cstheme="minorHAnsi"/>
          <w:sz w:val="18"/>
        </w:rPr>
        <w:sectPr w:rsidR="005225B5" w:rsidRPr="006263CF">
          <w:pgSz w:w="11904" w:h="16838"/>
          <w:pgMar w:top="2117" w:right="1416" w:bottom="1478" w:left="1416" w:header="708" w:footer="708" w:gutter="0"/>
          <w:cols w:space="60"/>
          <w:noEndnote/>
        </w:sectPr>
      </w:pPr>
    </w:p>
    <w:p w:rsidR="005225B5" w:rsidRPr="006263CF" w:rsidRDefault="005225B5" w:rsidP="006263CF">
      <w:pPr>
        <w:rPr>
          <w:rFonts w:asciiTheme="minorHAnsi" w:hAnsiTheme="minorHAnsi" w:cstheme="minorHAnsi"/>
          <w:sz w:val="4"/>
          <w:szCs w:val="2"/>
        </w:rPr>
      </w:pPr>
    </w:p>
    <w:p w:rsidR="005225B5" w:rsidRPr="001E6B62" w:rsidRDefault="005225B5" w:rsidP="006263CF">
      <w:pPr>
        <w:jc w:val="both"/>
        <w:rPr>
          <w:rFonts w:asciiTheme="minorHAnsi" w:hAnsiTheme="minorHAnsi" w:cstheme="minorHAnsi"/>
        </w:rPr>
      </w:pPr>
      <w:bookmarkStart w:id="42" w:name="bookmark41"/>
      <w:bookmarkEnd w:id="42"/>
      <w:r w:rsidRPr="001E6B62">
        <w:rPr>
          <w:rFonts w:asciiTheme="minorHAnsi" w:hAnsiTheme="minorHAnsi" w:cstheme="minorHAnsi"/>
        </w:rPr>
        <w:t>хірургічні заклади повинні вводити жорсткі заходи боротьби з інфекцією (враховуючи, що інфекційний матеріал та аерозолі утворюються у великих кількостях під час операції), ШВЛ та післяопераційні маневри гігієни легень.</w:t>
      </w:r>
      <w:r w:rsidRPr="001E6B62">
        <w:rPr>
          <w:rFonts w:asciiTheme="minorHAnsi" w:hAnsiTheme="minorHAnsi" w:cstheme="minorHAnsi"/>
          <w:color w:val="000000"/>
        </w:rPr>
        <w:t xml:space="preserve"> Після резекції буде корисним пряме лабораторне дослідження резекційного матеріалу (ураження легень). Якщо результати лабораторного дослідження відрізняються між резекційним матеріалом та іншими клінічними зразками, лікарю може знадобитися коригувати лікування, виходячи з результатів, отриманих з резекційного матеріалу чи інших клінічних зразків.</w:t>
      </w:r>
    </w:p>
    <w:p w:rsidR="005225B5" w:rsidRPr="001E6B62" w:rsidRDefault="005225B5" w:rsidP="006263CF">
      <w:pPr>
        <w:spacing w:before="144"/>
        <w:ind w:right="5"/>
        <w:jc w:val="both"/>
        <w:rPr>
          <w:rFonts w:asciiTheme="minorHAnsi" w:hAnsiTheme="minorHAnsi" w:cstheme="minorHAnsi"/>
        </w:rPr>
      </w:pPr>
      <w:r w:rsidRPr="001E6B62">
        <w:rPr>
          <w:rFonts w:asciiTheme="minorHAnsi" w:hAnsiTheme="minorHAnsi" w:cstheme="minorHAnsi"/>
          <w:color w:val="000000"/>
        </w:rPr>
        <w:t>Існує ще багато невизначеностей щодо ролі хірургії в лікуванні МР-ТБ. Всі наявні дані за рекомендаціями 2016 року, були отримані на основі даних спостережень із серії справ, які можуть бути упередженими. Наприклад, цілком ймовірно, що при виборі пацієнтів, які будуть оперовані, відбулося б систематичне виключення пацієнтів, визнаних непридатними до операцій та наркозу, таких як літні пацієнти та хворі на супутні захворювання (наприклад, жоден ВІЛ-інфікований пацієнт не був прооперований) та обширні захворювання. Даних про небажані явища, хірургічні ускладнення або тривалі наслідки - деякі з яких можуть бути смертельними - не було достатньо, щоб можна було провести обґрунтований аналіз. І навпаки, ефективність операції, можливо, була недооцінена в аналізі через відсутність відповідної контрольної групи.</w:t>
      </w:r>
    </w:p>
    <w:p w:rsidR="005225B5" w:rsidRPr="006263CF" w:rsidRDefault="005225B5" w:rsidP="006263CF">
      <w:pPr>
        <w:tabs>
          <w:tab w:val="left" w:pos="624"/>
        </w:tabs>
        <w:spacing w:before="283"/>
        <w:rPr>
          <w:rFonts w:asciiTheme="minorHAnsi" w:hAnsiTheme="minorHAnsi" w:cstheme="minorHAnsi"/>
          <w:sz w:val="18"/>
        </w:rPr>
      </w:pPr>
      <w:r w:rsidRPr="006263CF">
        <w:rPr>
          <w:rFonts w:asciiTheme="minorHAnsi" w:hAnsiTheme="minorHAnsi" w:cstheme="minorHAnsi"/>
          <w:b/>
          <w:bCs/>
          <w:color w:val="1F61AA"/>
          <w:sz w:val="36"/>
          <w:szCs w:val="38"/>
        </w:rPr>
        <w:t>8.2</w:t>
      </w:r>
      <w:r w:rsidRPr="006263CF">
        <w:rPr>
          <w:rFonts w:asciiTheme="minorHAnsi" w:hAnsiTheme="minorHAnsi" w:cstheme="minorHAnsi"/>
          <w:b/>
          <w:bCs/>
          <w:color w:val="1F61AA"/>
          <w:sz w:val="36"/>
          <w:szCs w:val="38"/>
        </w:rPr>
        <w:tab/>
        <w:t>Застосування кортикостероїдів</w:t>
      </w:r>
    </w:p>
    <w:p w:rsidR="005225B5" w:rsidRPr="006263CF" w:rsidRDefault="005225B5" w:rsidP="006263CF">
      <w:pPr>
        <w:spacing w:before="110"/>
        <w:ind w:right="5"/>
        <w:jc w:val="both"/>
        <w:rPr>
          <w:rFonts w:asciiTheme="minorHAnsi" w:hAnsiTheme="minorHAnsi" w:cstheme="minorHAnsi"/>
          <w:sz w:val="18"/>
        </w:rPr>
      </w:pPr>
      <w:r w:rsidRPr="006263CF">
        <w:rPr>
          <w:rFonts w:asciiTheme="minorHAnsi" w:hAnsiTheme="minorHAnsi" w:cstheme="minorHAnsi"/>
          <w:color w:val="000000"/>
          <w:szCs w:val="22"/>
        </w:rPr>
        <w:t>Кортикостероїди використовувались для підтримки лікування серйозних та важких наслідків туберкульозу, таких як міліарний туберкульоз, дихальна недостатність, ураження ЦНС та перикардит.</w:t>
      </w:r>
    </w:p>
    <w:p w:rsidR="005225B5" w:rsidRPr="006263CF" w:rsidRDefault="005225B5" w:rsidP="006263CF">
      <w:pPr>
        <w:spacing w:before="91"/>
        <w:ind w:right="5"/>
        <w:jc w:val="both"/>
        <w:rPr>
          <w:rFonts w:asciiTheme="minorHAnsi" w:hAnsiTheme="minorHAnsi" w:cstheme="minorHAnsi"/>
          <w:sz w:val="18"/>
        </w:rPr>
      </w:pPr>
      <w:r w:rsidRPr="006263CF">
        <w:rPr>
          <w:rFonts w:asciiTheme="minorHAnsi" w:hAnsiTheme="minorHAnsi" w:cstheme="minorHAnsi"/>
          <w:color w:val="000000"/>
          <w:szCs w:val="22"/>
        </w:rPr>
        <w:t>В настанові ВООЗ з лікування та догляду за пацієнтами з лікарсько-чутливим туберкульозом 2017 року було зроблено наступні рекомендації (2):</w:t>
      </w:r>
    </w:p>
    <w:p w:rsidR="005225B5" w:rsidRPr="006263CF" w:rsidRDefault="005225B5" w:rsidP="006263CF">
      <w:pPr>
        <w:spacing w:before="144"/>
        <w:ind w:left="221"/>
        <w:rPr>
          <w:rFonts w:asciiTheme="minorHAnsi" w:hAnsiTheme="minorHAnsi" w:cstheme="minorHAnsi"/>
          <w:sz w:val="18"/>
        </w:rPr>
      </w:pPr>
      <w:r w:rsidRPr="006263CF">
        <w:rPr>
          <w:rFonts w:asciiTheme="minorHAnsi" w:hAnsiTheme="minorHAnsi" w:cstheme="minorHAnsi"/>
          <w:b/>
          <w:bCs/>
          <w:color w:val="000000"/>
          <w:szCs w:val="22"/>
        </w:rPr>
        <w:t>У пацієнтів з туберкульозним менінгітом слід застосовувати початкову ад'ювантну кортикостероїдну терапію дексаметазоном або преднізолоном, які повинні використовуватися протягом 6-8 тижнів.</w:t>
      </w:r>
    </w:p>
    <w:p w:rsidR="005225B5" w:rsidRPr="006263CF" w:rsidRDefault="005225B5" w:rsidP="006263CF">
      <w:pPr>
        <w:ind w:left="221"/>
        <w:rPr>
          <w:rFonts w:asciiTheme="minorHAnsi" w:hAnsiTheme="minorHAnsi" w:cstheme="minorHAnsi"/>
          <w:sz w:val="18"/>
        </w:rPr>
      </w:pPr>
      <w:r w:rsidRPr="006263CF">
        <w:rPr>
          <w:rFonts w:asciiTheme="minorHAnsi" w:hAnsiTheme="minorHAnsi" w:cstheme="minorHAnsi"/>
          <w:i/>
          <w:iCs/>
          <w:color w:val="000000"/>
          <w:szCs w:val="22"/>
        </w:rPr>
        <w:t>(Сильна рекомендація, помірна впевненість у доказах)</w:t>
      </w:r>
    </w:p>
    <w:p w:rsidR="005225B5" w:rsidRPr="006263CF" w:rsidRDefault="005225B5" w:rsidP="006263CF">
      <w:pPr>
        <w:spacing w:before="144"/>
        <w:ind w:left="221"/>
        <w:rPr>
          <w:rFonts w:asciiTheme="minorHAnsi" w:hAnsiTheme="minorHAnsi" w:cstheme="minorHAnsi"/>
          <w:sz w:val="18"/>
        </w:rPr>
      </w:pPr>
      <w:r w:rsidRPr="006263CF">
        <w:rPr>
          <w:rFonts w:asciiTheme="minorHAnsi" w:hAnsiTheme="minorHAnsi" w:cstheme="minorHAnsi"/>
          <w:b/>
          <w:bCs/>
          <w:color w:val="000000"/>
          <w:szCs w:val="22"/>
        </w:rPr>
        <w:t>У хворих на туберкульозний перикардит може застосовуватися початкова ад'ювантна терапія кортикостероїдами.</w:t>
      </w:r>
    </w:p>
    <w:p w:rsidR="005225B5" w:rsidRPr="006263CF" w:rsidRDefault="005225B5" w:rsidP="006263CF">
      <w:pPr>
        <w:ind w:left="221"/>
        <w:rPr>
          <w:rFonts w:asciiTheme="minorHAnsi" w:hAnsiTheme="minorHAnsi" w:cstheme="minorHAnsi"/>
          <w:sz w:val="18"/>
        </w:rPr>
      </w:pPr>
      <w:r w:rsidRPr="006263CF">
        <w:rPr>
          <w:rFonts w:asciiTheme="minorHAnsi" w:hAnsiTheme="minorHAnsi" w:cstheme="minorHAnsi"/>
          <w:i/>
          <w:iCs/>
          <w:color w:val="000000"/>
          <w:szCs w:val="22"/>
        </w:rPr>
        <w:t>(Умовна рекомендація, дуже низька якість доказових даних)</w:t>
      </w:r>
    </w:p>
    <w:p w:rsidR="005225B5" w:rsidRPr="006263CF" w:rsidRDefault="005225B5" w:rsidP="006263CF">
      <w:pPr>
        <w:spacing w:before="144"/>
        <w:ind w:right="5"/>
        <w:jc w:val="both"/>
        <w:rPr>
          <w:rFonts w:asciiTheme="minorHAnsi" w:hAnsiTheme="minorHAnsi" w:cstheme="minorHAnsi"/>
          <w:sz w:val="18"/>
        </w:rPr>
      </w:pPr>
      <w:r w:rsidRPr="006263CF">
        <w:rPr>
          <w:rFonts w:asciiTheme="minorHAnsi" w:hAnsiTheme="minorHAnsi" w:cstheme="minorHAnsi"/>
          <w:color w:val="000000"/>
          <w:szCs w:val="22"/>
        </w:rPr>
        <w:t xml:space="preserve">Рекомендації обмежуються цими двома формами позалегеневого туберкульозу. У пацієнтів, хворих на туберкульозний менінгіт, дані РКД (101-105) свідчать про менший рівень смертності, важкої інвалідності і рецидивів, коли пацієнти отримували стероїди від туберкульозу. У міру зростання захворюваності на туберкульозний менінгіт збільшувалася і смертність. Небажані явища та важкі небажані явища, включаючи важкий гепатит, були нижчими у пацієнтів, які отримували стероїди. У пацієнтів з туберкульозним перикардитом дослідження показали користь лікування стероїдами щодо смерті, констриктивного перикардиту та прихильності до лікування </w:t>
      </w:r>
      <w:r w:rsidRPr="006263CF">
        <w:rPr>
          <w:rFonts w:asciiTheme="minorHAnsi" w:hAnsiTheme="minorHAnsi" w:cstheme="minorHAnsi"/>
          <w:i/>
          <w:iCs/>
          <w:color w:val="000000"/>
          <w:szCs w:val="22"/>
        </w:rPr>
        <w:t>(106–113).</w:t>
      </w:r>
    </w:p>
    <w:p w:rsidR="005225B5" w:rsidRPr="006263CF" w:rsidRDefault="005225B5" w:rsidP="006263CF">
      <w:pPr>
        <w:spacing w:before="144"/>
        <w:ind w:right="5"/>
        <w:jc w:val="both"/>
        <w:rPr>
          <w:rFonts w:asciiTheme="minorHAnsi" w:hAnsiTheme="minorHAnsi" w:cstheme="minorHAnsi"/>
          <w:sz w:val="18"/>
        </w:rPr>
      </w:pPr>
      <w:r w:rsidRPr="006263CF">
        <w:rPr>
          <w:rFonts w:asciiTheme="minorHAnsi" w:hAnsiTheme="minorHAnsi" w:cstheme="minorHAnsi"/>
          <w:color w:val="000000"/>
          <w:szCs w:val="22"/>
        </w:rPr>
        <w:t>Хоча докази та рекомендації стосуються, насамперед, до не пов'язаних з MР-TБ, немає жодних причин, чому ці рекомендації не повинні застосовуватися також до пацієнтів з MР/Риф-TБ за умови, що пацієнт все ще отримує схему лікування туберкульозу. Кортикостероїди є імуносупресивними, і тому можуть послабити реакцію організму на боротьбу з туберкульозом; отже, їх слід застосовувати лише за чітко вказаних даних та якщо пацієнт має адекватну ефективну схему лікування. Якщо кортикостероїди застосовуються в неадекватній схемі лікування, це може прискорити погіршення стану пацієнта. Пероральне лікування може бути призначене, але коли потрібна негайна відповідь, спочатку застосовуються ін'єкційні кортикостероїди.</w:t>
      </w:r>
    </w:p>
    <w:p w:rsidR="005225B5" w:rsidRPr="006263CF" w:rsidRDefault="005225B5" w:rsidP="006263CF">
      <w:pPr>
        <w:tabs>
          <w:tab w:val="left" w:pos="624"/>
        </w:tabs>
        <w:spacing w:before="278"/>
        <w:rPr>
          <w:rFonts w:asciiTheme="minorHAnsi" w:hAnsiTheme="minorHAnsi" w:cstheme="minorHAnsi"/>
          <w:sz w:val="18"/>
        </w:rPr>
      </w:pPr>
      <w:r w:rsidRPr="006263CF">
        <w:rPr>
          <w:rFonts w:asciiTheme="minorHAnsi" w:hAnsiTheme="minorHAnsi" w:cstheme="minorHAnsi"/>
          <w:b/>
          <w:bCs/>
          <w:color w:val="1F61AA"/>
          <w:sz w:val="36"/>
          <w:szCs w:val="38"/>
        </w:rPr>
        <w:t>8.3</w:t>
      </w:r>
      <w:r w:rsidRPr="006263CF">
        <w:rPr>
          <w:rFonts w:asciiTheme="minorHAnsi" w:hAnsiTheme="minorHAnsi" w:cstheme="minorHAnsi"/>
          <w:b/>
          <w:bCs/>
          <w:color w:val="1F61AA"/>
          <w:sz w:val="36"/>
          <w:szCs w:val="38"/>
        </w:rPr>
        <w:tab/>
        <w:t>Використання імуномодуляторів</w:t>
      </w:r>
    </w:p>
    <w:p w:rsidR="005225B5" w:rsidRPr="006263CF" w:rsidRDefault="005225B5" w:rsidP="006263CF">
      <w:pPr>
        <w:spacing w:before="106"/>
        <w:ind w:right="5"/>
        <w:jc w:val="both"/>
        <w:rPr>
          <w:rFonts w:asciiTheme="minorHAnsi" w:hAnsiTheme="minorHAnsi" w:cstheme="minorHAnsi"/>
          <w:sz w:val="18"/>
        </w:rPr>
      </w:pPr>
      <w:r w:rsidRPr="006263CF">
        <w:rPr>
          <w:rFonts w:asciiTheme="minorHAnsi" w:hAnsiTheme="minorHAnsi" w:cstheme="minorHAnsi"/>
          <w:color w:val="000000"/>
          <w:szCs w:val="22"/>
        </w:rPr>
        <w:t xml:space="preserve">Експертна група, яка вивчала потенціал імуномодуляторів в 2007 році, зазначила їх потенціал в плані поліпшення догляду за хворими М/ШЛС-TБ, зокрема за рахунок скорочення лікування і підвищення імунітету вилікуваних пацієнтів для запобігання рецидиву (114). Однак група прийшла до висновку, що жоден з розглянутих агентів-кандидатів не продемонстрував ефективності, і рекомендувала продовжити розробку і оцінку існуючих імунотерапевтичних препаратів, щоб знайти ефективне доповнення до хіміотерапії. Останнім </w:t>
      </w:r>
    </w:p>
    <w:p w:rsidR="005225B5" w:rsidRPr="006263CF" w:rsidRDefault="005225B5" w:rsidP="006263CF">
      <w:pPr>
        <w:spacing w:before="106"/>
        <w:ind w:right="5"/>
        <w:jc w:val="both"/>
        <w:rPr>
          <w:rFonts w:asciiTheme="minorHAnsi" w:hAnsiTheme="minorHAnsi" w:cstheme="minorHAnsi"/>
          <w:sz w:val="18"/>
        </w:rPr>
        <w:sectPr w:rsidR="005225B5" w:rsidRPr="006263CF" w:rsidSect="005144DA">
          <w:footerReference w:type="default" r:id="rId42"/>
          <w:pgSz w:w="11904" w:h="16838"/>
          <w:pgMar w:top="1383" w:right="1281" w:bottom="1514" w:left="1361" w:header="709" w:footer="709" w:gutter="0"/>
          <w:cols w:space="720"/>
          <w:noEndnote/>
        </w:sectPr>
      </w:pPr>
    </w:p>
    <w:p w:rsidR="005225B5" w:rsidRPr="001E6B62" w:rsidRDefault="005225B5" w:rsidP="006263CF">
      <w:pPr>
        <w:jc w:val="both"/>
        <w:rPr>
          <w:rFonts w:asciiTheme="minorHAnsi" w:hAnsiTheme="minorHAnsi" w:cstheme="minorHAnsi"/>
        </w:rPr>
      </w:pPr>
      <w:bookmarkStart w:id="43" w:name="bookmark42"/>
      <w:bookmarkEnd w:id="43"/>
      <w:r w:rsidRPr="001E6B62">
        <w:rPr>
          <w:rFonts w:asciiTheme="minorHAnsi" w:hAnsiTheme="minorHAnsi" w:cstheme="minorHAnsi"/>
        </w:rPr>
        <w:lastRenderedPageBreak/>
        <w:t>часом у ході нерандомізованого дослідження І фази у пацієнтів з М/ШЛС-TБ в Білорусі (Республіка) показало набагато вищий рівень успіху лікування у пацієнтів, які отримали ін'єкції з аутологічними мезенхімальними стромальними клітинами кісткового мозку з їх лікарсько-стійкої хіміотерапією, ніж контрольні, що не були заражені (115).</w:t>
      </w:r>
      <w:r w:rsidRPr="001E6B62">
        <w:rPr>
          <w:rFonts w:asciiTheme="minorHAnsi" w:hAnsiTheme="minorHAnsi" w:cstheme="minorHAnsi"/>
          <w:color w:val="000000"/>
        </w:rPr>
        <w:t xml:space="preserve"> В ході експериментального дослідження, що передував цьому експерименту, не було відзначено ніяких серйозних небажаних явищ (116). Отримані результати дозволяють провести подальші випробування для більш повної оцінки потенціалу цього терапевтичного підходу.</w:t>
      </w:r>
    </w:p>
    <w:p w:rsidR="005225B5" w:rsidRPr="001E6B62" w:rsidRDefault="005225B5" w:rsidP="006263CF">
      <w:pPr>
        <w:spacing w:before="144"/>
        <w:jc w:val="both"/>
        <w:rPr>
          <w:rFonts w:asciiTheme="minorHAnsi" w:hAnsiTheme="minorHAnsi" w:cstheme="minorHAnsi"/>
        </w:rPr>
      </w:pPr>
      <w:r w:rsidRPr="001E6B62">
        <w:rPr>
          <w:rFonts w:asciiTheme="minorHAnsi" w:hAnsiTheme="minorHAnsi" w:cstheme="minorHAnsi"/>
          <w:color w:val="000000"/>
        </w:rPr>
        <w:t>Можливий внесок препаратів, які були запропоновані для поліпшення лікування або скорочення тривалості лікування при використанні в поєднанні з рекомендованою ТБ хіміотерапією (наприклад гамма-інтерферон - розчинний цитокін, необхідний для проти мікобактеріального захисту господаря) ще не до кінця з'ясовані. Однак у рамках огляду доказів ефективності окремих лікарських препаратів для консолідованих настанов ВООЗ (1) було підтверджено докази використання гамма-інтерферону як допоміжного лікування.</w:t>
      </w:r>
    </w:p>
    <w:p w:rsidR="005225B5" w:rsidRPr="001E6B62" w:rsidRDefault="005225B5" w:rsidP="006263CF">
      <w:pPr>
        <w:spacing w:before="149"/>
        <w:jc w:val="both"/>
        <w:rPr>
          <w:rFonts w:asciiTheme="minorHAnsi" w:hAnsiTheme="minorHAnsi" w:cstheme="minorHAnsi"/>
        </w:rPr>
      </w:pPr>
      <w:r w:rsidRPr="001E6B62">
        <w:rPr>
          <w:rFonts w:asciiTheme="minorHAnsi" w:hAnsiTheme="minorHAnsi" w:cstheme="minorHAnsi"/>
          <w:color w:val="000000"/>
        </w:rPr>
        <w:t>Огляд літератури дав ряд досліджень щодо гамма-інтерферону, як додаткового засобу для лікування туберкульозу; однак більшість досліджень або не включали групу порівняння (і тому ми не змогли генерувати оцінки ефекту) або мали інші методологічні недоліки (наприклад, невеликі розміри вибірки, неповна звітність про сліпоту, рандомізацію чи коригування для потенційних конфузів), і один включав пацієнтів, які отримували 12-місячну схему лікування МР-ТБ (117-120). Не виявлено РКД, і, схоже, єдиним рандомізованим, плацебо контрольованим, багатоцентровим випробуванням ад'юнктивного гамма-інтерферону для пацієнтів з MР-TБ було дослідження InterMune, яке було припинено передчасно через смерть в експериментальній групі (121). Відсутність високоякісних доказів, що демонструють ефективність, означає, що допоміжне лікування гамма-інтерфероном не може бути запропоноване як частина схеми M/ШЛС-TБ в програмних умовах.</w:t>
      </w:r>
    </w:p>
    <w:p w:rsidR="005225B5" w:rsidRPr="006263CF" w:rsidRDefault="005225B5" w:rsidP="006263CF">
      <w:pPr>
        <w:spacing w:before="278"/>
        <w:ind w:right="768"/>
        <w:rPr>
          <w:rFonts w:asciiTheme="minorHAnsi" w:hAnsiTheme="minorHAnsi" w:cstheme="minorHAnsi"/>
          <w:sz w:val="18"/>
        </w:rPr>
      </w:pPr>
      <w:r w:rsidRPr="006263CF">
        <w:rPr>
          <w:rFonts w:asciiTheme="minorHAnsi" w:hAnsiTheme="minorHAnsi" w:cstheme="minorHAnsi"/>
          <w:b/>
          <w:bCs/>
          <w:color w:val="1F61AA"/>
          <w:sz w:val="36"/>
          <w:szCs w:val="38"/>
        </w:rPr>
        <w:t>8.4 Лікування хворих на ВІЛ, ко-інфікованих MР/Риф-TБ</w:t>
      </w:r>
    </w:p>
    <w:p w:rsidR="005225B5" w:rsidRPr="001E6B62" w:rsidRDefault="005225B5" w:rsidP="006263CF">
      <w:pPr>
        <w:spacing w:before="106"/>
        <w:jc w:val="both"/>
        <w:rPr>
          <w:rFonts w:asciiTheme="minorHAnsi" w:hAnsiTheme="minorHAnsi" w:cstheme="minorHAnsi"/>
        </w:rPr>
      </w:pPr>
      <w:r w:rsidRPr="001E6B62">
        <w:rPr>
          <w:rFonts w:asciiTheme="minorHAnsi" w:hAnsiTheme="minorHAnsi" w:cstheme="minorHAnsi"/>
          <w:color w:val="000000"/>
        </w:rPr>
        <w:t>Що стосується ВІЛ-інфекції, то у 2011 році була зроблена конкретна рекомендація щодо використання АРТ у всіх хворих на ВІЛ та стійкій до лікарських засобів ТБ (20, 38):</w:t>
      </w:r>
    </w:p>
    <w:p w:rsidR="005225B5" w:rsidRPr="001E6B62" w:rsidRDefault="005225B5" w:rsidP="006263CF">
      <w:pPr>
        <w:spacing w:before="144"/>
        <w:ind w:left="221" w:right="230"/>
        <w:jc w:val="both"/>
        <w:rPr>
          <w:rFonts w:asciiTheme="minorHAnsi" w:hAnsiTheme="minorHAnsi" w:cstheme="minorHAnsi"/>
        </w:rPr>
      </w:pPr>
      <w:r w:rsidRPr="001E6B62">
        <w:rPr>
          <w:rFonts w:asciiTheme="minorHAnsi" w:hAnsiTheme="minorHAnsi" w:cstheme="minorHAnsi"/>
          <w:b/>
          <w:bCs/>
          <w:color w:val="000000"/>
        </w:rPr>
        <w:t>Рекомендація 6.1 АРТ рекомендується для всіх хворих на ВІЛ та лікарсько-стійкий ТБ, які потребують протитуберкульозних препаратів 2-го ряду, незалежно від кількості клітин CD4, якомога раніше (протягом перших 8 тижнів) після початку протитуберкульозного лікування.</w:t>
      </w:r>
    </w:p>
    <w:p w:rsidR="005225B5" w:rsidRPr="001E6B62" w:rsidRDefault="005225B5" w:rsidP="006263CF">
      <w:pPr>
        <w:ind w:left="221"/>
        <w:rPr>
          <w:rFonts w:asciiTheme="minorHAnsi" w:hAnsiTheme="minorHAnsi" w:cstheme="minorHAnsi"/>
        </w:rPr>
      </w:pPr>
      <w:r w:rsidRPr="001E6B62">
        <w:rPr>
          <w:rFonts w:asciiTheme="minorHAnsi" w:hAnsiTheme="minorHAnsi" w:cstheme="minorHAnsi"/>
          <w:i/>
          <w:iCs/>
          <w:color w:val="000000"/>
        </w:rPr>
        <w:t>(Сильна рекомендація, дуже низька якість фактичних даних)</w:t>
      </w:r>
    </w:p>
    <w:p w:rsidR="005225B5" w:rsidRPr="001E6B62" w:rsidRDefault="005225B5" w:rsidP="006263CF">
      <w:pPr>
        <w:spacing w:before="144"/>
        <w:jc w:val="both"/>
        <w:rPr>
          <w:rFonts w:asciiTheme="minorHAnsi" w:hAnsiTheme="minorHAnsi" w:cstheme="minorHAnsi"/>
        </w:rPr>
      </w:pPr>
      <w:r w:rsidRPr="001E6B62">
        <w:rPr>
          <w:rFonts w:asciiTheme="minorHAnsi" w:hAnsiTheme="minorHAnsi" w:cstheme="minorHAnsi"/>
          <w:color w:val="000000"/>
        </w:rPr>
        <w:t>Затримка АРТ підвищує ризик смерті серед ВІЛ-інфікованих хворих на туберкульоз. АРТ слід починати у всіх хворих на туберкульоз, які живуть з ВІЛ, незалежно від кількості CD4 клітин. Терапію слід розпочати якомога швидше протягом перших 8 тижнів лікування туберкульозу або протягом перших 2 тижнів у пацієнтів з глибокою імуносупресією (наприклад, кількість CD4 &lt;50 клітин/мм</w:t>
      </w:r>
      <w:r w:rsidRPr="001E6B62">
        <w:rPr>
          <w:rFonts w:asciiTheme="minorHAnsi" w:hAnsiTheme="minorHAnsi" w:cstheme="minorHAnsi"/>
          <w:color w:val="000000"/>
          <w:vertAlign w:val="superscript"/>
        </w:rPr>
        <w:t>3</w:t>
      </w:r>
      <w:r w:rsidRPr="001E6B62">
        <w:rPr>
          <w:rFonts w:asciiTheme="minorHAnsi" w:hAnsiTheme="minorHAnsi" w:cstheme="minorHAnsi"/>
          <w:color w:val="000000"/>
        </w:rPr>
        <w:t xml:space="preserve">). У дітей з ВІЛ та активною формою туберкульозу АРТ слід починати якнайшвидше та протягом 8 тижнів після початку протитуберкульозного лікування, незалежно від кількості клітин CD4 та клінічної стадії </w:t>
      </w:r>
      <w:r w:rsidRPr="001E6B62">
        <w:rPr>
          <w:rFonts w:asciiTheme="minorHAnsi" w:hAnsiTheme="minorHAnsi" w:cstheme="minorHAnsi"/>
          <w:i/>
          <w:iCs/>
          <w:color w:val="000000"/>
        </w:rPr>
        <w:t>(20)</w:t>
      </w:r>
      <w:r w:rsidRPr="001E6B62">
        <w:rPr>
          <w:rFonts w:asciiTheme="minorHAnsi" w:hAnsiTheme="minorHAnsi" w:cstheme="minorHAnsi"/>
          <w:color w:val="000000"/>
        </w:rPr>
        <w:t>.</w:t>
      </w:r>
    </w:p>
    <w:p w:rsidR="005225B5" w:rsidRPr="001E6B62" w:rsidRDefault="005225B5" w:rsidP="006263CF">
      <w:pPr>
        <w:spacing w:before="144"/>
        <w:jc w:val="both"/>
        <w:rPr>
          <w:rFonts w:asciiTheme="minorHAnsi" w:hAnsiTheme="minorHAnsi" w:cstheme="minorHAnsi"/>
        </w:rPr>
      </w:pPr>
      <w:r w:rsidRPr="001E6B62">
        <w:rPr>
          <w:rFonts w:asciiTheme="minorHAnsi" w:hAnsiTheme="minorHAnsi" w:cstheme="minorHAnsi"/>
          <w:color w:val="000000"/>
        </w:rPr>
        <w:t>Між деякими антиретровірусними лікарськими препаратами та ін'єкційними препаратами може існувати потенційна можливість дублювання, додаткова токсичність або взаємодія препаратів, моксифлоксацин і клофазимін; однак, як правило, немає підстав вимагати модифікацій схем лікування MР-TБ або АРТ. Не рекомендується використовувати бедаквілін та ефавіренц у комбінації (див.</w:t>
      </w:r>
      <w:r w:rsidRPr="001E6B62">
        <w:rPr>
          <w:rFonts w:asciiTheme="minorHAnsi" w:hAnsiTheme="minorHAnsi" w:cstheme="minorHAnsi"/>
          <w:color w:val="1F61AA"/>
        </w:rPr>
        <w:t>Розділ 6.2</w:t>
      </w:r>
      <w:r w:rsidRPr="001E6B62">
        <w:rPr>
          <w:rFonts w:asciiTheme="minorHAnsi" w:hAnsiTheme="minorHAnsi" w:cstheme="minorHAnsi"/>
          <w:color w:val="000000"/>
        </w:rPr>
        <w:t>). Інформаційні листки з лікарськими препаратами у частині 3 посібника (5) містять інформацію про окремі лікарські препарати, які використовуються для лікування MЛС/Риф-TБ та їх взаємодії з лікарськими засобами. Крім того, інформація про взаємодію з ВІЛ-інфекцією є на веб-сторінці «Взаємодія з ВІЛ-інфекцією» (54). Схеми АРТ повинні бути оптимізовані та розпочаті достроково, відповідно до рекомендацій ВООЗ (5, 38). Рекомендується ретельний моніторинг реакції та токсичності для пацієнтів як на лікування ТБ, так і на ВІЛ. Інші супутні захворювання (наприклад, діабет та порушення психічного здоров'я) повинні бути відповідно керовані (5).</w:t>
      </w:r>
    </w:p>
    <w:p w:rsidR="005225B5" w:rsidRPr="006263CF" w:rsidRDefault="005225B5" w:rsidP="006263CF">
      <w:pPr>
        <w:spacing w:before="144"/>
        <w:jc w:val="both"/>
        <w:rPr>
          <w:rFonts w:asciiTheme="minorHAnsi" w:hAnsiTheme="minorHAnsi" w:cstheme="minorHAnsi"/>
          <w:sz w:val="18"/>
        </w:rPr>
        <w:sectPr w:rsidR="005225B5" w:rsidRPr="006263CF">
          <w:pgSz w:w="11904" w:h="16838"/>
          <w:pgMar w:top="1349" w:right="1416" w:bottom="1814" w:left="1416" w:header="708" w:footer="708" w:gutter="0"/>
          <w:cols w:space="60"/>
          <w:noEndnote/>
        </w:sectPr>
      </w:pPr>
    </w:p>
    <w:p w:rsidR="005225B5" w:rsidRPr="001E6B62" w:rsidRDefault="00C73DE6" w:rsidP="006263CF">
      <w:pPr>
        <w:rPr>
          <w:rFonts w:asciiTheme="minorHAnsi" w:hAnsiTheme="minorHAnsi" w:cstheme="minorHAnsi"/>
          <w:b/>
          <w:sz w:val="18"/>
        </w:rPr>
      </w:pPr>
      <w:bookmarkStart w:id="44" w:name="bookmark43"/>
      <w:r>
        <w:rPr>
          <w:rFonts w:asciiTheme="minorHAnsi" w:hAnsiTheme="minorHAnsi" w:cstheme="minorHAnsi"/>
          <w:noProof/>
          <w:color w:val="1F61AA"/>
          <w:sz w:val="56"/>
          <w:szCs w:val="64"/>
        </w:rPr>
        <w:lastRenderedPageBreak/>
        <w:drawing>
          <wp:anchor distT="0" distB="0" distL="6400800" distR="6400800" simplePos="0" relativeHeight="251702272" behindDoc="1" locked="0" layoutInCell="0" allowOverlap="1" wp14:anchorId="3A425991" wp14:editId="1E72D151">
            <wp:simplePos x="0" y="0"/>
            <wp:positionH relativeFrom="margin">
              <wp:posOffset>-942340</wp:posOffset>
            </wp:positionH>
            <wp:positionV relativeFrom="paragraph">
              <wp:posOffset>-1350010</wp:posOffset>
            </wp:positionV>
            <wp:extent cx="8042910" cy="1629410"/>
            <wp:effectExtent l="0" t="0" r="0" b="8890"/>
            <wp:wrapNone/>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42910" cy="162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5225B5" w:rsidRPr="001E6B62">
        <w:rPr>
          <w:rFonts w:asciiTheme="minorHAnsi" w:hAnsiTheme="minorHAnsi" w:cstheme="minorHAnsi"/>
          <w:b/>
          <w:color w:val="1F61AA"/>
          <w:sz w:val="56"/>
          <w:szCs w:val="64"/>
        </w:rPr>
        <w:t>9</w:t>
      </w:r>
      <w:bookmarkEnd w:id="44"/>
      <w:r w:rsidR="005225B5" w:rsidRPr="001E6B62">
        <w:rPr>
          <w:rFonts w:asciiTheme="minorHAnsi" w:hAnsiTheme="minorHAnsi" w:cstheme="minorHAnsi"/>
          <w:b/>
          <w:color w:val="1F61AA"/>
          <w:sz w:val="56"/>
          <w:szCs w:val="64"/>
        </w:rPr>
        <w:t>. Підтримка пацієнта, щоб забезпечити прихильність до лікування</w:t>
      </w:r>
    </w:p>
    <w:p w:rsidR="005225B5" w:rsidRPr="006263CF" w:rsidRDefault="005225B5" w:rsidP="006263CF">
      <w:pPr>
        <w:spacing w:before="667"/>
        <w:jc w:val="both"/>
        <w:rPr>
          <w:rFonts w:asciiTheme="minorHAnsi" w:hAnsiTheme="minorHAnsi" w:cstheme="minorHAnsi"/>
          <w:sz w:val="18"/>
        </w:rPr>
      </w:pPr>
      <w:r w:rsidRPr="006263CF">
        <w:rPr>
          <w:rFonts w:asciiTheme="minorHAnsi" w:hAnsiTheme="minorHAnsi" w:cstheme="minorHAnsi"/>
          <w:color w:val="000000"/>
          <w:szCs w:val="22"/>
        </w:rPr>
        <w:t>Підтримка лікування пацієнтів, які використовують орієнтований на пацієнта підхід, необхідна для максимальної прихильності до лікування та забезпечення можливості раннього виявлення пацієнтів, які не реагують на лікування. Загальнодоступне або домашнє лікування під безпосереднім наглядом (ЛБН) умовно рекомендується проводити на базі медичних закладів під безпосереднім наглядом або без нагляду. Застосування DOT кваліфікованими непрофесійними працівниками або працівниками охорони здоров'я рекомендується на певних умовах у порівнянні з лікуванням під безпосереднім наглядом, зо здійснюється членами сім'ї або без нагляду. Лікування за допомогою відео зв’язку може замінити лікування під безпосереднім наглядом за наявності відповідної технології і може бути належним чином організовано і експлуатуватися медичними установами та пацієнтами (1, 2, 122).</w:t>
      </w:r>
    </w:p>
    <w:p w:rsidR="005225B5" w:rsidRPr="006263CF" w:rsidRDefault="005225B5" w:rsidP="006263CF">
      <w:pPr>
        <w:spacing w:before="144"/>
        <w:ind w:right="5"/>
        <w:jc w:val="both"/>
        <w:rPr>
          <w:rFonts w:asciiTheme="minorHAnsi" w:hAnsiTheme="minorHAnsi" w:cstheme="minorHAnsi"/>
          <w:sz w:val="18"/>
        </w:rPr>
      </w:pPr>
      <w:r w:rsidRPr="006263CF">
        <w:rPr>
          <w:rFonts w:asciiTheme="minorHAnsi" w:hAnsiTheme="minorHAnsi" w:cstheme="minorHAnsi"/>
          <w:color w:val="000000"/>
          <w:szCs w:val="22"/>
        </w:rPr>
        <w:t xml:space="preserve">Крім DOT, важливе значення для сприяння прихильності до лікування і застосування підходу, орієнтованого на пацієнта, надається ряду інших заходів. Національні програми боротьби з туберкульозом (НПБТ) повинні покращити доступ пацієнтів до пакету заходів щодо прихильності до лікування разом із вибором відповідного варіанту лікування, який визначається як матеріальна підтримка (наприклад, харчування, фінансові стимули та відшкодування транспортних платежів), психологічна підтримка, домашні візити, використання інформаційних технологій, моніторингу ліків та навчання персоналу. Крім того, сильно рекомендується забезпечити консультування пацієнтів з питань захворювання і прихильності до лікування </w:t>
      </w:r>
      <w:r w:rsidRPr="006263CF">
        <w:rPr>
          <w:rFonts w:asciiTheme="minorHAnsi" w:hAnsiTheme="minorHAnsi" w:cstheme="minorHAnsi"/>
          <w:i/>
          <w:iCs/>
          <w:color w:val="000000"/>
          <w:szCs w:val="22"/>
        </w:rPr>
        <w:t>(1, 2, 122)</w:t>
      </w:r>
      <w:r w:rsidRPr="006263CF">
        <w:rPr>
          <w:rFonts w:asciiTheme="minorHAnsi" w:hAnsiTheme="minorHAnsi" w:cstheme="minorHAnsi"/>
          <w:color w:val="000000"/>
          <w:szCs w:val="22"/>
        </w:rPr>
        <w:t>. Наступні рекомендації, що містяться в настановах з лікування та догляду пацієнтів з лікарсько-чутливим туберкульозом і доглядом за пацієнтом, оновлені у 2017 році (2), як і раніше застосовуються до пацієнтів з лікарсько-вразливим і лікарсько-стійким туберкульозом:</w:t>
      </w:r>
    </w:p>
    <w:p w:rsidR="005225B5" w:rsidRPr="006263CF" w:rsidRDefault="005225B5" w:rsidP="006263CF">
      <w:pPr>
        <w:spacing w:before="144"/>
        <w:ind w:left="221" w:right="240"/>
        <w:jc w:val="both"/>
        <w:rPr>
          <w:rFonts w:asciiTheme="minorHAnsi" w:hAnsiTheme="minorHAnsi" w:cstheme="minorHAnsi"/>
          <w:sz w:val="18"/>
        </w:rPr>
      </w:pPr>
      <w:r w:rsidRPr="006263CF">
        <w:rPr>
          <w:rFonts w:asciiTheme="minorHAnsi" w:hAnsiTheme="minorHAnsi" w:cstheme="minorHAnsi"/>
          <w:b/>
          <w:bCs/>
          <w:color w:val="000000"/>
          <w:szCs w:val="22"/>
        </w:rPr>
        <w:t>Рекомендація 8.1 Медична інформація та консультації щодо захворювання та прихильності до лікування повинні бути надані пацієнтам, які отримують лікування туберкульозу</w:t>
      </w:r>
    </w:p>
    <w:p w:rsidR="005225B5" w:rsidRPr="006263CF" w:rsidRDefault="005225B5" w:rsidP="006263CF">
      <w:pPr>
        <w:ind w:left="221"/>
        <w:rPr>
          <w:rFonts w:asciiTheme="minorHAnsi" w:hAnsiTheme="minorHAnsi" w:cstheme="minorHAnsi"/>
          <w:sz w:val="18"/>
        </w:rPr>
      </w:pPr>
      <w:r w:rsidRPr="006263CF">
        <w:rPr>
          <w:rFonts w:asciiTheme="minorHAnsi" w:hAnsiTheme="minorHAnsi" w:cstheme="minorHAnsi"/>
          <w:i/>
          <w:iCs/>
          <w:color w:val="000000"/>
          <w:szCs w:val="22"/>
        </w:rPr>
        <w:t>(Сильна рекомендація, помірна впевненість у доказах)</w:t>
      </w:r>
    </w:p>
    <w:p w:rsidR="005225B5" w:rsidRPr="006263CF" w:rsidRDefault="005225B5" w:rsidP="006263CF">
      <w:pPr>
        <w:spacing w:before="144"/>
        <w:ind w:left="221" w:right="235"/>
        <w:jc w:val="both"/>
        <w:rPr>
          <w:rFonts w:asciiTheme="minorHAnsi" w:hAnsiTheme="minorHAnsi" w:cstheme="minorHAnsi"/>
          <w:sz w:val="18"/>
        </w:rPr>
      </w:pPr>
      <w:r w:rsidRPr="006263CF">
        <w:rPr>
          <w:rFonts w:asciiTheme="minorHAnsi" w:hAnsiTheme="minorHAnsi" w:cstheme="minorHAnsi"/>
          <w:b/>
          <w:bCs/>
          <w:color w:val="000000"/>
          <w:szCs w:val="22"/>
        </w:rPr>
        <w:t>Рекомендація 8.2 Комплекс втручань щодо сприяння прихильності до лікування</w:t>
      </w:r>
      <w:r w:rsidRPr="006263CF">
        <w:rPr>
          <w:rFonts w:asciiTheme="minorHAnsi" w:hAnsiTheme="minorHAnsi" w:cstheme="minorHAnsi"/>
          <w:b/>
          <w:bCs/>
          <w:color w:val="000000"/>
          <w:szCs w:val="22"/>
          <w:vertAlign w:val="superscript"/>
        </w:rPr>
        <w:t>21</w:t>
      </w:r>
      <w:r w:rsidRPr="006263CF">
        <w:rPr>
          <w:rFonts w:asciiTheme="minorHAnsi" w:hAnsiTheme="minorHAnsi" w:cstheme="minorHAnsi"/>
          <w:b/>
          <w:bCs/>
          <w:color w:val="000000"/>
          <w:szCs w:val="22"/>
        </w:rPr>
        <w:t xml:space="preserve"> може бути запропонований пацієнтам, що отримують лікування ТБ у поєднанні з вибором відповідного варіанту лікування.</w:t>
      </w:r>
      <w:r w:rsidRPr="006263CF">
        <w:rPr>
          <w:rFonts w:asciiTheme="minorHAnsi" w:hAnsiTheme="minorHAnsi" w:cstheme="minorHAnsi"/>
          <w:b/>
          <w:bCs/>
          <w:color w:val="000000"/>
          <w:szCs w:val="22"/>
          <w:vertAlign w:val="superscript"/>
        </w:rPr>
        <w:t>22</w:t>
      </w:r>
    </w:p>
    <w:p w:rsidR="005225B5" w:rsidRPr="006263CF" w:rsidRDefault="005225B5" w:rsidP="006263CF">
      <w:pPr>
        <w:ind w:left="221"/>
        <w:rPr>
          <w:rFonts w:asciiTheme="minorHAnsi" w:hAnsiTheme="minorHAnsi" w:cstheme="minorHAnsi"/>
          <w:sz w:val="18"/>
        </w:rPr>
      </w:pPr>
      <w:r w:rsidRPr="006263CF">
        <w:rPr>
          <w:rFonts w:asciiTheme="minorHAnsi" w:hAnsiTheme="minorHAnsi" w:cstheme="minorHAnsi"/>
          <w:i/>
          <w:iCs/>
          <w:color w:val="000000"/>
          <w:szCs w:val="22"/>
        </w:rPr>
        <w:t>(Умовна рекомендація, низька якість доказових даних)</w:t>
      </w:r>
    </w:p>
    <w:p w:rsidR="005225B5" w:rsidRPr="006263CF" w:rsidRDefault="005225B5" w:rsidP="006263CF">
      <w:pPr>
        <w:spacing w:before="144"/>
        <w:ind w:left="221" w:right="235"/>
        <w:jc w:val="both"/>
        <w:rPr>
          <w:rFonts w:asciiTheme="minorHAnsi" w:hAnsiTheme="minorHAnsi" w:cstheme="minorHAnsi"/>
          <w:sz w:val="18"/>
        </w:rPr>
      </w:pPr>
      <w:r w:rsidRPr="006263CF">
        <w:rPr>
          <w:rFonts w:asciiTheme="minorHAnsi" w:hAnsiTheme="minorHAnsi" w:cstheme="minorHAnsi"/>
          <w:b/>
          <w:bCs/>
          <w:color w:val="000000"/>
          <w:szCs w:val="22"/>
        </w:rPr>
        <w:t>Рекомендація 8.3 Одне або кілька із наведених нижче втручань щодо прихильності до лікування (взаємодоповнюючих та не взаємовиключних) можуть бути запропоновані пацієнтам, які перебувають на лікуванні туберкульозу, або постачальникам медичних послуг:</w:t>
      </w:r>
    </w:p>
    <w:p w:rsidR="005225B5" w:rsidRPr="006263CF" w:rsidRDefault="005225B5" w:rsidP="006263CF">
      <w:pPr>
        <w:spacing w:before="91"/>
        <w:ind w:left="562" w:hanging="322"/>
        <w:rPr>
          <w:rFonts w:asciiTheme="minorHAnsi" w:hAnsiTheme="minorHAnsi" w:cstheme="minorHAnsi"/>
          <w:sz w:val="18"/>
        </w:rPr>
      </w:pPr>
      <w:r w:rsidRPr="006263CF">
        <w:rPr>
          <w:rFonts w:asciiTheme="minorHAnsi" w:hAnsiTheme="minorHAnsi" w:cstheme="minorHAnsi"/>
          <w:b/>
          <w:bCs/>
          <w:color w:val="000000"/>
          <w:szCs w:val="22"/>
        </w:rPr>
        <w:t>а)</w:t>
      </w:r>
      <w:r w:rsidR="00C451C7">
        <w:rPr>
          <w:rFonts w:asciiTheme="minorHAnsi" w:hAnsiTheme="minorHAnsi" w:cstheme="minorHAnsi"/>
          <w:b/>
          <w:bCs/>
          <w:color w:val="000000"/>
          <w:szCs w:val="22"/>
        </w:rPr>
        <w:tab/>
      </w:r>
      <w:r w:rsidRPr="006263CF">
        <w:rPr>
          <w:rFonts w:asciiTheme="minorHAnsi" w:hAnsiTheme="minorHAnsi" w:cstheme="minorHAnsi"/>
          <w:b/>
          <w:bCs/>
          <w:color w:val="000000"/>
          <w:szCs w:val="22"/>
        </w:rPr>
        <w:t>індикатори</w:t>
      </w:r>
      <w:r w:rsidRPr="006263CF">
        <w:rPr>
          <w:rFonts w:asciiTheme="minorHAnsi" w:hAnsiTheme="minorHAnsi" w:cstheme="minorHAnsi"/>
          <w:b/>
          <w:bCs/>
          <w:color w:val="000000"/>
          <w:szCs w:val="22"/>
          <w:vertAlign w:val="superscript"/>
        </w:rPr>
        <w:t>23</w:t>
      </w:r>
      <w:r w:rsidRPr="006263CF">
        <w:rPr>
          <w:rFonts w:asciiTheme="minorHAnsi" w:hAnsiTheme="minorHAnsi" w:cstheme="minorHAnsi"/>
          <w:b/>
          <w:bCs/>
          <w:color w:val="000000"/>
          <w:szCs w:val="22"/>
        </w:rPr>
        <w:t xml:space="preserve"> або моніторинг</w:t>
      </w:r>
      <w:r w:rsidRPr="006263CF">
        <w:rPr>
          <w:rFonts w:asciiTheme="minorHAnsi" w:hAnsiTheme="minorHAnsi" w:cstheme="minorHAnsi"/>
          <w:b/>
          <w:bCs/>
          <w:color w:val="000000"/>
          <w:szCs w:val="22"/>
          <w:vertAlign w:val="superscript"/>
        </w:rPr>
        <w:t>24</w:t>
      </w:r>
      <w:r w:rsidRPr="006263CF">
        <w:rPr>
          <w:rFonts w:asciiTheme="minorHAnsi" w:hAnsiTheme="minorHAnsi" w:cstheme="minorHAnsi"/>
          <w:b/>
          <w:bCs/>
          <w:color w:val="000000"/>
          <w:szCs w:val="22"/>
        </w:rPr>
        <w:t xml:space="preserve"> </w:t>
      </w:r>
      <w:r w:rsidRPr="006263CF">
        <w:rPr>
          <w:rFonts w:asciiTheme="minorHAnsi" w:hAnsiTheme="minorHAnsi" w:cstheme="minorHAnsi"/>
          <w:i/>
          <w:iCs/>
          <w:color w:val="000000"/>
          <w:szCs w:val="22"/>
        </w:rPr>
        <w:t>цифрових ліків (умовна рекомендація, дуже низька якість доказових даних);</w:t>
      </w:r>
      <w:r w:rsidRPr="006263CF">
        <w:rPr>
          <w:rFonts w:asciiTheme="minorHAnsi" w:hAnsiTheme="minorHAnsi" w:cstheme="minorHAnsi"/>
          <w:color w:val="000000"/>
          <w:szCs w:val="22"/>
        </w:rPr>
        <w:cr/>
      </w:r>
    </w:p>
    <w:p w:rsidR="000344A4" w:rsidRDefault="000344A4" w:rsidP="000344A4">
      <w:pPr>
        <w:spacing w:before="120"/>
        <w:ind w:right="5"/>
        <w:jc w:val="both"/>
        <w:rPr>
          <w:rFonts w:asciiTheme="minorHAnsi" w:hAnsiTheme="minorHAnsi" w:cstheme="minorHAnsi"/>
          <w:color w:val="000000"/>
          <w:sz w:val="14"/>
          <w:szCs w:val="16"/>
          <w:vertAlign w:val="superscript"/>
        </w:rPr>
      </w:pPr>
      <w:r>
        <w:rPr>
          <w:rFonts w:asciiTheme="minorHAnsi" w:hAnsiTheme="minorHAnsi" w:cstheme="minorHAnsi"/>
          <w:color w:val="000000"/>
          <w:sz w:val="14"/>
          <w:szCs w:val="16"/>
          <w:u w:val="single"/>
          <w:vertAlign w:val="superscript"/>
        </w:rPr>
        <w:tab/>
      </w:r>
      <w:r>
        <w:rPr>
          <w:rFonts w:asciiTheme="minorHAnsi" w:hAnsiTheme="minorHAnsi" w:cstheme="minorHAnsi"/>
          <w:color w:val="000000"/>
          <w:sz w:val="14"/>
          <w:szCs w:val="16"/>
          <w:u w:val="single"/>
          <w:vertAlign w:val="superscript"/>
        </w:rPr>
        <w:tab/>
      </w:r>
      <w:r>
        <w:rPr>
          <w:rFonts w:asciiTheme="minorHAnsi" w:hAnsiTheme="minorHAnsi" w:cstheme="minorHAnsi"/>
          <w:color w:val="000000"/>
          <w:sz w:val="14"/>
          <w:szCs w:val="16"/>
          <w:u w:val="single"/>
          <w:vertAlign w:val="superscript"/>
        </w:rPr>
        <w:tab/>
      </w:r>
    </w:p>
    <w:p w:rsidR="005225B5" w:rsidRPr="006263CF" w:rsidRDefault="005225B5" w:rsidP="000344A4">
      <w:pPr>
        <w:tabs>
          <w:tab w:val="left" w:pos="221"/>
        </w:tabs>
        <w:ind w:left="221" w:right="5" w:hanging="221"/>
        <w:jc w:val="both"/>
        <w:rPr>
          <w:rFonts w:asciiTheme="minorHAnsi" w:hAnsiTheme="minorHAnsi" w:cstheme="minorHAnsi"/>
          <w:sz w:val="18"/>
        </w:rPr>
      </w:pPr>
      <w:r w:rsidRPr="006263CF">
        <w:rPr>
          <w:rFonts w:asciiTheme="minorHAnsi" w:hAnsiTheme="minorHAnsi" w:cstheme="minorHAnsi"/>
          <w:color w:val="000000"/>
          <w:sz w:val="14"/>
          <w:szCs w:val="16"/>
          <w:vertAlign w:val="superscript"/>
        </w:rPr>
        <w:t>21</w:t>
      </w:r>
      <w:r w:rsidRPr="006263CF">
        <w:rPr>
          <w:rFonts w:asciiTheme="minorHAnsi" w:hAnsiTheme="minorHAnsi" w:cstheme="minorHAnsi"/>
          <w:color w:val="000000"/>
          <w:sz w:val="14"/>
          <w:szCs w:val="16"/>
        </w:rPr>
        <w:tab/>
        <w:t>Втручання щодо прихильності до лікування включають соціальну підтримку, таку як матеріальна підтримка (наприклад, харчування, фінансові стимули та транспортні збори); психологічна підтримка; такі відстежування, як домашні візити або цифровий медичний зв’язок (наприклад, SMS, телефонний дзвінок); моніторинг ліків; та навчання персоналу. Заходи втручання повинні вибиратися на основі оцінки індивідуальних потреб пацієнта, ресурсів постачальника послуг і умов здійснення.</w:t>
      </w:r>
    </w:p>
    <w:p w:rsidR="005225B5" w:rsidRPr="006263CF" w:rsidRDefault="005225B5" w:rsidP="006263CF">
      <w:pPr>
        <w:tabs>
          <w:tab w:val="left" w:pos="221"/>
        </w:tabs>
        <w:spacing w:before="38"/>
        <w:ind w:left="221" w:right="5" w:hanging="221"/>
        <w:jc w:val="both"/>
        <w:rPr>
          <w:rFonts w:asciiTheme="minorHAnsi" w:hAnsiTheme="minorHAnsi" w:cstheme="minorHAnsi"/>
          <w:sz w:val="18"/>
        </w:rPr>
      </w:pPr>
      <w:r w:rsidRPr="006263CF">
        <w:rPr>
          <w:rFonts w:asciiTheme="minorHAnsi" w:hAnsiTheme="minorHAnsi" w:cstheme="minorHAnsi"/>
          <w:color w:val="000000"/>
          <w:sz w:val="14"/>
          <w:szCs w:val="16"/>
          <w:vertAlign w:val="superscript"/>
        </w:rPr>
        <w:t>22</w:t>
      </w:r>
      <w:r w:rsidRPr="006263CF">
        <w:rPr>
          <w:rFonts w:asciiTheme="minorHAnsi" w:hAnsiTheme="minorHAnsi" w:cstheme="minorHAnsi"/>
          <w:color w:val="000000"/>
          <w:sz w:val="14"/>
          <w:szCs w:val="16"/>
        </w:rPr>
        <w:tab/>
        <w:t>До числа варіантів лікування відносяться: лікування під безпосереднім наглядом, лікування під безпосереднім наглядом за допомогою відео зв’язку, лікування без болю (тобто не кожна доза контрольованого лікування, щотижневе, або кілька разів на тиждень, спостереження), або лікування без нагляду.</w:t>
      </w:r>
    </w:p>
    <w:p w:rsidR="005225B5" w:rsidRPr="006263CF" w:rsidRDefault="005225B5" w:rsidP="006263CF">
      <w:pPr>
        <w:tabs>
          <w:tab w:val="left" w:pos="221"/>
        </w:tabs>
        <w:spacing w:before="38"/>
        <w:rPr>
          <w:rFonts w:asciiTheme="minorHAnsi" w:hAnsiTheme="minorHAnsi" w:cstheme="minorHAnsi"/>
          <w:sz w:val="18"/>
        </w:rPr>
      </w:pPr>
      <w:r w:rsidRPr="006263CF">
        <w:rPr>
          <w:rFonts w:asciiTheme="minorHAnsi" w:hAnsiTheme="minorHAnsi" w:cstheme="minorHAnsi"/>
          <w:color w:val="000000"/>
          <w:sz w:val="14"/>
          <w:szCs w:val="16"/>
          <w:vertAlign w:val="superscript"/>
        </w:rPr>
        <w:t>23</w:t>
      </w:r>
      <w:r w:rsidRPr="006263CF">
        <w:rPr>
          <w:rFonts w:asciiTheme="minorHAnsi" w:hAnsiTheme="minorHAnsi" w:cstheme="minorHAnsi"/>
          <w:color w:val="000000"/>
          <w:sz w:val="14"/>
          <w:szCs w:val="16"/>
        </w:rPr>
        <w:tab/>
        <w:t>Індикатори відносяться до спілкування з пацієнтом, у тому числі через SMS, телефонні (голосові) дзвінки або домашній візит.</w:t>
      </w:r>
    </w:p>
    <w:p w:rsidR="005225B5" w:rsidRPr="006263CF" w:rsidRDefault="005225B5" w:rsidP="006263CF">
      <w:pPr>
        <w:tabs>
          <w:tab w:val="left" w:pos="221"/>
        </w:tabs>
        <w:spacing w:before="38"/>
        <w:ind w:left="221" w:right="5" w:hanging="221"/>
        <w:jc w:val="both"/>
        <w:rPr>
          <w:rFonts w:asciiTheme="minorHAnsi" w:hAnsiTheme="minorHAnsi" w:cstheme="minorHAnsi"/>
          <w:sz w:val="18"/>
        </w:rPr>
      </w:pPr>
      <w:r w:rsidRPr="006263CF">
        <w:rPr>
          <w:rFonts w:asciiTheme="minorHAnsi" w:hAnsiTheme="minorHAnsi" w:cstheme="minorHAnsi"/>
          <w:color w:val="000000"/>
          <w:sz w:val="14"/>
          <w:szCs w:val="16"/>
          <w:vertAlign w:val="superscript"/>
        </w:rPr>
        <w:t>24</w:t>
      </w:r>
      <w:r w:rsidRPr="006263CF">
        <w:rPr>
          <w:rFonts w:asciiTheme="minorHAnsi" w:hAnsiTheme="minorHAnsi" w:cstheme="minorHAnsi"/>
          <w:color w:val="000000"/>
          <w:sz w:val="14"/>
          <w:szCs w:val="16"/>
        </w:rPr>
        <w:tab/>
        <w:t>Цифровий моніторинг ліків - це пристрій, який може вимірювати час між відкриттям таблеток. Медичний монітор може мати аудіонагадування або відправити SMS, щоб нагадати пацієнту прийняти ліки, разом із записом, коли були відкриті таблетки.</w:t>
      </w:r>
    </w:p>
    <w:p w:rsidR="005225B5" w:rsidRPr="006263CF" w:rsidRDefault="005225B5" w:rsidP="006263CF">
      <w:pPr>
        <w:tabs>
          <w:tab w:val="left" w:pos="221"/>
        </w:tabs>
        <w:spacing w:before="38"/>
        <w:ind w:left="221" w:right="5" w:hanging="221"/>
        <w:jc w:val="both"/>
        <w:rPr>
          <w:rFonts w:asciiTheme="minorHAnsi" w:hAnsiTheme="minorHAnsi" w:cstheme="minorHAnsi"/>
          <w:sz w:val="18"/>
        </w:rPr>
        <w:sectPr w:rsidR="005225B5" w:rsidRPr="006263CF" w:rsidSect="00C451C7">
          <w:footerReference w:type="default" r:id="rId43"/>
          <w:pgSz w:w="11904" w:h="16838"/>
          <w:pgMar w:top="2117" w:right="1411" w:bottom="0" w:left="1416" w:header="708" w:footer="708" w:gutter="0"/>
          <w:cols w:space="60"/>
          <w:noEndnote/>
        </w:sectPr>
      </w:pPr>
    </w:p>
    <w:p w:rsidR="005225B5" w:rsidRPr="006263CF" w:rsidRDefault="005225B5" w:rsidP="006263CF">
      <w:pPr>
        <w:numPr>
          <w:ilvl w:val="0"/>
          <w:numId w:val="12"/>
        </w:numPr>
        <w:tabs>
          <w:tab w:val="left" w:pos="562"/>
        </w:tabs>
        <w:ind w:left="562" w:right="806" w:hanging="322"/>
        <w:rPr>
          <w:rFonts w:asciiTheme="minorHAnsi" w:hAnsiTheme="minorHAnsi" w:cstheme="minorHAnsi"/>
          <w:b/>
          <w:bCs/>
          <w:color w:val="000000"/>
          <w:spacing w:val="-3"/>
          <w:szCs w:val="22"/>
        </w:rPr>
      </w:pPr>
      <w:r w:rsidRPr="006263CF">
        <w:rPr>
          <w:rFonts w:asciiTheme="minorHAnsi" w:hAnsiTheme="minorHAnsi" w:cstheme="minorHAnsi"/>
          <w:color w:val="000000"/>
          <w:szCs w:val="22"/>
        </w:rPr>
        <w:lastRenderedPageBreak/>
        <w:t>матеріальна підтримка пацієнта</w:t>
      </w:r>
      <w:r w:rsidRPr="006263CF">
        <w:rPr>
          <w:rFonts w:asciiTheme="minorHAnsi" w:hAnsiTheme="minorHAnsi" w:cstheme="minorHAnsi"/>
          <w:color w:val="000000"/>
          <w:szCs w:val="22"/>
          <w:vertAlign w:val="superscript"/>
        </w:rPr>
        <w:t>25</w:t>
      </w:r>
      <w:r w:rsidRPr="006263CF">
        <w:rPr>
          <w:rFonts w:asciiTheme="minorHAnsi" w:hAnsiTheme="minorHAnsi" w:cstheme="minorHAnsi"/>
          <w:color w:val="000000"/>
          <w:szCs w:val="22"/>
        </w:rPr>
        <w:t xml:space="preserve"> (умовна рекомендація, помірна якість доказових даних);</w:t>
      </w:r>
    </w:p>
    <w:p w:rsidR="005225B5" w:rsidRPr="006263CF" w:rsidRDefault="005225B5" w:rsidP="006263CF">
      <w:pPr>
        <w:numPr>
          <w:ilvl w:val="0"/>
          <w:numId w:val="12"/>
        </w:numPr>
        <w:tabs>
          <w:tab w:val="left" w:pos="562"/>
        </w:tabs>
        <w:spacing w:before="5"/>
        <w:ind w:left="562" w:right="806" w:hanging="322"/>
        <w:rPr>
          <w:rFonts w:asciiTheme="minorHAnsi" w:hAnsiTheme="minorHAnsi" w:cstheme="minorHAnsi"/>
          <w:b/>
          <w:bCs/>
          <w:color w:val="000000"/>
          <w:spacing w:val="-10"/>
          <w:szCs w:val="22"/>
        </w:rPr>
      </w:pPr>
      <w:r w:rsidRPr="006263CF">
        <w:rPr>
          <w:rFonts w:asciiTheme="minorHAnsi" w:hAnsiTheme="minorHAnsi" w:cstheme="minorHAnsi"/>
          <w:color w:val="000000"/>
          <w:szCs w:val="22"/>
        </w:rPr>
        <w:t>психологічна підтримка</w:t>
      </w:r>
      <w:r w:rsidRPr="006263CF">
        <w:rPr>
          <w:rFonts w:asciiTheme="minorHAnsi" w:hAnsiTheme="minorHAnsi" w:cstheme="minorHAnsi"/>
          <w:color w:val="000000"/>
          <w:szCs w:val="22"/>
          <w:vertAlign w:val="superscript"/>
        </w:rPr>
        <w:t>26</w:t>
      </w:r>
      <w:r w:rsidRPr="006263CF">
        <w:rPr>
          <w:rFonts w:asciiTheme="minorHAnsi" w:hAnsiTheme="minorHAnsi" w:cstheme="minorHAnsi"/>
          <w:color w:val="000000"/>
          <w:szCs w:val="22"/>
        </w:rPr>
        <w:t xml:space="preserve"> пацієнту (умовна рекомендація, низька якість доказових даних)</w:t>
      </w:r>
    </w:p>
    <w:p w:rsidR="005225B5" w:rsidRPr="006263CF" w:rsidRDefault="005225B5" w:rsidP="006263CF">
      <w:pPr>
        <w:numPr>
          <w:ilvl w:val="0"/>
          <w:numId w:val="12"/>
        </w:numPr>
        <w:tabs>
          <w:tab w:val="left" w:pos="562"/>
        </w:tabs>
        <w:spacing w:before="10"/>
        <w:ind w:left="240"/>
        <w:rPr>
          <w:rFonts w:asciiTheme="minorHAnsi" w:hAnsiTheme="minorHAnsi" w:cstheme="minorHAnsi"/>
          <w:b/>
          <w:bCs/>
          <w:color w:val="000000"/>
          <w:spacing w:val="-3"/>
          <w:szCs w:val="22"/>
        </w:rPr>
      </w:pPr>
      <w:r w:rsidRPr="006263CF">
        <w:rPr>
          <w:rFonts w:asciiTheme="minorHAnsi" w:hAnsiTheme="minorHAnsi" w:cstheme="minorHAnsi"/>
          <w:color w:val="000000"/>
          <w:szCs w:val="22"/>
        </w:rPr>
        <w:t>освіта персоналу</w:t>
      </w:r>
      <w:r w:rsidRPr="006263CF">
        <w:rPr>
          <w:rFonts w:asciiTheme="minorHAnsi" w:hAnsiTheme="minorHAnsi" w:cstheme="minorHAnsi"/>
          <w:color w:val="000000"/>
          <w:szCs w:val="22"/>
          <w:vertAlign w:val="superscript"/>
        </w:rPr>
        <w:t xml:space="preserve">27 </w:t>
      </w:r>
      <w:r w:rsidRPr="006263CF">
        <w:rPr>
          <w:rFonts w:asciiTheme="minorHAnsi" w:hAnsiTheme="minorHAnsi" w:cstheme="minorHAnsi"/>
          <w:color w:val="000000"/>
          <w:szCs w:val="22"/>
        </w:rPr>
        <w:t>(умовна рекомендація, низька якість доказових даних).</w:t>
      </w:r>
    </w:p>
    <w:p w:rsidR="005225B5" w:rsidRPr="006263CF" w:rsidRDefault="005225B5" w:rsidP="006263CF">
      <w:pPr>
        <w:spacing w:before="144"/>
        <w:ind w:left="221"/>
        <w:rPr>
          <w:rFonts w:asciiTheme="minorHAnsi" w:hAnsiTheme="minorHAnsi" w:cstheme="minorHAnsi"/>
          <w:sz w:val="18"/>
        </w:rPr>
      </w:pPr>
      <w:r w:rsidRPr="006263CF">
        <w:rPr>
          <w:rFonts w:asciiTheme="minorHAnsi" w:hAnsiTheme="minorHAnsi" w:cstheme="minorHAnsi"/>
          <w:b/>
          <w:bCs/>
          <w:color w:val="000000"/>
          <w:szCs w:val="22"/>
        </w:rPr>
        <w:t>Рекомендація 8.4. Наступні варіанти призначення лікування можуть бути запропоновані пацієнтам для лікування туберкульозу:</w:t>
      </w:r>
    </w:p>
    <w:p w:rsidR="005225B5" w:rsidRPr="006263CF" w:rsidRDefault="005225B5" w:rsidP="006263CF">
      <w:pPr>
        <w:numPr>
          <w:ilvl w:val="0"/>
          <w:numId w:val="13"/>
        </w:numPr>
        <w:tabs>
          <w:tab w:val="left" w:pos="562"/>
        </w:tabs>
        <w:spacing w:before="149"/>
        <w:ind w:left="562" w:hanging="322"/>
        <w:rPr>
          <w:rFonts w:asciiTheme="minorHAnsi" w:hAnsiTheme="minorHAnsi" w:cstheme="minorHAnsi"/>
          <w:b/>
          <w:bCs/>
          <w:color w:val="000000"/>
          <w:spacing w:val="-5"/>
          <w:szCs w:val="22"/>
        </w:rPr>
      </w:pPr>
      <w:r w:rsidRPr="006263CF">
        <w:rPr>
          <w:rFonts w:asciiTheme="minorHAnsi" w:hAnsiTheme="minorHAnsi" w:cstheme="minorHAnsi"/>
          <w:b/>
          <w:color w:val="000000"/>
          <w:szCs w:val="22"/>
        </w:rPr>
        <w:t>Рекомендується терапія під прямим контролем (DOT), яка проводиться на базі громади чи на дому, а не лікування під безпосереднім наглядом на базі медичних закладів або без нагляду (умовна рекомендація, помірна якість доказових даних)</w:t>
      </w:r>
    </w:p>
    <w:p w:rsidR="005225B5" w:rsidRPr="006263CF" w:rsidRDefault="005225B5" w:rsidP="006263CF">
      <w:pPr>
        <w:numPr>
          <w:ilvl w:val="0"/>
          <w:numId w:val="13"/>
        </w:numPr>
        <w:tabs>
          <w:tab w:val="left" w:pos="562"/>
        </w:tabs>
        <w:spacing w:before="58"/>
        <w:ind w:left="562" w:hanging="322"/>
        <w:rPr>
          <w:rFonts w:asciiTheme="minorHAnsi" w:hAnsiTheme="minorHAnsi" w:cstheme="minorHAnsi"/>
          <w:b/>
          <w:bCs/>
          <w:color w:val="000000"/>
          <w:spacing w:val="-3"/>
          <w:szCs w:val="22"/>
        </w:rPr>
      </w:pPr>
      <w:r w:rsidRPr="006263CF">
        <w:rPr>
          <w:rFonts w:asciiTheme="minorHAnsi" w:hAnsiTheme="minorHAnsi" w:cstheme="minorHAnsi"/>
          <w:b/>
          <w:color w:val="000000"/>
          <w:szCs w:val="22"/>
        </w:rPr>
        <w:t>Лікування під безпосереднім наглядом</w:t>
      </w:r>
      <w:r w:rsidRPr="006263CF">
        <w:rPr>
          <w:rFonts w:asciiTheme="minorHAnsi" w:hAnsiTheme="minorHAnsi" w:cstheme="minorHAnsi"/>
          <w:b/>
          <w:bCs/>
          <w:color w:val="000000"/>
          <w:szCs w:val="22"/>
        </w:rPr>
        <w:t xml:space="preserve">, що застосовується підготовленими непрофесійними медичними працівниками чи працівниками охорони здоров'я, рекомендується як додаток до лікування під безпосереднім наглядом, що здійснюється членами сім'ї або без нагляду </w:t>
      </w:r>
      <w:r w:rsidRPr="006263CF">
        <w:rPr>
          <w:rFonts w:asciiTheme="minorHAnsi" w:hAnsiTheme="minorHAnsi" w:cstheme="minorHAnsi"/>
          <w:i/>
          <w:iCs/>
          <w:color w:val="000000"/>
          <w:szCs w:val="22"/>
        </w:rPr>
        <w:t>(умовна рекомендація, дуже низька якість доказових даних)</w:t>
      </w:r>
    </w:p>
    <w:p w:rsidR="005225B5" w:rsidRPr="006263CF" w:rsidRDefault="005225B5" w:rsidP="006263CF">
      <w:pPr>
        <w:numPr>
          <w:ilvl w:val="0"/>
          <w:numId w:val="13"/>
        </w:numPr>
        <w:tabs>
          <w:tab w:val="left" w:pos="562"/>
        </w:tabs>
        <w:spacing w:before="58"/>
        <w:ind w:left="562" w:hanging="322"/>
        <w:rPr>
          <w:rFonts w:asciiTheme="minorHAnsi" w:hAnsiTheme="minorHAnsi" w:cstheme="minorHAnsi"/>
          <w:b/>
          <w:bCs/>
          <w:color w:val="000000"/>
          <w:spacing w:val="-10"/>
          <w:szCs w:val="22"/>
        </w:rPr>
      </w:pPr>
      <w:r w:rsidRPr="006263CF">
        <w:rPr>
          <w:rFonts w:asciiTheme="minorHAnsi" w:hAnsiTheme="minorHAnsi" w:cstheme="minorHAnsi"/>
          <w:b/>
          <w:bCs/>
          <w:color w:val="000000"/>
          <w:szCs w:val="22"/>
        </w:rPr>
        <w:t xml:space="preserve">Лікування під безпосереднім наглядом за допомогою відео зв’язку може замінити лікування під безпосереднім наглядом, коли технологія відеозв'язку є доступною і може бути належним чином організована та керована медичними працівниками та пацієнтами </w:t>
      </w:r>
      <w:r w:rsidRPr="006263CF">
        <w:rPr>
          <w:rFonts w:asciiTheme="minorHAnsi" w:hAnsiTheme="minorHAnsi" w:cstheme="minorHAnsi"/>
          <w:i/>
          <w:iCs/>
          <w:color w:val="000000"/>
          <w:szCs w:val="22"/>
        </w:rPr>
        <w:t>(умовна рекомендація, дуже низька якість доказових даних)</w:t>
      </w:r>
    </w:p>
    <w:p w:rsidR="005225B5" w:rsidRPr="006263CF" w:rsidRDefault="005225B5" w:rsidP="006263CF">
      <w:pPr>
        <w:spacing w:before="149"/>
        <w:ind w:left="221"/>
        <w:rPr>
          <w:rFonts w:asciiTheme="minorHAnsi" w:hAnsiTheme="minorHAnsi" w:cstheme="minorHAnsi"/>
          <w:sz w:val="18"/>
        </w:rPr>
      </w:pPr>
      <w:r w:rsidRPr="006263CF">
        <w:rPr>
          <w:rFonts w:asciiTheme="minorHAnsi" w:hAnsiTheme="minorHAnsi" w:cstheme="minorHAnsi"/>
          <w:b/>
          <w:bCs/>
          <w:color w:val="000000"/>
          <w:szCs w:val="22"/>
        </w:rPr>
        <w:t>Рекомендація 8.5 Лікування пацієнтів з МР-ТБ має здійснюватися головним чином на амбулаторному лікуванні, а не з використанням моделей лікування, заснованих головним чином на госпіталізації</w:t>
      </w:r>
      <w:r w:rsidRPr="006263CF">
        <w:rPr>
          <w:rFonts w:asciiTheme="minorHAnsi" w:hAnsiTheme="minorHAnsi" w:cstheme="minorHAnsi"/>
          <w:i/>
          <w:iCs/>
          <w:color w:val="000000"/>
          <w:szCs w:val="22"/>
        </w:rPr>
        <w:t>(1)(Умовна рекомендація, дуже низька якість доказових даних)</w:t>
      </w:r>
    </w:p>
    <w:p w:rsidR="005225B5" w:rsidRPr="006263CF" w:rsidRDefault="005225B5" w:rsidP="00C451C7">
      <w:pPr>
        <w:spacing w:before="144"/>
        <w:ind w:left="221"/>
        <w:rPr>
          <w:rFonts w:asciiTheme="minorHAnsi" w:hAnsiTheme="minorHAnsi" w:cstheme="minorHAnsi"/>
          <w:sz w:val="18"/>
        </w:rPr>
      </w:pPr>
      <w:r w:rsidRPr="006263CF">
        <w:rPr>
          <w:rFonts w:asciiTheme="minorHAnsi" w:hAnsiTheme="minorHAnsi" w:cstheme="minorHAnsi"/>
          <w:b/>
          <w:bCs/>
          <w:color w:val="000000"/>
          <w:szCs w:val="22"/>
        </w:rPr>
        <w:t>Рекомендація 8.6 Рекомендована децентралізована моде</w:t>
      </w:r>
      <w:r w:rsidR="00C451C7">
        <w:rPr>
          <w:rFonts w:asciiTheme="minorHAnsi" w:hAnsiTheme="minorHAnsi" w:cstheme="minorHAnsi"/>
          <w:b/>
          <w:bCs/>
          <w:color w:val="000000"/>
          <w:szCs w:val="22"/>
        </w:rPr>
        <w:t xml:space="preserve">ль догляду щодо централізованої </w:t>
      </w:r>
      <w:r w:rsidRPr="006263CF">
        <w:rPr>
          <w:rFonts w:asciiTheme="minorHAnsi" w:hAnsiTheme="minorHAnsi" w:cstheme="minorHAnsi"/>
          <w:b/>
          <w:color w:val="000000"/>
          <w:szCs w:val="22"/>
        </w:rPr>
        <w:t>моделі для пацієнтів, які перебувають на лікуванні МР-ТБ</w:t>
      </w:r>
      <w:r w:rsidRPr="006263CF">
        <w:rPr>
          <w:rFonts w:asciiTheme="minorHAnsi" w:hAnsiTheme="minorHAnsi" w:cstheme="minorHAnsi"/>
          <w:color w:val="000000"/>
          <w:szCs w:val="22"/>
        </w:rPr>
        <w:t xml:space="preserve"> (1, 2, 123)</w:t>
      </w:r>
    </w:p>
    <w:p w:rsidR="005225B5" w:rsidRPr="006263CF" w:rsidRDefault="005225B5" w:rsidP="006263CF">
      <w:pPr>
        <w:ind w:left="221"/>
        <w:rPr>
          <w:rFonts w:asciiTheme="minorHAnsi" w:hAnsiTheme="minorHAnsi" w:cstheme="minorHAnsi"/>
          <w:sz w:val="18"/>
        </w:rPr>
      </w:pPr>
      <w:r w:rsidRPr="006263CF">
        <w:rPr>
          <w:rFonts w:asciiTheme="minorHAnsi" w:hAnsiTheme="minorHAnsi" w:cstheme="minorHAnsi"/>
          <w:i/>
          <w:iCs/>
          <w:color w:val="000000"/>
          <w:szCs w:val="22"/>
        </w:rPr>
        <w:t>(Умовна рекомендація, дуже низька визначеність в оцінках ефекту)</w:t>
      </w:r>
    </w:p>
    <w:p w:rsidR="005225B5" w:rsidRPr="006263CF" w:rsidRDefault="005225B5" w:rsidP="006263CF">
      <w:pPr>
        <w:spacing w:before="149"/>
        <w:jc w:val="both"/>
        <w:rPr>
          <w:rFonts w:asciiTheme="minorHAnsi" w:hAnsiTheme="minorHAnsi" w:cstheme="minorHAnsi"/>
          <w:sz w:val="18"/>
        </w:rPr>
      </w:pPr>
      <w:r w:rsidRPr="006263CF">
        <w:rPr>
          <w:rFonts w:asciiTheme="minorHAnsi" w:hAnsiTheme="minorHAnsi" w:cstheme="minorHAnsi"/>
          <w:color w:val="000000"/>
          <w:szCs w:val="22"/>
        </w:rPr>
        <w:t>Реалізація рекомендованих заходів, орієнтованих на пацієнта, є особливо важливою для покращення результатів лікування пацієнтів, які отримують лікування МР-ТБ (124). Різні моделі та набори інструментів для орієнтованої на пацієнта підтримуючої допомоги були розроблені та досліджені для впровадження в різних умовах (125).</w:t>
      </w:r>
    </w:p>
    <w:p w:rsidR="000344A4" w:rsidRDefault="000344A4" w:rsidP="000344A4">
      <w:pPr>
        <w:spacing w:before="5040"/>
        <w:jc w:val="both"/>
        <w:rPr>
          <w:rFonts w:asciiTheme="minorHAnsi" w:hAnsiTheme="minorHAnsi" w:cstheme="minorHAnsi"/>
          <w:color w:val="000000"/>
          <w:sz w:val="14"/>
          <w:szCs w:val="16"/>
          <w:vertAlign w:val="superscript"/>
        </w:rPr>
      </w:pPr>
      <w:r>
        <w:rPr>
          <w:rFonts w:asciiTheme="minorHAnsi" w:hAnsiTheme="minorHAnsi" w:cstheme="minorHAnsi"/>
          <w:color w:val="000000"/>
          <w:sz w:val="14"/>
          <w:szCs w:val="16"/>
          <w:u w:val="single"/>
          <w:vertAlign w:val="superscript"/>
        </w:rPr>
        <w:tab/>
      </w:r>
      <w:r>
        <w:rPr>
          <w:rFonts w:asciiTheme="minorHAnsi" w:hAnsiTheme="minorHAnsi" w:cstheme="minorHAnsi"/>
          <w:color w:val="000000"/>
          <w:sz w:val="14"/>
          <w:szCs w:val="16"/>
          <w:u w:val="single"/>
          <w:vertAlign w:val="superscript"/>
        </w:rPr>
        <w:tab/>
      </w:r>
      <w:r>
        <w:rPr>
          <w:rFonts w:asciiTheme="minorHAnsi" w:hAnsiTheme="minorHAnsi" w:cstheme="minorHAnsi"/>
          <w:color w:val="000000"/>
          <w:sz w:val="14"/>
          <w:szCs w:val="16"/>
          <w:u w:val="single"/>
          <w:vertAlign w:val="superscript"/>
        </w:rPr>
        <w:tab/>
      </w:r>
    </w:p>
    <w:p w:rsidR="005225B5" w:rsidRPr="006263CF" w:rsidRDefault="005225B5" w:rsidP="000344A4">
      <w:pPr>
        <w:tabs>
          <w:tab w:val="left" w:pos="221"/>
        </w:tabs>
        <w:ind w:left="221" w:hanging="221"/>
        <w:jc w:val="both"/>
        <w:rPr>
          <w:rFonts w:asciiTheme="minorHAnsi" w:hAnsiTheme="minorHAnsi" w:cstheme="minorHAnsi"/>
          <w:sz w:val="18"/>
        </w:rPr>
      </w:pPr>
      <w:r w:rsidRPr="006263CF">
        <w:rPr>
          <w:rFonts w:asciiTheme="minorHAnsi" w:hAnsiTheme="minorHAnsi" w:cstheme="minorHAnsi"/>
          <w:color w:val="000000"/>
          <w:sz w:val="14"/>
          <w:szCs w:val="16"/>
          <w:vertAlign w:val="superscript"/>
        </w:rPr>
        <w:t>25</w:t>
      </w:r>
      <w:r w:rsidRPr="006263CF">
        <w:rPr>
          <w:rFonts w:asciiTheme="minorHAnsi" w:hAnsiTheme="minorHAnsi" w:cstheme="minorHAnsi"/>
          <w:color w:val="000000"/>
          <w:sz w:val="14"/>
          <w:szCs w:val="16"/>
        </w:rPr>
        <w:tab/>
        <w:t>Матеріальною підтримкою можуть бути продовольча або фінансова підтримка, такі як: харчування, кошики для харчування, харчові добавки, харчові ваучери, транспортні субсидії, допомога на проживання, житлові заохочення або фінансовий бонус. Ця підтримка стосується непрямих витрат, понесених пацієнтами або їх обслуговуючим персоналом з метою звернення до медичних послуг і, можливо, намагається зменшити наслідки втрати доходу, пов’язаної із захворюванням.</w:t>
      </w:r>
    </w:p>
    <w:p w:rsidR="005225B5" w:rsidRPr="006263CF" w:rsidRDefault="005225B5" w:rsidP="006263CF">
      <w:pPr>
        <w:tabs>
          <w:tab w:val="left" w:pos="221"/>
        </w:tabs>
        <w:spacing w:before="38"/>
        <w:rPr>
          <w:rFonts w:asciiTheme="minorHAnsi" w:hAnsiTheme="minorHAnsi" w:cstheme="minorHAnsi"/>
          <w:sz w:val="18"/>
        </w:rPr>
      </w:pPr>
      <w:r w:rsidRPr="006263CF">
        <w:rPr>
          <w:rFonts w:asciiTheme="minorHAnsi" w:hAnsiTheme="minorHAnsi" w:cstheme="minorHAnsi"/>
          <w:color w:val="000000"/>
          <w:sz w:val="14"/>
          <w:szCs w:val="16"/>
          <w:vertAlign w:val="superscript"/>
        </w:rPr>
        <w:t>26</w:t>
      </w:r>
      <w:r w:rsidRPr="006263CF">
        <w:rPr>
          <w:rFonts w:asciiTheme="minorHAnsi" w:hAnsiTheme="minorHAnsi" w:cstheme="minorHAnsi"/>
          <w:color w:val="000000"/>
          <w:sz w:val="14"/>
          <w:szCs w:val="16"/>
        </w:rPr>
        <w:tab/>
        <w:t>Психологічною підтримкою можуть бути сеанси консультування або підтримка групи однолітків.</w:t>
      </w:r>
    </w:p>
    <w:p w:rsidR="005225B5" w:rsidRPr="006263CF" w:rsidRDefault="005225B5" w:rsidP="006263CF">
      <w:pPr>
        <w:tabs>
          <w:tab w:val="left" w:pos="221"/>
        </w:tabs>
        <w:spacing w:before="38"/>
        <w:ind w:left="221" w:hanging="221"/>
        <w:jc w:val="both"/>
        <w:rPr>
          <w:rFonts w:asciiTheme="minorHAnsi" w:hAnsiTheme="minorHAnsi" w:cstheme="minorHAnsi"/>
          <w:sz w:val="18"/>
        </w:rPr>
      </w:pPr>
      <w:r w:rsidRPr="006263CF">
        <w:rPr>
          <w:rFonts w:asciiTheme="minorHAnsi" w:hAnsiTheme="minorHAnsi" w:cstheme="minorHAnsi"/>
          <w:color w:val="000000"/>
          <w:sz w:val="14"/>
          <w:szCs w:val="16"/>
          <w:vertAlign w:val="superscript"/>
        </w:rPr>
        <w:t>27</w:t>
      </w:r>
      <w:r w:rsidRPr="006263CF">
        <w:rPr>
          <w:rFonts w:asciiTheme="minorHAnsi" w:hAnsiTheme="minorHAnsi" w:cstheme="minorHAnsi"/>
          <w:color w:val="000000"/>
          <w:sz w:val="14"/>
          <w:szCs w:val="16"/>
        </w:rPr>
        <w:tab/>
        <w:t>Навчання персоналу може включати підготовку з питань прихильності, складання діаграм чи візуальних нагадувань, використання навчальних засобів і настільних посібників для прийняття рішень і нагадувань.</w:t>
      </w:r>
    </w:p>
    <w:p w:rsidR="005225B5" w:rsidRPr="006263CF" w:rsidRDefault="005225B5" w:rsidP="006263CF">
      <w:pPr>
        <w:tabs>
          <w:tab w:val="left" w:pos="221"/>
        </w:tabs>
        <w:spacing w:before="38"/>
        <w:ind w:left="221" w:hanging="221"/>
        <w:jc w:val="both"/>
        <w:rPr>
          <w:rFonts w:asciiTheme="minorHAnsi" w:hAnsiTheme="minorHAnsi" w:cstheme="minorHAnsi"/>
          <w:sz w:val="18"/>
        </w:rPr>
        <w:sectPr w:rsidR="005225B5" w:rsidRPr="006263CF">
          <w:pgSz w:w="11904" w:h="16838"/>
          <w:pgMar w:top="1291" w:right="1416" w:bottom="1354" w:left="1416" w:header="708" w:footer="708" w:gutter="0"/>
          <w:cols w:space="60"/>
          <w:noEndnote/>
        </w:sectPr>
      </w:pPr>
    </w:p>
    <w:p w:rsidR="005225B5" w:rsidRPr="00C451C7" w:rsidRDefault="00C73DE6" w:rsidP="006263CF">
      <w:pPr>
        <w:ind w:right="1286"/>
        <w:rPr>
          <w:rFonts w:asciiTheme="minorHAnsi" w:hAnsiTheme="minorHAnsi" w:cstheme="minorHAnsi"/>
          <w:b/>
          <w:sz w:val="18"/>
        </w:rPr>
      </w:pPr>
      <w:bookmarkStart w:id="45" w:name="bookmark44"/>
      <w:r>
        <w:rPr>
          <w:rFonts w:asciiTheme="minorHAnsi" w:hAnsiTheme="minorHAnsi" w:cstheme="minorHAnsi"/>
          <w:noProof/>
          <w:color w:val="1F61AA"/>
          <w:sz w:val="56"/>
          <w:szCs w:val="64"/>
        </w:rPr>
        <w:lastRenderedPageBreak/>
        <w:drawing>
          <wp:anchor distT="0" distB="0" distL="6400800" distR="6400800" simplePos="0" relativeHeight="251704320" behindDoc="1" locked="0" layoutInCell="0" allowOverlap="1" wp14:anchorId="0AC4922B" wp14:editId="3228310C">
            <wp:simplePos x="0" y="0"/>
            <wp:positionH relativeFrom="margin">
              <wp:posOffset>-942340</wp:posOffset>
            </wp:positionH>
            <wp:positionV relativeFrom="paragraph">
              <wp:posOffset>-1426210</wp:posOffset>
            </wp:positionV>
            <wp:extent cx="8042910" cy="1629410"/>
            <wp:effectExtent l="0" t="0" r="0" b="8890"/>
            <wp:wrapNone/>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42910" cy="162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5225B5" w:rsidRPr="00C451C7">
        <w:rPr>
          <w:rFonts w:asciiTheme="minorHAnsi" w:hAnsiTheme="minorHAnsi" w:cstheme="minorHAnsi"/>
          <w:b/>
          <w:color w:val="1F61AA"/>
          <w:sz w:val="56"/>
          <w:szCs w:val="64"/>
        </w:rPr>
        <w:t>1</w:t>
      </w:r>
      <w:bookmarkEnd w:id="45"/>
      <w:r w:rsidR="005225B5" w:rsidRPr="00C451C7">
        <w:rPr>
          <w:rFonts w:asciiTheme="minorHAnsi" w:hAnsiTheme="minorHAnsi" w:cstheme="minorHAnsi"/>
          <w:b/>
          <w:color w:val="1F61AA"/>
          <w:sz w:val="56"/>
          <w:szCs w:val="64"/>
        </w:rPr>
        <w:t>0. Програмне здійснення схем лікування МР-ТБ</w:t>
      </w:r>
    </w:p>
    <w:p w:rsidR="005225B5" w:rsidRPr="006263CF" w:rsidRDefault="005225B5" w:rsidP="006263CF">
      <w:pPr>
        <w:spacing w:before="667"/>
        <w:jc w:val="both"/>
        <w:rPr>
          <w:rFonts w:asciiTheme="minorHAnsi" w:hAnsiTheme="minorHAnsi" w:cstheme="minorHAnsi"/>
          <w:sz w:val="18"/>
        </w:rPr>
      </w:pPr>
      <w:r w:rsidRPr="006263CF">
        <w:rPr>
          <w:rFonts w:asciiTheme="minorHAnsi" w:hAnsiTheme="minorHAnsi" w:cstheme="minorHAnsi"/>
          <w:color w:val="000000"/>
          <w:szCs w:val="22"/>
        </w:rPr>
        <w:t>Введення довгострокових і короткострокових схем лікування МР-ТБ тягне за собою ряд кроків, які є такими ж, що і ті, які необхідні, коли НПБТ вводить новий компонент лікування МР-ТБ. Деякі ключові моменти коротко викладаються нижче.</w:t>
      </w:r>
    </w:p>
    <w:p w:rsidR="005225B5" w:rsidRPr="006263CF" w:rsidRDefault="005225B5" w:rsidP="006263CF">
      <w:pPr>
        <w:spacing w:before="269"/>
        <w:rPr>
          <w:rFonts w:asciiTheme="minorHAnsi" w:hAnsiTheme="minorHAnsi" w:cstheme="minorHAnsi"/>
          <w:sz w:val="18"/>
        </w:rPr>
      </w:pPr>
      <w:r w:rsidRPr="006263CF">
        <w:rPr>
          <w:rFonts w:asciiTheme="minorHAnsi" w:hAnsiTheme="minorHAnsi" w:cstheme="minorHAnsi"/>
          <w:b/>
          <w:bCs/>
          <w:color w:val="1F61AA"/>
          <w:sz w:val="28"/>
          <w:szCs w:val="32"/>
        </w:rPr>
        <w:t>Директивні і оперативні документи</w:t>
      </w:r>
    </w:p>
    <w:p w:rsidR="005225B5" w:rsidRPr="006263CF" w:rsidRDefault="005225B5" w:rsidP="006263CF">
      <w:pPr>
        <w:spacing w:before="120"/>
        <w:jc w:val="both"/>
        <w:rPr>
          <w:rFonts w:asciiTheme="minorHAnsi" w:hAnsiTheme="minorHAnsi" w:cstheme="minorHAnsi"/>
          <w:sz w:val="18"/>
        </w:rPr>
      </w:pPr>
      <w:r w:rsidRPr="006263CF">
        <w:rPr>
          <w:rFonts w:asciiTheme="minorHAnsi" w:hAnsiTheme="minorHAnsi" w:cstheme="minorHAnsi"/>
          <w:color w:val="000000"/>
          <w:szCs w:val="22"/>
        </w:rPr>
        <w:t xml:space="preserve">Необхідно буде переглянути директивні і оперативні документи, що регулюють основні компоненти програми. Такі документи включають національний стратегічний план боротьби з туберкульозом, настанови та алгоритми лікування, алгоритми діагностики, перелік основних лікарських препаратів, правила (наприклад, імпорт клофазиміну та претоманіду), замовлення лікарських </w:t>
      </w:r>
      <w:r w:rsidR="00C451C7">
        <w:rPr>
          <w:rFonts w:asciiTheme="minorHAnsi" w:hAnsiTheme="minorHAnsi" w:cstheme="minorHAnsi"/>
          <w:color w:val="000000"/>
          <w:szCs w:val="22"/>
        </w:rPr>
        <w:t xml:space="preserve">засобів та навчальний матеріал. </w:t>
      </w:r>
      <w:r w:rsidRPr="006263CF">
        <w:rPr>
          <w:rFonts w:asciiTheme="minorHAnsi" w:hAnsiTheme="minorHAnsi" w:cstheme="minorHAnsi"/>
          <w:color w:val="000000"/>
          <w:szCs w:val="22"/>
        </w:rPr>
        <w:t>Зазвичай не потрібні негайні зміни в реєстрі лікування туберкульозу другого ряду (хоча ВООЗ переглядає визначення та рамки звітування щодо туберкульозу в 2020 році) (26).  Карту лікування туберкульозу можна змінити, щоб дозволити підрахувати результати періодичного тестування на реакцію на лікування та небажані реакції (це, можливо, вже було зроблено для цілей системи активного моніторингу та управління безпекою застосування протитуберкульозних препаратів (aDSM) (19).  Будь-які зміни також повинні охоплювати використання схеми лікування в приватній практиці.</w:t>
      </w:r>
    </w:p>
    <w:p w:rsidR="005225B5" w:rsidRPr="006263CF" w:rsidRDefault="005225B5" w:rsidP="006263CF">
      <w:pPr>
        <w:spacing w:before="264"/>
        <w:rPr>
          <w:rFonts w:asciiTheme="minorHAnsi" w:hAnsiTheme="minorHAnsi" w:cstheme="minorHAnsi"/>
          <w:sz w:val="18"/>
        </w:rPr>
      </w:pPr>
      <w:r w:rsidRPr="006263CF">
        <w:rPr>
          <w:rFonts w:asciiTheme="minorHAnsi" w:hAnsiTheme="minorHAnsi" w:cstheme="minorHAnsi"/>
          <w:b/>
          <w:bCs/>
          <w:color w:val="1F61AA"/>
          <w:sz w:val="28"/>
          <w:szCs w:val="32"/>
        </w:rPr>
        <w:t>Національний експертний комітет з протидії МР-ТБ та/або технічна робоча група</w:t>
      </w:r>
    </w:p>
    <w:p w:rsidR="005225B5" w:rsidRPr="006263CF" w:rsidRDefault="005225B5" w:rsidP="006263CF">
      <w:pPr>
        <w:spacing w:before="125"/>
        <w:jc w:val="both"/>
        <w:rPr>
          <w:rFonts w:asciiTheme="minorHAnsi" w:hAnsiTheme="minorHAnsi" w:cstheme="minorHAnsi"/>
          <w:sz w:val="18"/>
        </w:rPr>
      </w:pPr>
      <w:r w:rsidRPr="006263CF">
        <w:rPr>
          <w:rFonts w:asciiTheme="minorHAnsi" w:hAnsiTheme="minorHAnsi" w:cstheme="minorHAnsi"/>
          <w:color w:val="000000"/>
          <w:szCs w:val="22"/>
        </w:rPr>
        <w:t>Національний експертний комітет з протидії МР-ТБ або технічна робоча група (консиліум або його рівнозначна структура в рамках НПБТ) надаватиме допомогу медичним працівникам якомога раніше:</w:t>
      </w:r>
    </w:p>
    <w:p w:rsidR="005225B5" w:rsidRPr="006263CF" w:rsidRDefault="005225B5" w:rsidP="006263CF">
      <w:pPr>
        <w:numPr>
          <w:ilvl w:val="0"/>
          <w:numId w:val="9"/>
        </w:numPr>
        <w:tabs>
          <w:tab w:val="left" w:pos="240"/>
        </w:tabs>
        <w:spacing w:before="149"/>
        <w:ind w:left="240" w:hanging="240"/>
        <w:jc w:val="both"/>
        <w:rPr>
          <w:rFonts w:asciiTheme="minorHAnsi" w:eastAsia="Times New Roman" w:hAnsiTheme="minorHAnsi" w:cstheme="minorHAnsi"/>
          <w:color w:val="1F61AA"/>
          <w:szCs w:val="22"/>
        </w:rPr>
      </w:pPr>
      <w:r w:rsidRPr="006263CF">
        <w:rPr>
          <w:rFonts w:asciiTheme="minorHAnsi" w:hAnsiTheme="minorHAnsi" w:cstheme="minorHAnsi"/>
          <w:color w:val="000000"/>
          <w:szCs w:val="22"/>
        </w:rPr>
        <w:t>координувати зміни в політиці та заходи, пов'язані з впровадженням переглянутої схеми лікування МР-ТБ як в державному, так і в приватному секторах (наприклад, навчання, спілкування, встановлення придатності пацієнтів до різних схем лікування МР-ТБ);</w:t>
      </w:r>
    </w:p>
    <w:p w:rsidR="005225B5" w:rsidRPr="006263CF" w:rsidRDefault="005225B5" w:rsidP="006263CF">
      <w:pPr>
        <w:numPr>
          <w:ilvl w:val="0"/>
          <w:numId w:val="9"/>
        </w:numPr>
        <w:tabs>
          <w:tab w:val="left" w:pos="240"/>
        </w:tabs>
        <w:rPr>
          <w:rFonts w:asciiTheme="minorHAnsi" w:eastAsia="Times New Roman" w:hAnsiTheme="minorHAnsi" w:cstheme="minorHAnsi"/>
          <w:color w:val="1F61AA"/>
          <w:szCs w:val="22"/>
        </w:rPr>
      </w:pPr>
      <w:r w:rsidRPr="006263CF">
        <w:rPr>
          <w:rFonts w:asciiTheme="minorHAnsi" w:hAnsiTheme="minorHAnsi" w:cstheme="minorHAnsi"/>
          <w:color w:val="000000"/>
          <w:szCs w:val="22"/>
        </w:rPr>
        <w:t>підготовка персоналу за клінічними аспектами aDSM;</w:t>
      </w:r>
    </w:p>
    <w:p w:rsidR="005225B5" w:rsidRPr="006263CF" w:rsidRDefault="005225B5" w:rsidP="006263CF">
      <w:pPr>
        <w:numPr>
          <w:ilvl w:val="0"/>
          <w:numId w:val="9"/>
        </w:numPr>
        <w:tabs>
          <w:tab w:val="left" w:pos="240"/>
        </w:tabs>
        <w:rPr>
          <w:rFonts w:asciiTheme="minorHAnsi" w:eastAsia="Times New Roman" w:hAnsiTheme="minorHAnsi" w:cstheme="minorHAnsi"/>
          <w:color w:val="1F61AA"/>
          <w:szCs w:val="22"/>
        </w:rPr>
      </w:pPr>
      <w:r w:rsidRPr="006263CF">
        <w:rPr>
          <w:rFonts w:asciiTheme="minorHAnsi" w:hAnsiTheme="minorHAnsi" w:cstheme="minorHAnsi"/>
          <w:color w:val="000000"/>
          <w:szCs w:val="22"/>
        </w:rPr>
        <w:t>надавати підтримку пацієнтам; і</w:t>
      </w:r>
    </w:p>
    <w:p w:rsidR="005225B5" w:rsidRPr="006263CF" w:rsidRDefault="005225B5" w:rsidP="006263CF">
      <w:pPr>
        <w:numPr>
          <w:ilvl w:val="0"/>
          <w:numId w:val="9"/>
        </w:numPr>
        <w:tabs>
          <w:tab w:val="left" w:pos="240"/>
        </w:tabs>
        <w:rPr>
          <w:rFonts w:asciiTheme="minorHAnsi" w:eastAsia="Times New Roman" w:hAnsiTheme="minorHAnsi" w:cstheme="minorHAnsi"/>
          <w:color w:val="1F61AA"/>
          <w:szCs w:val="22"/>
        </w:rPr>
      </w:pPr>
      <w:r w:rsidRPr="006263CF">
        <w:rPr>
          <w:rFonts w:asciiTheme="minorHAnsi" w:hAnsiTheme="minorHAnsi" w:cstheme="minorHAnsi"/>
          <w:color w:val="000000"/>
          <w:szCs w:val="22"/>
        </w:rPr>
        <w:t>надавати технічну та клінічну консультацію.</w:t>
      </w:r>
    </w:p>
    <w:p w:rsidR="005225B5" w:rsidRPr="006263CF" w:rsidRDefault="005225B5" w:rsidP="006263CF">
      <w:pPr>
        <w:spacing w:before="144"/>
        <w:jc w:val="both"/>
        <w:rPr>
          <w:rFonts w:asciiTheme="minorHAnsi" w:hAnsiTheme="minorHAnsi" w:cstheme="minorHAnsi"/>
          <w:sz w:val="18"/>
        </w:rPr>
      </w:pPr>
      <w:r w:rsidRPr="006263CF">
        <w:rPr>
          <w:rFonts w:asciiTheme="minorHAnsi" w:hAnsiTheme="minorHAnsi" w:cstheme="minorHAnsi"/>
          <w:color w:val="000000"/>
          <w:szCs w:val="22"/>
        </w:rPr>
        <w:t>Додаткову підтримку можуть надавати інші експерти на національному та міжнародному рівнях (наприклад, регіональний комітет із зеленого світла (rGLC)).  Для цього необхідно враховувати будь-який поетапний процес впровадження, наприклад, первісне впровадження в одному або декількох центрах до повного розширення, чи реалізація відбувається також у приватному секторі.</w:t>
      </w:r>
    </w:p>
    <w:p w:rsidR="005225B5" w:rsidRPr="006263CF" w:rsidRDefault="005225B5" w:rsidP="006263CF">
      <w:pPr>
        <w:spacing w:before="269"/>
        <w:rPr>
          <w:rFonts w:asciiTheme="minorHAnsi" w:hAnsiTheme="minorHAnsi" w:cstheme="minorHAnsi"/>
          <w:sz w:val="18"/>
        </w:rPr>
      </w:pPr>
      <w:r w:rsidRPr="006263CF">
        <w:rPr>
          <w:rFonts w:asciiTheme="minorHAnsi" w:hAnsiTheme="minorHAnsi" w:cstheme="minorHAnsi"/>
          <w:b/>
          <w:bCs/>
          <w:color w:val="1F61AA"/>
          <w:sz w:val="28"/>
          <w:szCs w:val="32"/>
        </w:rPr>
        <w:t>Електронна реєстрація та представлення звітів</w:t>
      </w:r>
    </w:p>
    <w:p w:rsidR="005225B5" w:rsidRPr="006263CF" w:rsidRDefault="005225B5" w:rsidP="006263CF">
      <w:pPr>
        <w:spacing w:before="125"/>
        <w:jc w:val="both"/>
        <w:rPr>
          <w:rFonts w:asciiTheme="minorHAnsi" w:hAnsiTheme="minorHAnsi" w:cstheme="minorHAnsi"/>
          <w:sz w:val="18"/>
        </w:rPr>
      </w:pPr>
      <w:r w:rsidRPr="006263CF">
        <w:rPr>
          <w:rFonts w:asciiTheme="minorHAnsi" w:hAnsiTheme="minorHAnsi" w:cstheme="minorHAnsi"/>
          <w:color w:val="000000"/>
          <w:szCs w:val="22"/>
        </w:rPr>
        <w:t xml:space="preserve">Існує необхідність підвищення якості даних про пацієнтів з використанням стандартизованих змінних, таких як дані про тестування медикаментозної чутливості (ТМЧ), призначене лікування, результати лікування та небажані реакції на лікарський засіб. Збір і </w:t>
      </w:r>
    </w:p>
    <w:p w:rsidR="005225B5" w:rsidRPr="006263CF" w:rsidRDefault="005225B5" w:rsidP="006263CF">
      <w:pPr>
        <w:spacing w:before="125"/>
        <w:jc w:val="both"/>
        <w:rPr>
          <w:rFonts w:asciiTheme="minorHAnsi" w:hAnsiTheme="minorHAnsi" w:cstheme="minorHAnsi"/>
          <w:sz w:val="18"/>
        </w:rPr>
        <w:sectPr w:rsidR="005225B5" w:rsidRPr="006263CF">
          <w:footerReference w:type="default" r:id="rId44"/>
          <w:pgSz w:w="11904" w:h="16838"/>
          <w:pgMar w:top="2117" w:right="1416" w:bottom="1550" w:left="1416" w:header="708" w:footer="708" w:gutter="0"/>
          <w:cols w:space="60"/>
          <w:noEndnote/>
        </w:sectPr>
      </w:pPr>
    </w:p>
    <w:p w:rsidR="005225B5" w:rsidRPr="006263CF" w:rsidRDefault="005225B5" w:rsidP="006263CF">
      <w:pPr>
        <w:jc w:val="both"/>
        <w:rPr>
          <w:rFonts w:asciiTheme="minorHAnsi" w:hAnsiTheme="minorHAnsi" w:cstheme="minorHAnsi"/>
          <w:sz w:val="18"/>
        </w:rPr>
      </w:pPr>
      <w:r w:rsidRPr="006263CF">
        <w:rPr>
          <w:rFonts w:asciiTheme="minorHAnsi" w:hAnsiTheme="minorHAnsi" w:cstheme="minorHAnsi"/>
          <w:color w:val="000000"/>
          <w:szCs w:val="22"/>
        </w:rPr>
        <w:lastRenderedPageBreak/>
        <w:t>корисність цих даних мають важливе значення для майбутніх науково обґрунтованих рекомендацій, особливо з урахуванням відсутності рандомізованого контрольованого випробування (РКВ) по боротьбі з туберкульозом, стійким до лікарських засобів (126).  Якщо цифрових даних про пацієнтів ще немає, важливо, щоб керівництво програми розглянуло питання про їх впровадження, принаймні для цілей спостереження, якщо не для ведення справ (127). Якщо дані про пацієнтів уже є в цифровому форматі, то, можливо, потрібно буде внести зміни в електронну систему реєстрації та звітності, з тим щоб дозволити особам, які становлять зацікавленість когортам лікування МР-ТБ (наприклад, укорочена схема лікування, схеми, що містить бедаквілін, і підгрупи оперативних досліджень) бути ідентифікованими і включати в рамки моніторингу певні варіанти (наприклад, додавання клофазиміну і реєстрація висновків ЕКГ). Програми мають важливе значення для ретельного та перспективного збереження таких даних, щоб вони могли сприяти оцінці програми та глобальній розробці політики (розробка консолідованих настанов ВООЗ в значній мірі спиралася на досвід лікування пацієнтів в рамках програм) (29, 30).  Звіти щодо результатів лікування для МР/Риф-TБ не потребують змін (для цифрової та паперової версії). Більше того, електронні засоби можуть підвищити кількісну оцінку витратних матеріалів; наприклад, обсяги лікарських препаратів можуть бути розраховані автоматично за допомогою QuanTB, програми, яку можна завантажити безкоштовно.</w:t>
      </w:r>
      <w:r w:rsidRPr="006263CF">
        <w:rPr>
          <w:rFonts w:asciiTheme="minorHAnsi" w:hAnsiTheme="minorHAnsi" w:cstheme="minorHAnsi"/>
          <w:color w:val="000000"/>
          <w:szCs w:val="22"/>
          <w:vertAlign w:val="superscript"/>
        </w:rPr>
        <w:t>28</w:t>
      </w:r>
    </w:p>
    <w:p w:rsidR="005225B5" w:rsidRPr="006263CF" w:rsidRDefault="005225B5" w:rsidP="006263CF">
      <w:pPr>
        <w:spacing w:before="269"/>
        <w:rPr>
          <w:rFonts w:asciiTheme="minorHAnsi" w:hAnsiTheme="minorHAnsi" w:cstheme="minorHAnsi"/>
          <w:sz w:val="18"/>
        </w:rPr>
      </w:pPr>
      <w:r w:rsidRPr="006263CF">
        <w:rPr>
          <w:rFonts w:asciiTheme="minorHAnsi" w:hAnsiTheme="minorHAnsi" w:cstheme="minorHAnsi"/>
          <w:b/>
          <w:bCs/>
          <w:color w:val="1F61AA"/>
          <w:sz w:val="28"/>
          <w:szCs w:val="32"/>
        </w:rPr>
        <w:t>Оцінки (епідеміологічні та логістичні)</w:t>
      </w:r>
    </w:p>
    <w:p w:rsidR="005225B5" w:rsidRPr="006263CF" w:rsidRDefault="005225B5" w:rsidP="006263CF">
      <w:pPr>
        <w:spacing w:before="120"/>
        <w:jc w:val="both"/>
        <w:rPr>
          <w:rFonts w:asciiTheme="minorHAnsi" w:hAnsiTheme="minorHAnsi" w:cstheme="minorHAnsi"/>
          <w:sz w:val="18"/>
        </w:rPr>
      </w:pPr>
      <w:r w:rsidRPr="006263CF">
        <w:rPr>
          <w:rFonts w:asciiTheme="minorHAnsi" w:hAnsiTheme="minorHAnsi" w:cstheme="minorHAnsi"/>
          <w:color w:val="000000"/>
          <w:szCs w:val="22"/>
        </w:rPr>
        <w:t>Оцінки необхідні НПБТ і іншим постачальникам медичних послуг для визначення числа хворих МР/Риф-ТБ, які мають право на отримання довгострокової і короткострокової схеми лікування МР-ТБ, відповідним чином переглянути бюджет і подати відповідні запити на замовлення лікарських засобів з урахуванням наявних запасів лікарських препаратів. Ці оцінки числа пацієнтів з МР/Риф-ТБ, які, цілком ймовірно, будуть зареєстровані, засновані на поточних тенденціях в області повідомлення та очікуваному зростанні відповідно до національних і субнаціональних планах.  Програма спочатку встановлює кількість зарахувань на МР-ТБ, які очікуються в найближчі роки, залежно від майбутнього збільшення потенціалу програми (наприклад, у рамках проекту, що підтримується грантом Глобального фонду на боротьбу зі СНІДом, туберкульозом та малярією). Потім, виходячи зі спостереження, прийнятності та оціночної швидкості масштабування, визначаються різні групи пацієнтів; наприклад, ті, які очікують отримання різних варіантів довгострокових схем лікування MР-TБ, і ті, які можуть отримати короткострокову схему лікування МР-ТБ.</w:t>
      </w:r>
      <w:r w:rsidRPr="006263CF">
        <w:rPr>
          <w:rFonts w:asciiTheme="minorHAnsi" w:hAnsiTheme="minorHAnsi" w:cstheme="minorHAnsi"/>
          <w:color w:val="000000"/>
          <w:szCs w:val="22"/>
        </w:rPr>
        <w:cr/>
        <w:t>При оцінці кількості пацієнтів, які потребують лікування, необхідно враховувати не тільки наявність права на лікування а також того, що було б можливо досягти за певний час, щоб забезпечити наявність усіх елементів для запуску та підтримки пацієнтів на лікуванні (наприклад, навчання та забезпечення належної бази для моніторингу та підтримки пацієнтів).</w:t>
      </w:r>
      <w:r w:rsidRPr="006263CF">
        <w:rPr>
          <w:rFonts w:asciiTheme="minorHAnsi" w:hAnsiTheme="minorHAnsi" w:cstheme="minorHAnsi"/>
          <w:color w:val="000000"/>
          <w:szCs w:val="22"/>
        </w:rPr>
        <w:cr/>
        <w:t>Пов'язані з цим витрати по програмам і витрати пацієнтів, крім самих лікарських препаратів, зазвичай переважають в загальній вартості як довгострокової, так і короткострової схеми лікування МР-ТБ (наприклад, лікування в разі небажаних явищ, госпіталізація, діагностика витратних матеріалів, інші види клінічної допомоги та соціальної підтримки); однак очікується, що загальні витрати будуть нижчими при короткострокових схемах лікування з урахуванням більш короткотривалого лікування.</w:t>
      </w:r>
    </w:p>
    <w:p w:rsidR="005225B5" w:rsidRPr="006263CF" w:rsidRDefault="005225B5" w:rsidP="006263CF">
      <w:pPr>
        <w:spacing w:before="264"/>
        <w:rPr>
          <w:rFonts w:asciiTheme="minorHAnsi" w:hAnsiTheme="minorHAnsi" w:cstheme="minorHAnsi"/>
          <w:sz w:val="18"/>
        </w:rPr>
      </w:pPr>
      <w:r w:rsidRPr="006263CF">
        <w:rPr>
          <w:rFonts w:asciiTheme="minorHAnsi" w:hAnsiTheme="minorHAnsi" w:cstheme="minorHAnsi"/>
          <w:b/>
          <w:bCs/>
          <w:color w:val="1F61AA"/>
          <w:sz w:val="28"/>
          <w:szCs w:val="32"/>
        </w:rPr>
        <w:t>Управління ланцюгом поставок та умовами зберігання фармацевтичних препаратів</w:t>
      </w:r>
    </w:p>
    <w:p w:rsidR="00C451C7" w:rsidRDefault="005225B5" w:rsidP="00C451C7">
      <w:pPr>
        <w:spacing w:before="120"/>
        <w:jc w:val="both"/>
        <w:rPr>
          <w:rFonts w:asciiTheme="minorHAnsi" w:hAnsiTheme="minorHAnsi" w:cstheme="minorHAnsi"/>
          <w:color w:val="000000"/>
          <w:szCs w:val="22"/>
        </w:rPr>
      </w:pPr>
      <w:r w:rsidRPr="006263CF">
        <w:rPr>
          <w:rFonts w:asciiTheme="minorHAnsi" w:hAnsiTheme="minorHAnsi" w:cstheme="minorHAnsi"/>
          <w:color w:val="000000"/>
          <w:szCs w:val="22"/>
        </w:rPr>
        <w:t>Управлінням ланцюгом поставок та умовами зберігання фармацевтичних препаратів повинно бути переглянуто, щоб забезпечити своєчасне замовлення лікарських засобів проти туберкульозу та їх правильну кількісну оцінку, щоб уникнути перенасичення чи нестачі. НПБТ повинен забезпечити безперебійне постачання лікарських препаратів проти туберкульозу шляхом належного кількісного визначення, планування поставок та суворого квартального моніторингу, з функціональною системою раннього попередження, щоб уникнути запасів та подальших перерв у лікуванні. Так само потрібні інші витратні матеріали (наприклад, лікарські препарати для симптоматичного полегшення та небажаних явищ, шприци, діагностичні набори, ліки для боротьби з небажаними явищами, маски та респіратори N95) для забезпечення доставки втручання відповідно до міжнародних рекомендованих стандартів (128). Принципи кількісної оцінки лікарських препаратів, необхідних для довгострокових і короткострокових схем лікування мМР-ТБ, схожі. Медичний працівник повинен мати деякі основні відомості про те, скільки пацієнтів будуть лікуватися та коли вони розпочнуть лікування; очікуваний приріст завантаження справи протягом нас</w:t>
      </w:r>
      <w:r w:rsidR="000344A4">
        <w:rPr>
          <w:rFonts w:asciiTheme="minorHAnsi" w:hAnsiTheme="minorHAnsi" w:cstheme="minorHAnsi"/>
          <w:color w:val="000000"/>
          <w:szCs w:val="22"/>
        </w:rPr>
        <w:t>тупних років; середня маса тіла</w:t>
      </w:r>
    </w:p>
    <w:p w:rsidR="000344A4" w:rsidRDefault="000344A4" w:rsidP="000344A4">
      <w:pPr>
        <w:spacing w:before="120"/>
        <w:jc w:val="both"/>
        <w:rPr>
          <w:rFonts w:asciiTheme="minorHAnsi" w:hAnsiTheme="minorHAnsi" w:cstheme="minorHAnsi"/>
          <w:color w:val="000000"/>
          <w:sz w:val="14"/>
          <w:szCs w:val="16"/>
          <w:vertAlign w:val="superscript"/>
        </w:rPr>
      </w:pPr>
      <w:r>
        <w:rPr>
          <w:rFonts w:asciiTheme="minorHAnsi" w:hAnsiTheme="minorHAnsi" w:cstheme="minorHAnsi"/>
          <w:color w:val="000000"/>
          <w:sz w:val="14"/>
          <w:szCs w:val="16"/>
          <w:u w:val="single"/>
          <w:vertAlign w:val="superscript"/>
        </w:rPr>
        <w:tab/>
      </w:r>
      <w:r>
        <w:rPr>
          <w:rFonts w:asciiTheme="minorHAnsi" w:hAnsiTheme="minorHAnsi" w:cstheme="minorHAnsi"/>
          <w:color w:val="000000"/>
          <w:sz w:val="14"/>
          <w:szCs w:val="16"/>
          <w:u w:val="single"/>
          <w:vertAlign w:val="superscript"/>
        </w:rPr>
        <w:tab/>
      </w:r>
      <w:r>
        <w:rPr>
          <w:rFonts w:asciiTheme="minorHAnsi" w:hAnsiTheme="minorHAnsi" w:cstheme="minorHAnsi"/>
          <w:color w:val="000000"/>
          <w:sz w:val="14"/>
          <w:szCs w:val="16"/>
          <w:u w:val="single"/>
          <w:vertAlign w:val="superscript"/>
        </w:rPr>
        <w:tab/>
      </w:r>
    </w:p>
    <w:p w:rsidR="005225B5" w:rsidRPr="006263CF" w:rsidRDefault="005225B5" w:rsidP="00C451C7">
      <w:pPr>
        <w:jc w:val="both"/>
        <w:rPr>
          <w:rFonts w:asciiTheme="minorHAnsi" w:hAnsiTheme="minorHAnsi" w:cstheme="minorHAnsi"/>
          <w:sz w:val="18"/>
        </w:rPr>
      </w:pPr>
      <w:r w:rsidRPr="006263CF">
        <w:rPr>
          <w:rFonts w:asciiTheme="minorHAnsi" w:hAnsiTheme="minorHAnsi" w:cstheme="minorHAnsi"/>
          <w:color w:val="000000"/>
          <w:sz w:val="14"/>
          <w:szCs w:val="16"/>
          <w:vertAlign w:val="superscript"/>
        </w:rPr>
        <w:t>28</w:t>
      </w:r>
      <w:r w:rsidRPr="006263CF">
        <w:rPr>
          <w:rFonts w:asciiTheme="minorHAnsi" w:hAnsiTheme="minorHAnsi" w:cstheme="minorHAnsi"/>
          <w:color w:val="000000"/>
          <w:sz w:val="14"/>
          <w:szCs w:val="16"/>
        </w:rPr>
        <w:t xml:space="preserve"> Доступний за адресою </w:t>
      </w:r>
      <w:r w:rsidRPr="006263CF">
        <w:rPr>
          <w:rFonts w:asciiTheme="minorHAnsi" w:hAnsiTheme="minorHAnsi" w:cstheme="minorHAnsi"/>
          <w:color w:val="0066CC"/>
          <w:sz w:val="14"/>
          <w:szCs w:val="16"/>
          <w:u w:val="single"/>
        </w:rPr>
        <w:t>http://siapsprogram.org/tools-and-guidance/quantb/</w:t>
      </w:r>
      <w:r w:rsidRPr="006263CF">
        <w:rPr>
          <w:rFonts w:asciiTheme="minorHAnsi" w:hAnsiTheme="minorHAnsi" w:cstheme="minorHAnsi"/>
          <w:color w:val="000000"/>
          <w:sz w:val="14"/>
          <w:szCs w:val="16"/>
        </w:rPr>
        <w:t>.</w:t>
      </w:r>
    </w:p>
    <w:p w:rsidR="005225B5" w:rsidRPr="006263CF" w:rsidRDefault="005225B5" w:rsidP="006263CF">
      <w:pPr>
        <w:spacing w:before="221"/>
        <w:rPr>
          <w:rFonts w:asciiTheme="minorHAnsi" w:hAnsiTheme="minorHAnsi" w:cstheme="minorHAnsi"/>
          <w:sz w:val="18"/>
        </w:rPr>
        <w:sectPr w:rsidR="005225B5" w:rsidRPr="006263CF" w:rsidSect="00C451C7">
          <w:pgSz w:w="11904" w:h="16838"/>
          <w:pgMar w:top="1349" w:right="1416" w:bottom="38" w:left="1416" w:header="708" w:footer="708" w:gutter="0"/>
          <w:cols w:space="60"/>
          <w:noEndnote/>
        </w:sectPr>
      </w:pPr>
    </w:p>
    <w:p w:rsidR="005225B5" w:rsidRPr="00C451C7" w:rsidRDefault="005225B5" w:rsidP="006263CF">
      <w:pPr>
        <w:jc w:val="both"/>
        <w:rPr>
          <w:rFonts w:asciiTheme="minorHAnsi" w:hAnsiTheme="minorHAnsi" w:cstheme="minorHAnsi"/>
        </w:rPr>
      </w:pPr>
      <w:r w:rsidRPr="00C451C7">
        <w:rPr>
          <w:rFonts w:asciiTheme="minorHAnsi" w:hAnsiTheme="minorHAnsi" w:cstheme="minorHAnsi"/>
          <w:color w:val="000000"/>
        </w:rPr>
        <w:lastRenderedPageBreak/>
        <w:t xml:space="preserve">пацієнтів; чи будуть також зараховані діти; очікувані втрати (від перебоїв, загибелі та переведення на іншу схему лікування); наявні запаси, включаючи терміни придатності та замовлення лікарських препаратів, які вже перебувають у стадії розробки та ще не поставлені; чи буде замінено деякі лікарські препарати протягом періоду (наприклад, амікацин замінено бедаквіліном після перегляду 2019 року). Найкраще розділити замовлення на лікарські препарати, перша частина для пацієнтів, які, як очікується, почнуть лікування протягом 6 місяців, а потім скорегувати другу частину замовлення на основі фактичного набору. Технічна допомога в цілях зміцнення системи закупівель і поставок і створення системи раннього попередження про відсутніх запасах може бути отримана через глобальний механізм із забезпечення лікарськими засобами (GDF; електронна пошта </w:t>
      </w:r>
      <w:r w:rsidRPr="00C451C7">
        <w:rPr>
          <w:rFonts w:asciiTheme="minorHAnsi" w:hAnsiTheme="minorHAnsi" w:cstheme="minorHAnsi"/>
          <w:color w:val="0066CC"/>
          <w:u w:val="single"/>
        </w:rPr>
        <w:t>gdf@stoptb.org</w:t>
      </w:r>
      <w:r w:rsidRPr="00C451C7">
        <w:rPr>
          <w:rFonts w:asciiTheme="minorHAnsi" w:hAnsiTheme="minorHAnsi" w:cstheme="minorHAnsi"/>
          <w:color w:val="000000"/>
        </w:rPr>
        <w:t>), секретаріати регіональних комітетів з охорони навколишнього середовища (GLC), розташованих в регіональних відділеннях ВООЗ, або представництва ВООЗ. Глобальний механізм із забезпечення лікарськими засобами надає підтримку багатьом національним програмам по боротьбі з туберкульозом в області закупівель і перспективи ланцюжка поставок, пов'язані з планами поетапного впровадження і поетапної ліквідації продукції або схем лікування, і можуть забезпечити розробку рецептур, дружніх до дитини.</w:t>
      </w:r>
    </w:p>
    <w:p w:rsidR="005225B5" w:rsidRPr="00C451C7" w:rsidRDefault="005225B5" w:rsidP="006263CF">
      <w:pPr>
        <w:spacing w:before="144"/>
        <w:ind w:right="5"/>
        <w:jc w:val="both"/>
        <w:rPr>
          <w:rFonts w:asciiTheme="minorHAnsi" w:hAnsiTheme="minorHAnsi" w:cstheme="minorHAnsi"/>
        </w:rPr>
      </w:pPr>
      <w:r w:rsidRPr="00C451C7">
        <w:rPr>
          <w:rFonts w:asciiTheme="minorHAnsi" w:hAnsiTheme="minorHAnsi" w:cstheme="minorHAnsi"/>
          <w:color w:val="000000"/>
        </w:rPr>
        <w:t xml:space="preserve">Особливо важливе значення має система активного моніторингу та управління безпекою застосування протитуберкульозних препаратів (aDSM) для активної форми туберкульозу, з огляду на більш широке використання нових і перепрофільованих лікарських препаратів в комбінованих схемах лікування МР-ТБ. Система активного моніторингу та управління безпекою застосування протитуберкульозних препаратів (aDSM) визначає активну і систематичну клінічну і лабораторну оцінку пацієнтів, що проходять лікування МР-ТБ, для виявлення, лікування та повідомлення про передбачувані або підтверджені токсичні властивості лікарських засобів </w:t>
      </w:r>
      <w:r w:rsidRPr="00C451C7">
        <w:rPr>
          <w:rFonts w:asciiTheme="minorHAnsi" w:hAnsiTheme="minorHAnsi" w:cstheme="minorHAnsi"/>
          <w:i/>
          <w:iCs/>
          <w:color w:val="000000"/>
        </w:rPr>
        <w:t>(19)</w:t>
      </w:r>
      <w:r w:rsidRPr="00C451C7">
        <w:rPr>
          <w:rFonts w:asciiTheme="minorHAnsi" w:hAnsiTheme="minorHAnsi" w:cstheme="minorHAnsi"/>
          <w:color w:val="000000"/>
        </w:rPr>
        <w:t>. aDSM застосовує принципи активного фармаконагляду до конкретних потреб і контексту національних програм по ТБ та вбудовується в повсякденну функцію моніторингу пацієнтів (наприклад, моніторинг результатів лікування в когорті пацієнтів) НПБТ. Управління безпекою пацієнтів є невід'ємною частиною aDSM та управління безпекою застосування протитуберкульозних препаратів, невіддільною від її компоненту моніторингу. Діяльність з реєстрації та звітності aDSM в першу чергу націлена на серйозні небажані явища як пріоритетну вимогу, але будь-які небажані явища під час прийому лікування, які можуть бути пов’язані або не пов’язані з токсичністю лікарських засобів, повинні управляти обмеженням шкоди для пацієнтів. У центрах з лікування МР-ТБ в рамках більш комплексної aDSM може також здійснюватися моніторинг несуттєвих небажаних явищ, що мають клінічне значення або представляють особливу зацікавленість для програми. У aDSM, окрім спонтанно повідомлених реакцій, небажані явища також виявляються, як частина плану моніторингу пацієнта, що включає набір питань і часто масив лабораторних або клінічних тестів у визначені періоди часу, до, під час та після лікування.</w:t>
      </w:r>
    </w:p>
    <w:p w:rsidR="005225B5" w:rsidRPr="00C451C7" w:rsidRDefault="005225B5" w:rsidP="006263CF">
      <w:pPr>
        <w:spacing w:before="149"/>
        <w:jc w:val="both"/>
        <w:rPr>
          <w:rFonts w:asciiTheme="minorHAnsi" w:hAnsiTheme="minorHAnsi" w:cstheme="minorHAnsi"/>
        </w:rPr>
      </w:pPr>
      <w:r w:rsidRPr="00C451C7">
        <w:rPr>
          <w:rFonts w:asciiTheme="minorHAnsi" w:hAnsiTheme="minorHAnsi" w:cstheme="minorHAnsi"/>
          <w:color w:val="000000"/>
        </w:rPr>
        <w:t xml:space="preserve">Плануючи важливі зміни для національної політики лікування туберкульозу, щоб відповідати останнім рекомендаціям ВООЗ, програма повинна збалансувати бажання забезпечити найкращі можливі варіанти для пацієнтів відповідно до останніх даних із програмними обставинами та наслідками таких змін (наприклад, необхідність перекваліфікації персоналу, перепрограмування коштів). </w:t>
      </w:r>
      <w:r w:rsidRPr="00C451C7">
        <w:rPr>
          <w:rFonts w:asciiTheme="minorHAnsi" w:hAnsiTheme="minorHAnsi" w:cstheme="minorHAnsi"/>
          <w:color w:val="1F61AA"/>
        </w:rPr>
        <w:t xml:space="preserve">У Таблиці 10.1 </w:t>
      </w:r>
      <w:r w:rsidRPr="00C451C7">
        <w:rPr>
          <w:rFonts w:asciiTheme="minorHAnsi" w:hAnsiTheme="minorHAnsi" w:cstheme="minorHAnsi"/>
          <w:color w:val="000000"/>
        </w:rPr>
        <w:t>представлений ще один контрольний список для головних міркувань менеджера програми при впровадженні схем MР-TБ, які рекомендуються в даний час. Програмі необхідно збалансувати необхідність забезпечення доступу до нових лікарських препаратів, щодо яких докази ще не є необхідними для захисту пацієнтів від токсичності, що можна уникнути, появою стійкості до нових препаратів та дотриманням належної етичної поведінки та поваги прав пацієнтів.</w:t>
      </w:r>
    </w:p>
    <w:p w:rsidR="005225B5" w:rsidRPr="006263CF" w:rsidRDefault="005225B5" w:rsidP="006263CF">
      <w:pPr>
        <w:spacing w:before="149"/>
        <w:jc w:val="both"/>
        <w:rPr>
          <w:rFonts w:asciiTheme="minorHAnsi" w:hAnsiTheme="minorHAnsi" w:cstheme="minorHAnsi"/>
          <w:sz w:val="18"/>
        </w:rPr>
        <w:sectPr w:rsidR="005225B5" w:rsidRPr="006263CF" w:rsidSect="00C451C7">
          <w:pgSz w:w="11904" w:h="16838"/>
          <w:pgMar w:top="1349" w:right="1411" w:bottom="1843" w:left="1416"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7680"/>
        <w:gridCol w:w="739"/>
        <w:gridCol w:w="715"/>
      </w:tblGrid>
      <w:tr w:rsidR="005225B5" w:rsidRPr="006263CF" w:rsidTr="00C451C7">
        <w:trPr>
          <w:trHeight w:hRule="exact" w:val="754"/>
        </w:trPr>
        <w:tc>
          <w:tcPr>
            <w:tcW w:w="9134" w:type="dxa"/>
            <w:gridSpan w:val="3"/>
            <w:tcBorders>
              <w:top w:val="nil"/>
              <w:left w:val="nil"/>
              <w:right w:val="nil"/>
            </w:tcBorders>
            <w:shd w:val="clear" w:color="auto" w:fill="FFFFFF"/>
          </w:tcPr>
          <w:p w:rsidR="005225B5" w:rsidRPr="006263CF" w:rsidRDefault="005225B5" w:rsidP="006263CF">
            <w:pPr>
              <w:ind w:right="264"/>
              <w:rPr>
                <w:rFonts w:asciiTheme="minorHAnsi" w:hAnsiTheme="minorHAnsi" w:cstheme="minorHAnsi"/>
                <w:sz w:val="18"/>
              </w:rPr>
            </w:pPr>
            <w:bookmarkStart w:id="46" w:name="bookmark45"/>
            <w:r w:rsidRPr="006263CF">
              <w:rPr>
                <w:rFonts w:asciiTheme="minorHAnsi" w:hAnsiTheme="minorHAnsi" w:cstheme="minorHAnsi"/>
                <w:b/>
                <w:bCs/>
                <w:color w:val="636466"/>
                <w:sz w:val="22"/>
                <w:szCs w:val="24"/>
              </w:rPr>
              <w:lastRenderedPageBreak/>
              <w:t>T</w:t>
            </w:r>
            <w:bookmarkEnd w:id="46"/>
            <w:r w:rsidRPr="006263CF">
              <w:rPr>
                <w:rFonts w:asciiTheme="minorHAnsi" w:hAnsiTheme="minorHAnsi" w:cstheme="minorHAnsi"/>
                <w:b/>
                <w:bCs/>
                <w:color w:val="636466"/>
                <w:sz w:val="22"/>
                <w:szCs w:val="24"/>
              </w:rPr>
              <w:t>аблиця 10.1. Контрольний список для оцінки готовності програми до введення нових схем лікування</w:t>
            </w:r>
          </w:p>
        </w:tc>
      </w:tr>
      <w:tr w:rsidR="005225B5" w:rsidRPr="006263CF" w:rsidTr="00C451C7">
        <w:trPr>
          <w:trHeight w:hRule="exact" w:val="422"/>
        </w:trPr>
        <w:tc>
          <w:tcPr>
            <w:tcW w:w="7680" w:type="dxa"/>
            <w:tcBorders>
              <w:left w:val="nil"/>
              <w:right w:val="nil"/>
            </w:tcBorders>
            <w:shd w:val="clear" w:color="auto" w:fill="C1C8E4"/>
            <w:vAlign w:val="center"/>
          </w:tcPr>
          <w:p w:rsidR="005225B5" w:rsidRPr="006263CF" w:rsidRDefault="005225B5" w:rsidP="00C451C7">
            <w:pPr>
              <w:ind w:left="58"/>
              <w:rPr>
                <w:rFonts w:asciiTheme="minorHAnsi" w:hAnsiTheme="minorHAnsi" w:cstheme="minorHAnsi"/>
                <w:sz w:val="18"/>
              </w:rPr>
            </w:pPr>
            <w:r w:rsidRPr="006263CF">
              <w:rPr>
                <w:rFonts w:asciiTheme="minorHAnsi" w:hAnsiTheme="minorHAnsi" w:cstheme="minorHAnsi"/>
                <w:b/>
                <w:bCs/>
                <w:color w:val="000000"/>
                <w:szCs w:val="22"/>
              </w:rPr>
              <w:t>Параметр</w:t>
            </w:r>
          </w:p>
        </w:tc>
        <w:tc>
          <w:tcPr>
            <w:tcW w:w="739" w:type="dxa"/>
            <w:tcBorders>
              <w:left w:val="nil"/>
              <w:right w:val="nil"/>
            </w:tcBorders>
            <w:shd w:val="clear" w:color="auto" w:fill="C1C8E4"/>
            <w:vAlign w:val="center"/>
          </w:tcPr>
          <w:p w:rsidR="005225B5" w:rsidRPr="006263CF" w:rsidRDefault="005225B5" w:rsidP="00C451C7">
            <w:pPr>
              <w:rPr>
                <w:rFonts w:asciiTheme="minorHAnsi" w:hAnsiTheme="minorHAnsi" w:cstheme="minorHAnsi"/>
                <w:sz w:val="18"/>
              </w:rPr>
            </w:pPr>
          </w:p>
        </w:tc>
        <w:tc>
          <w:tcPr>
            <w:tcW w:w="715" w:type="dxa"/>
            <w:tcBorders>
              <w:left w:val="nil"/>
              <w:right w:val="nil"/>
            </w:tcBorders>
            <w:shd w:val="clear" w:color="auto" w:fill="C1C8E4"/>
            <w:vAlign w:val="center"/>
          </w:tcPr>
          <w:p w:rsidR="005225B5" w:rsidRPr="006263CF" w:rsidRDefault="005225B5" w:rsidP="00C451C7">
            <w:pPr>
              <w:rPr>
                <w:rFonts w:asciiTheme="minorHAnsi" w:hAnsiTheme="minorHAnsi" w:cstheme="minorHAnsi"/>
                <w:sz w:val="18"/>
              </w:rPr>
            </w:pPr>
          </w:p>
        </w:tc>
      </w:tr>
      <w:tr w:rsidR="005225B5" w:rsidRPr="006263CF" w:rsidTr="00C451C7">
        <w:trPr>
          <w:trHeight w:hRule="exact" w:val="529"/>
        </w:trPr>
        <w:tc>
          <w:tcPr>
            <w:tcW w:w="7680" w:type="dxa"/>
            <w:tcBorders>
              <w:left w:val="nil"/>
              <w:bottom w:val="single" w:sz="4" w:space="0" w:color="1F61AA"/>
              <w:right w:val="nil"/>
            </w:tcBorders>
            <w:shd w:val="clear" w:color="auto" w:fill="FFFFFF"/>
            <w:vAlign w:val="center"/>
          </w:tcPr>
          <w:p w:rsidR="005225B5" w:rsidRPr="006263CF" w:rsidRDefault="005225B5" w:rsidP="00C451C7">
            <w:pPr>
              <w:rPr>
                <w:rFonts w:asciiTheme="minorHAnsi" w:hAnsiTheme="minorHAnsi" w:cstheme="minorHAnsi"/>
                <w:sz w:val="18"/>
              </w:rPr>
            </w:pPr>
            <w:r w:rsidRPr="006263CF">
              <w:rPr>
                <w:rFonts w:asciiTheme="minorHAnsi" w:hAnsiTheme="minorHAnsi" w:cstheme="minorHAnsi"/>
                <w:color w:val="000000"/>
                <w:szCs w:val="22"/>
              </w:rPr>
              <w:t>Доступ до нових лікарських препаратів є пріоритетним завданням відповідно до настанов національної програми протитуберкульозних програм?</w:t>
            </w:r>
          </w:p>
        </w:tc>
        <w:tc>
          <w:tcPr>
            <w:tcW w:w="739" w:type="dxa"/>
            <w:tcBorders>
              <w:left w:val="nil"/>
              <w:bottom w:val="single" w:sz="4" w:space="0" w:color="1F61AA"/>
              <w:right w:val="nil"/>
            </w:tcBorders>
            <w:shd w:val="clear" w:color="auto" w:fill="FFFFFF"/>
            <w:vAlign w:val="center"/>
          </w:tcPr>
          <w:p w:rsidR="005225B5" w:rsidRPr="00C451C7" w:rsidRDefault="005225B5" w:rsidP="00C451C7">
            <w:pPr>
              <w:jc w:val="center"/>
              <w:rPr>
                <w:rFonts w:asciiTheme="minorHAnsi" w:hAnsiTheme="minorHAnsi" w:cstheme="minorHAnsi"/>
              </w:rPr>
            </w:pPr>
            <w:r w:rsidRPr="00C451C7">
              <w:rPr>
                <w:rFonts w:asciiTheme="minorHAnsi" w:hAnsiTheme="minorHAnsi" w:cstheme="minorHAnsi"/>
                <w:color w:val="000000"/>
              </w:rPr>
              <w:t>Так</w:t>
            </w:r>
          </w:p>
        </w:tc>
        <w:tc>
          <w:tcPr>
            <w:tcW w:w="715" w:type="dxa"/>
            <w:tcBorders>
              <w:left w:val="nil"/>
              <w:bottom w:val="single" w:sz="4" w:space="0" w:color="1F61AA"/>
              <w:right w:val="nil"/>
            </w:tcBorders>
            <w:shd w:val="clear" w:color="auto" w:fill="FFFFFF"/>
            <w:vAlign w:val="center"/>
          </w:tcPr>
          <w:p w:rsidR="005225B5" w:rsidRPr="00C451C7" w:rsidRDefault="005225B5" w:rsidP="00C451C7">
            <w:pPr>
              <w:jc w:val="center"/>
              <w:rPr>
                <w:rFonts w:asciiTheme="minorHAnsi" w:hAnsiTheme="minorHAnsi" w:cstheme="minorHAnsi"/>
              </w:rPr>
            </w:pPr>
            <w:r w:rsidRPr="00C451C7">
              <w:rPr>
                <w:rFonts w:asciiTheme="minorHAnsi" w:hAnsiTheme="minorHAnsi" w:cstheme="minorHAnsi"/>
                <w:color w:val="000000"/>
              </w:rPr>
              <w:t>Ні</w:t>
            </w:r>
          </w:p>
        </w:tc>
      </w:tr>
      <w:tr w:rsidR="005225B5" w:rsidRPr="006263CF" w:rsidTr="00C451C7">
        <w:trPr>
          <w:trHeight w:hRule="exact" w:val="432"/>
        </w:trPr>
        <w:tc>
          <w:tcPr>
            <w:tcW w:w="7680"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rPr>
                <w:rFonts w:asciiTheme="minorHAnsi" w:hAnsiTheme="minorHAnsi" w:cstheme="minorHAnsi"/>
                <w:sz w:val="18"/>
              </w:rPr>
            </w:pPr>
            <w:r w:rsidRPr="006263CF">
              <w:rPr>
                <w:rFonts w:asciiTheme="minorHAnsi" w:hAnsiTheme="minorHAnsi" w:cstheme="minorHAnsi"/>
                <w:color w:val="000000"/>
                <w:szCs w:val="22"/>
              </w:rPr>
              <w:t>Налагоджена добре функціонуюча складова програми MР-TБ?</w:t>
            </w:r>
          </w:p>
        </w:tc>
        <w:tc>
          <w:tcPr>
            <w:tcW w:w="739" w:type="dxa"/>
            <w:tcBorders>
              <w:top w:val="single" w:sz="4" w:space="0" w:color="1F61AA"/>
              <w:left w:val="nil"/>
              <w:bottom w:val="single" w:sz="4" w:space="0" w:color="1F61AA"/>
              <w:right w:val="nil"/>
            </w:tcBorders>
            <w:shd w:val="clear" w:color="auto" w:fill="FFFFFF"/>
            <w:vAlign w:val="center"/>
          </w:tcPr>
          <w:p w:rsidR="005225B5" w:rsidRPr="00C451C7" w:rsidRDefault="005225B5" w:rsidP="00C451C7">
            <w:pPr>
              <w:jc w:val="center"/>
              <w:rPr>
                <w:rFonts w:asciiTheme="minorHAnsi" w:hAnsiTheme="minorHAnsi" w:cstheme="minorHAnsi"/>
              </w:rPr>
            </w:pPr>
            <w:r w:rsidRPr="00C451C7">
              <w:rPr>
                <w:rFonts w:asciiTheme="minorHAnsi" w:hAnsiTheme="minorHAnsi" w:cstheme="minorHAnsi"/>
                <w:color w:val="000000"/>
              </w:rPr>
              <w:t>Так</w:t>
            </w:r>
          </w:p>
        </w:tc>
        <w:tc>
          <w:tcPr>
            <w:tcW w:w="715" w:type="dxa"/>
            <w:tcBorders>
              <w:top w:val="single" w:sz="4" w:space="0" w:color="1F61AA"/>
              <w:left w:val="nil"/>
              <w:bottom w:val="single" w:sz="4" w:space="0" w:color="1F61AA"/>
              <w:right w:val="nil"/>
            </w:tcBorders>
            <w:shd w:val="clear" w:color="auto" w:fill="FFFFFF"/>
            <w:vAlign w:val="center"/>
          </w:tcPr>
          <w:p w:rsidR="005225B5" w:rsidRPr="00C451C7" w:rsidRDefault="005225B5" w:rsidP="00C451C7">
            <w:pPr>
              <w:jc w:val="center"/>
              <w:rPr>
                <w:rFonts w:asciiTheme="minorHAnsi" w:hAnsiTheme="minorHAnsi" w:cstheme="minorHAnsi"/>
              </w:rPr>
            </w:pPr>
            <w:r w:rsidRPr="00C451C7">
              <w:rPr>
                <w:rFonts w:asciiTheme="minorHAnsi" w:hAnsiTheme="minorHAnsi" w:cstheme="minorHAnsi"/>
                <w:color w:val="000000"/>
              </w:rPr>
              <w:t>Ні</w:t>
            </w:r>
          </w:p>
        </w:tc>
      </w:tr>
      <w:tr w:rsidR="005225B5" w:rsidRPr="006263CF" w:rsidTr="00C451C7">
        <w:trPr>
          <w:trHeight w:hRule="exact" w:val="672"/>
        </w:trPr>
        <w:tc>
          <w:tcPr>
            <w:tcW w:w="7680"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rPr>
                <w:rFonts w:asciiTheme="minorHAnsi" w:hAnsiTheme="minorHAnsi" w:cstheme="minorHAnsi"/>
                <w:sz w:val="18"/>
              </w:rPr>
            </w:pPr>
            <w:r w:rsidRPr="006263CF">
              <w:rPr>
                <w:rFonts w:asciiTheme="minorHAnsi" w:hAnsiTheme="minorHAnsi" w:cstheme="minorHAnsi"/>
                <w:color w:val="000000"/>
                <w:szCs w:val="22"/>
              </w:rPr>
              <w:t>Експертний комітет МР-ТБ, доступний для нагляду за використанням та підтримкою розробки політики та/або прийняття клінічних рішень?</w:t>
            </w:r>
          </w:p>
        </w:tc>
        <w:tc>
          <w:tcPr>
            <w:tcW w:w="739" w:type="dxa"/>
            <w:tcBorders>
              <w:top w:val="single" w:sz="4" w:space="0" w:color="1F61AA"/>
              <w:left w:val="nil"/>
              <w:bottom w:val="single" w:sz="4" w:space="0" w:color="1F61AA"/>
              <w:right w:val="nil"/>
            </w:tcBorders>
            <w:shd w:val="clear" w:color="auto" w:fill="FFFFFF"/>
            <w:vAlign w:val="center"/>
          </w:tcPr>
          <w:p w:rsidR="005225B5" w:rsidRPr="00C451C7" w:rsidRDefault="005225B5" w:rsidP="00C451C7">
            <w:pPr>
              <w:jc w:val="center"/>
              <w:rPr>
                <w:rFonts w:asciiTheme="minorHAnsi" w:hAnsiTheme="minorHAnsi" w:cstheme="minorHAnsi"/>
              </w:rPr>
            </w:pPr>
            <w:r w:rsidRPr="00C451C7">
              <w:rPr>
                <w:rFonts w:asciiTheme="minorHAnsi" w:hAnsiTheme="minorHAnsi" w:cstheme="minorHAnsi"/>
                <w:color w:val="000000"/>
              </w:rPr>
              <w:t>Так</w:t>
            </w:r>
          </w:p>
        </w:tc>
        <w:tc>
          <w:tcPr>
            <w:tcW w:w="715" w:type="dxa"/>
            <w:tcBorders>
              <w:top w:val="single" w:sz="4" w:space="0" w:color="1F61AA"/>
              <w:left w:val="nil"/>
              <w:bottom w:val="single" w:sz="4" w:space="0" w:color="1F61AA"/>
              <w:right w:val="nil"/>
            </w:tcBorders>
            <w:shd w:val="clear" w:color="auto" w:fill="FFFFFF"/>
            <w:vAlign w:val="center"/>
          </w:tcPr>
          <w:p w:rsidR="005225B5" w:rsidRPr="00C451C7" w:rsidRDefault="005225B5" w:rsidP="00C451C7">
            <w:pPr>
              <w:jc w:val="center"/>
              <w:rPr>
                <w:rFonts w:asciiTheme="minorHAnsi" w:hAnsiTheme="minorHAnsi" w:cstheme="minorHAnsi"/>
              </w:rPr>
            </w:pPr>
            <w:r w:rsidRPr="00C451C7">
              <w:rPr>
                <w:rFonts w:asciiTheme="minorHAnsi" w:hAnsiTheme="minorHAnsi" w:cstheme="minorHAnsi"/>
                <w:color w:val="000000"/>
              </w:rPr>
              <w:t>Ні</w:t>
            </w:r>
          </w:p>
        </w:tc>
      </w:tr>
      <w:tr w:rsidR="005225B5" w:rsidRPr="006263CF" w:rsidTr="00C451C7">
        <w:trPr>
          <w:trHeight w:hRule="exact" w:val="432"/>
        </w:trPr>
        <w:tc>
          <w:tcPr>
            <w:tcW w:w="7680"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rPr>
                <w:rFonts w:asciiTheme="minorHAnsi" w:hAnsiTheme="minorHAnsi" w:cstheme="minorHAnsi"/>
                <w:sz w:val="18"/>
              </w:rPr>
            </w:pPr>
            <w:r w:rsidRPr="006263CF">
              <w:rPr>
                <w:rFonts w:asciiTheme="minorHAnsi" w:hAnsiTheme="minorHAnsi" w:cstheme="minorHAnsi"/>
                <w:color w:val="000000"/>
                <w:szCs w:val="22"/>
              </w:rPr>
              <w:t>Навчання персоналу в курсі останніх розробок?</w:t>
            </w:r>
          </w:p>
        </w:tc>
        <w:tc>
          <w:tcPr>
            <w:tcW w:w="739" w:type="dxa"/>
            <w:tcBorders>
              <w:top w:val="single" w:sz="4" w:space="0" w:color="1F61AA"/>
              <w:left w:val="nil"/>
              <w:bottom w:val="single" w:sz="4" w:space="0" w:color="1F61AA"/>
              <w:right w:val="nil"/>
            </w:tcBorders>
            <w:shd w:val="clear" w:color="auto" w:fill="FFFFFF"/>
            <w:vAlign w:val="center"/>
          </w:tcPr>
          <w:p w:rsidR="005225B5" w:rsidRPr="00C451C7" w:rsidRDefault="005225B5" w:rsidP="00C451C7">
            <w:pPr>
              <w:jc w:val="center"/>
              <w:rPr>
                <w:rFonts w:asciiTheme="minorHAnsi" w:hAnsiTheme="minorHAnsi" w:cstheme="minorHAnsi"/>
              </w:rPr>
            </w:pPr>
            <w:r w:rsidRPr="00C451C7">
              <w:rPr>
                <w:rFonts w:asciiTheme="minorHAnsi" w:hAnsiTheme="minorHAnsi" w:cstheme="minorHAnsi"/>
                <w:color w:val="000000"/>
              </w:rPr>
              <w:t>Так</w:t>
            </w:r>
          </w:p>
        </w:tc>
        <w:tc>
          <w:tcPr>
            <w:tcW w:w="715" w:type="dxa"/>
            <w:tcBorders>
              <w:top w:val="single" w:sz="4" w:space="0" w:color="1F61AA"/>
              <w:left w:val="nil"/>
              <w:bottom w:val="single" w:sz="4" w:space="0" w:color="1F61AA"/>
              <w:right w:val="nil"/>
            </w:tcBorders>
            <w:shd w:val="clear" w:color="auto" w:fill="FFFFFF"/>
            <w:vAlign w:val="center"/>
          </w:tcPr>
          <w:p w:rsidR="005225B5" w:rsidRPr="00C451C7" w:rsidRDefault="005225B5" w:rsidP="00C451C7">
            <w:pPr>
              <w:jc w:val="center"/>
              <w:rPr>
                <w:rFonts w:asciiTheme="minorHAnsi" w:hAnsiTheme="minorHAnsi" w:cstheme="minorHAnsi"/>
              </w:rPr>
            </w:pPr>
            <w:r w:rsidRPr="00C451C7">
              <w:rPr>
                <w:rFonts w:asciiTheme="minorHAnsi" w:hAnsiTheme="minorHAnsi" w:cstheme="minorHAnsi"/>
                <w:color w:val="000000"/>
              </w:rPr>
              <w:t>Ні</w:t>
            </w:r>
          </w:p>
        </w:tc>
      </w:tr>
      <w:tr w:rsidR="005225B5" w:rsidRPr="006263CF" w:rsidTr="00C451C7">
        <w:trPr>
          <w:trHeight w:hRule="exact" w:val="432"/>
        </w:trPr>
        <w:tc>
          <w:tcPr>
            <w:tcW w:w="7680"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rPr>
                <w:rFonts w:asciiTheme="minorHAnsi" w:hAnsiTheme="minorHAnsi" w:cstheme="minorHAnsi"/>
                <w:sz w:val="18"/>
              </w:rPr>
            </w:pPr>
            <w:r w:rsidRPr="006263CF">
              <w:rPr>
                <w:rFonts w:asciiTheme="minorHAnsi" w:hAnsiTheme="minorHAnsi" w:cstheme="minorHAnsi"/>
                <w:color w:val="000000"/>
                <w:szCs w:val="22"/>
              </w:rPr>
              <w:t>Діагностична ємність для рекомендованого ВОЗ другого рядка ТМЧ?</w:t>
            </w:r>
          </w:p>
        </w:tc>
        <w:tc>
          <w:tcPr>
            <w:tcW w:w="739" w:type="dxa"/>
            <w:tcBorders>
              <w:top w:val="single" w:sz="4" w:space="0" w:color="1F61AA"/>
              <w:left w:val="nil"/>
              <w:bottom w:val="single" w:sz="4" w:space="0" w:color="1F61AA"/>
              <w:right w:val="nil"/>
            </w:tcBorders>
            <w:shd w:val="clear" w:color="auto" w:fill="FFFFFF"/>
            <w:vAlign w:val="center"/>
          </w:tcPr>
          <w:p w:rsidR="005225B5" w:rsidRPr="00C451C7" w:rsidRDefault="005225B5" w:rsidP="00C451C7">
            <w:pPr>
              <w:jc w:val="center"/>
              <w:rPr>
                <w:rFonts w:asciiTheme="minorHAnsi" w:hAnsiTheme="minorHAnsi" w:cstheme="minorHAnsi"/>
              </w:rPr>
            </w:pPr>
            <w:r w:rsidRPr="00C451C7">
              <w:rPr>
                <w:rFonts w:asciiTheme="minorHAnsi" w:hAnsiTheme="minorHAnsi" w:cstheme="minorHAnsi"/>
                <w:color w:val="000000"/>
              </w:rPr>
              <w:t>Так</w:t>
            </w:r>
          </w:p>
        </w:tc>
        <w:tc>
          <w:tcPr>
            <w:tcW w:w="715" w:type="dxa"/>
            <w:tcBorders>
              <w:top w:val="single" w:sz="4" w:space="0" w:color="1F61AA"/>
              <w:left w:val="nil"/>
              <w:bottom w:val="single" w:sz="4" w:space="0" w:color="1F61AA"/>
              <w:right w:val="nil"/>
            </w:tcBorders>
            <w:shd w:val="clear" w:color="auto" w:fill="FFFFFF"/>
            <w:vAlign w:val="center"/>
          </w:tcPr>
          <w:p w:rsidR="005225B5" w:rsidRPr="00C451C7" w:rsidRDefault="005225B5" w:rsidP="00C451C7">
            <w:pPr>
              <w:jc w:val="center"/>
              <w:rPr>
                <w:rFonts w:asciiTheme="minorHAnsi" w:hAnsiTheme="minorHAnsi" w:cstheme="minorHAnsi"/>
              </w:rPr>
            </w:pPr>
            <w:r w:rsidRPr="00C451C7">
              <w:rPr>
                <w:rFonts w:asciiTheme="minorHAnsi" w:hAnsiTheme="minorHAnsi" w:cstheme="minorHAnsi"/>
                <w:color w:val="000000"/>
              </w:rPr>
              <w:t>Ні</w:t>
            </w:r>
          </w:p>
        </w:tc>
      </w:tr>
      <w:tr w:rsidR="005225B5" w:rsidRPr="006263CF" w:rsidTr="00C451C7">
        <w:trPr>
          <w:trHeight w:hRule="exact" w:val="672"/>
        </w:trPr>
        <w:tc>
          <w:tcPr>
            <w:tcW w:w="7680"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rPr>
                <w:rFonts w:asciiTheme="minorHAnsi" w:hAnsiTheme="minorHAnsi" w:cstheme="minorHAnsi"/>
                <w:sz w:val="18"/>
              </w:rPr>
            </w:pPr>
            <w:r w:rsidRPr="006263CF">
              <w:rPr>
                <w:rFonts w:asciiTheme="minorHAnsi" w:hAnsiTheme="minorHAnsi" w:cstheme="minorHAnsi"/>
                <w:color w:val="000000"/>
                <w:szCs w:val="22"/>
              </w:rPr>
              <w:t>Можливість клінічного моніторингу, особливо ЕКГ, функції печінки, аудіометрії та електролітів?</w:t>
            </w:r>
          </w:p>
        </w:tc>
        <w:tc>
          <w:tcPr>
            <w:tcW w:w="739" w:type="dxa"/>
            <w:tcBorders>
              <w:top w:val="single" w:sz="4" w:space="0" w:color="1F61AA"/>
              <w:left w:val="nil"/>
              <w:bottom w:val="single" w:sz="4" w:space="0" w:color="1F61AA"/>
              <w:right w:val="nil"/>
            </w:tcBorders>
            <w:shd w:val="clear" w:color="auto" w:fill="FFFFFF"/>
            <w:vAlign w:val="center"/>
          </w:tcPr>
          <w:p w:rsidR="005225B5" w:rsidRPr="00C451C7" w:rsidRDefault="005225B5" w:rsidP="00C451C7">
            <w:pPr>
              <w:jc w:val="center"/>
              <w:rPr>
                <w:rFonts w:asciiTheme="minorHAnsi" w:hAnsiTheme="minorHAnsi" w:cstheme="minorHAnsi"/>
              </w:rPr>
            </w:pPr>
            <w:r w:rsidRPr="00C451C7">
              <w:rPr>
                <w:rFonts w:asciiTheme="minorHAnsi" w:hAnsiTheme="minorHAnsi" w:cstheme="minorHAnsi"/>
                <w:color w:val="000000"/>
              </w:rPr>
              <w:t>Так</w:t>
            </w:r>
          </w:p>
        </w:tc>
        <w:tc>
          <w:tcPr>
            <w:tcW w:w="715" w:type="dxa"/>
            <w:tcBorders>
              <w:top w:val="single" w:sz="4" w:space="0" w:color="1F61AA"/>
              <w:left w:val="nil"/>
              <w:bottom w:val="single" w:sz="4" w:space="0" w:color="1F61AA"/>
              <w:right w:val="nil"/>
            </w:tcBorders>
            <w:shd w:val="clear" w:color="auto" w:fill="FFFFFF"/>
            <w:vAlign w:val="center"/>
          </w:tcPr>
          <w:p w:rsidR="005225B5" w:rsidRPr="00C451C7" w:rsidRDefault="005225B5" w:rsidP="00C451C7">
            <w:pPr>
              <w:jc w:val="center"/>
              <w:rPr>
                <w:rFonts w:asciiTheme="minorHAnsi" w:hAnsiTheme="minorHAnsi" w:cstheme="minorHAnsi"/>
              </w:rPr>
            </w:pPr>
            <w:r w:rsidRPr="00C451C7">
              <w:rPr>
                <w:rFonts w:asciiTheme="minorHAnsi" w:hAnsiTheme="minorHAnsi" w:cstheme="minorHAnsi"/>
                <w:color w:val="000000"/>
              </w:rPr>
              <w:t>Ні</w:t>
            </w:r>
          </w:p>
        </w:tc>
      </w:tr>
      <w:tr w:rsidR="005225B5" w:rsidRPr="006263CF" w:rsidTr="00C451C7">
        <w:trPr>
          <w:trHeight w:hRule="exact" w:val="632"/>
        </w:trPr>
        <w:tc>
          <w:tcPr>
            <w:tcW w:w="7680"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rPr>
                <w:rFonts w:asciiTheme="minorHAnsi" w:hAnsiTheme="minorHAnsi" w:cstheme="minorHAnsi"/>
                <w:sz w:val="18"/>
              </w:rPr>
            </w:pPr>
            <w:r w:rsidRPr="006263CF">
              <w:rPr>
                <w:rFonts w:asciiTheme="minorHAnsi" w:hAnsiTheme="minorHAnsi" w:cstheme="minorHAnsi"/>
                <w:color w:val="000000"/>
                <w:szCs w:val="22"/>
              </w:rPr>
              <w:t>Основні компоненти системи активного моніторингу та управління безпекою застосування протитуберкульозних препаратів на місці?</w:t>
            </w:r>
          </w:p>
        </w:tc>
        <w:tc>
          <w:tcPr>
            <w:tcW w:w="739" w:type="dxa"/>
            <w:tcBorders>
              <w:top w:val="single" w:sz="4" w:space="0" w:color="1F61AA"/>
              <w:left w:val="nil"/>
              <w:bottom w:val="single" w:sz="4" w:space="0" w:color="1F61AA"/>
              <w:right w:val="nil"/>
            </w:tcBorders>
            <w:shd w:val="clear" w:color="auto" w:fill="FFFFFF"/>
            <w:vAlign w:val="center"/>
          </w:tcPr>
          <w:p w:rsidR="005225B5" w:rsidRPr="00C451C7" w:rsidRDefault="005225B5" w:rsidP="00C451C7">
            <w:pPr>
              <w:jc w:val="center"/>
              <w:rPr>
                <w:rFonts w:asciiTheme="minorHAnsi" w:hAnsiTheme="minorHAnsi" w:cstheme="minorHAnsi"/>
              </w:rPr>
            </w:pPr>
            <w:r w:rsidRPr="00C451C7">
              <w:rPr>
                <w:rFonts w:asciiTheme="minorHAnsi" w:hAnsiTheme="minorHAnsi" w:cstheme="minorHAnsi"/>
                <w:color w:val="000000"/>
              </w:rPr>
              <w:t>Так</w:t>
            </w:r>
          </w:p>
        </w:tc>
        <w:tc>
          <w:tcPr>
            <w:tcW w:w="715" w:type="dxa"/>
            <w:tcBorders>
              <w:top w:val="single" w:sz="4" w:space="0" w:color="1F61AA"/>
              <w:left w:val="nil"/>
              <w:bottom w:val="single" w:sz="4" w:space="0" w:color="1F61AA"/>
              <w:right w:val="nil"/>
            </w:tcBorders>
            <w:shd w:val="clear" w:color="auto" w:fill="FFFFFF"/>
            <w:vAlign w:val="center"/>
          </w:tcPr>
          <w:p w:rsidR="005225B5" w:rsidRPr="00C451C7" w:rsidRDefault="005225B5" w:rsidP="00C451C7">
            <w:pPr>
              <w:jc w:val="center"/>
              <w:rPr>
                <w:rFonts w:asciiTheme="minorHAnsi" w:hAnsiTheme="minorHAnsi" w:cstheme="minorHAnsi"/>
              </w:rPr>
            </w:pPr>
            <w:r w:rsidRPr="00C451C7">
              <w:rPr>
                <w:rFonts w:asciiTheme="minorHAnsi" w:hAnsiTheme="minorHAnsi" w:cstheme="minorHAnsi"/>
                <w:color w:val="000000"/>
              </w:rPr>
              <w:t>Ні</w:t>
            </w:r>
          </w:p>
        </w:tc>
      </w:tr>
      <w:tr w:rsidR="005225B5" w:rsidRPr="006263CF" w:rsidTr="00C451C7">
        <w:trPr>
          <w:trHeight w:hRule="exact" w:val="672"/>
        </w:trPr>
        <w:tc>
          <w:tcPr>
            <w:tcW w:w="7680"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rPr>
                <w:rFonts w:asciiTheme="minorHAnsi" w:hAnsiTheme="minorHAnsi" w:cstheme="minorHAnsi"/>
                <w:sz w:val="18"/>
              </w:rPr>
            </w:pPr>
            <w:r w:rsidRPr="006263CF">
              <w:rPr>
                <w:rFonts w:asciiTheme="minorHAnsi" w:hAnsiTheme="minorHAnsi" w:cstheme="minorHAnsi"/>
                <w:color w:val="000000"/>
                <w:szCs w:val="22"/>
              </w:rPr>
              <w:t>Реєстрація наркотичних засобів чи інше положення, яке дозволяє імпортувати нові та перероблені лікарські препарати?</w:t>
            </w:r>
          </w:p>
        </w:tc>
        <w:tc>
          <w:tcPr>
            <w:tcW w:w="739" w:type="dxa"/>
            <w:tcBorders>
              <w:top w:val="single" w:sz="4" w:space="0" w:color="1F61AA"/>
              <w:left w:val="nil"/>
              <w:bottom w:val="single" w:sz="4" w:space="0" w:color="1F61AA"/>
              <w:right w:val="nil"/>
            </w:tcBorders>
            <w:shd w:val="clear" w:color="auto" w:fill="FFFFFF"/>
            <w:vAlign w:val="center"/>
          </w:tcPr>
          <w:p w:rsidR="005225B5" w:rsidRPr="00C451C7" w:rsidRDefault="005225B5" w:rsidP="00C451C7">
            <w:pPr>
              <w:jc w:val="center"/>
              <w:rPr>
                <w:rFonts w:asciiTheme="minorHAnsi" w:hAnsiTheme="minorHAnsi" w:cstheme="minorHAnsi"/>
              </w:rPr>
            </w:pPr>
            <w:r w:rsidRPr="00C451C7">
              <w:rPr>
                <w:rFonts w:asciiTheme="minorHAnsi" w:hAnsiTheme="minorHAnsi" w:cstheme="minorHAnsi"/>
                <w:color w:val="000000"/>
              </w:rPr>
              <w:t>Так</w:t>
            </w:r>
          </w:p>
        </w:tc>
        <w:tc>
          <w:tcPr>
            <w:tcW w:w="715" w:type="dxa"/>
            <w:tcBorders>
              <w:top w:val="single" w:sz="4" w:space="0" w:color="1F61AA"/>
              <w:left w:val="nil"/>
              <w:bottom w:val="single" w:sz="4" w:space="0" w:color="1F61AA"/>
              <w:right w:val="nil"/>
            </w:tcBorders>
            <w:shd w:val="clear" w:color="auto" w:fill="FFFFFF"/>
            <w:vAlign w:val="center"/>
          </w:tcPr>
          <w:p w:rsidR="005225B5" w:rsidRPr="00C451C7" w:rsidRDefault="005225B5" w:rsidP="00C451C7">
            <w:pPr>
              <w:jc w:val="center"/>
              <w:rPr>
                <w:rFonts w:asciiTheme="minorHAnsi" w:hAnsiTheme="minorHAnsi" w:cstheme="minorHAnsi"/>
              </w:rPr>
            </w:pPr>
            <w:r w:rsidRPr="00C451C7">
              <w:rPr>
                <w:rFonts w:asciiTheme="minorHAnsi" w:hAnsiTheme="minorHAnsi" w:cstheme="minorHAnsi"/>
                <w:color w:val="000000"/>
              </w:rPr>
              <w:t>Ні</w:t>
            </w:r>
          </w:p>
        </w:tc>
      </w:tr>
      <w:tr w:rsidR="005225B5" w:rsidRPr="006263CF" w:rsidTr="00C451C7">
        <w:trPr>
          <w:trHeight w:hRule="exact" w:val="432"/>
        </w:trPr>
        <w:tc>
          <w:tcPr>
            <w:tcW w:w="7680"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rPr>
                <w:rFonts w:asciiTheme="minorHAnsi" w:hAnsiTheme="minorHAnsi" w:cstheme="minorHAnsi"/>
                <w:sz w:val="18"/>
              </w:rPr>
            </w:pPr>
            <w:r w:rsidRPr="006263CF">
              <w:rPr>
                <w:rFonts w:asciiTheme="minorHAnsi" w:hAnsiTheme="minorHAnsi" w:cstheme="minorHAnsi"/>
                <w:color w:val="000000"/>
                <w:szCs w:val="22"/>
              </w:rPr>
              <w:t>Є процедури кількісної оцінки і закупівлі лікарських засобів?</w:t>
            </w:r>
          </w:p>
        </w:tc>
        <w:tc>
          <w:tcPr>
            <w:tcW w:w="739" w:type="dxa"/>
            <w:tcBorders>
              <w:top w:val="single" w:sz="4" w:space="0" w:color="1F61AA"/>
              <w:left w:val="nil"/>
              <w:bottom w:val="single" w:sz="4" w:space="0" w:color="1F61AA"/>
              <w:right w:val="nil"/>
            </w:tcBorders>
            <w:shd w:val="clear" w:color="auto" w:fill="FFFFFF"/>
            <w:vAlign w:val="center"/>
          </w:tcPr>
          <w:p w:rsidR="005225B5" w:rsidRPr="00C451C7" w:rsidRDefault="005225B5" w:rsidP="00C451C7">
            <w:pPr>
              <w:jc w:val="center"/>
              <w:rPr>
                <w:rFonts w:asciiTheme="minorHAnsi" w:hAnsiTheme="minorHAnsi" w:cstheme="minorHAnsi"/>
              </w:rPr>
            </w:pPr>
            <w:r w:rsidRPr="00C451C7">
              <w:rPr>
                <w:rFonts w:asciiTheme="minorHAnsi" w:hAnsiTheme="minorHAnsi" w:cstheme="minorHAnsi"/>
                <w:color w:val="000000"/>
              </w:rPr>
              <w:t>Так</w:t>
            </w:r>
          </w:p>
        </w:tc>
        <w:tc>
          <w:tcPr>
            <w:tcW w:w="715" w:type="dxa"/>
            <w:tcBorders>
              <w:top w:val="single" w:sz="4" w:space="0" w:color="1F61AA"/>
              <w:left w:val="nil"/>
              <w:bottom w:val="single" w:sz="4" w:space="0" w:color="1F61AA"/>
              <w:right w:val="nil"/>
            </w:tcBorders>
            <w:shd w:val="clear" w:color="auto" w:fill="FFFFFF"/>
            <w:vAlign w:val="center"/>
          </w:tcPr>
          <w:p w:rsidR="005225B5" w:rsidRPr="00C451C7" w:rsidRDefault="005225B5" w:rsidP="00C451C7">
            <w:pPr>
              <w:jc w:val="center"/>
              <w:rPr>
                <w:rFonts w:asciiTheme="minorHAnsi" w:hAnsiTheme="minorHAnsi" w:cstheme="minorHAnsi"/>
              </w:rPr>
            </w:pPr>
            <w:r w:rsidRPr="00C451C7">
              <w:rPr>
                <w:rFonts w:asciiTheme="minorHAnsi" w:hAnsiTheme="minorHAnsi" w:cstheme="minorHAnsi"/>
                <w:color w:val="000000"/>
              </w:rPr>
              <w:t>Ні</w:t>
            </w:r>
          </w:p>
        </w:tc>
      </w:tr>
      <w:tr w:rsidR="005225B5" w:rsidRPr="006263CF" w:rsidTr="00C451C7">
        <w:trPr>
          <w:trHeight w:hRule="exact" w:val="432"/>
        </w:trPr>
        <w:tc>
          <w:tcPr>
            <w:tcW w:w="7680"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rPr>
                <w:rFonts w:asciiTheme="minorHAnsi" w:hAnsiTheme="minorHAnsi" w:cstheme="minorHAnsi"/>
                <w:sz w:val="18"/>
              </w:rPr>
            </w:pPr>
            <w:r w:rsidRPr="006263CF">
              <w:rPr>
                <w:rFonts w:asciiTheme="minorHAnsi" w:hAnsiTheme="minorHAnsi" w:cstheme="minorHAnsi"/>
                <w:color w:val="000000"/>
                <w:szCs w:val="22"/>
              </w:rPr>
              <w:t>Існує механізм отримання проінформованої згоди пацієнта?</w:t>
            </w:r>
          </w:p>
        </w:tc>
        <w:tc>
          <w:tcPr>
            <w:tcW w:w="739" w:type="dxa"/>
            <w:tcBorders>
              <w:top w:val="single" w:sz="4" w:space="0" w:color="1F61AA"/>
              <w:left w:val="nil"/>
              <w:bottom w:val="single" w:sz="4" w:space="0" w:color="1F61AA"/>
              <w:right w:val="nil"/>
            </w:tcBorders>
            <w:shd w:val="clear" w:color="auto" w:fill="FFFFFF"/>
            <w:vAlign w:val="center"/>
          </w:tcPr>
          <w:p w:rsidR="005225B5" w:rsidRPr="00C451C7" w:rsidRDefault="005225B5" w:rsidP="00C451C7">
            <w:pPr>
              <w:jc w:val="center"/>
              <w:rPr>
                <w:rFonts w:asciiTheme="minorHAnsi" w:hAnsiTheme="minorHAnsi" w:cstheme="minorHAnsi"/>
              </w:rPr>
            </w:pPr>
            <w:r w:rsidRPr="00C451C7">
              <w:rPr>
                <w:rFonts w:asciiTheme="minorHAnsi" w:hAnsiTheme="minorHAnsi" w:cstheme="minorHAnsi"/>
                <w:color w:val="000000"/>
              </w:rPr>
              <w:t>Так</w:t>
            </w:r>
          </w:p>
        </w:tc>
        <w:tc>
          <w:tcPr>
            <w:tcW w:w="715" w:type="dxa"/>
            <w:tcBorders>
              <w:top w:val="single" w:sz="4" w:space="0" w:color="1F61AA"/>
              <w:left w:val="nil"/>
              <w:bottom w:val="single" w:sz="4" w:space="0" w:color="1F61AA"/>
              <w:right w:val="nil"/>
            </w:tcBorders>
            <w:shd w:val="clear" w:color="auto" w:fill="FFFFFF"/>
            <w:vAlign w:val="center"/>
          </w:tcPr>
          <w:p w:rsidR="005225B5" w:rsidRPr="00C451C7" w:rsidRDefault="005225B5" w:rsidP="00C451C7">
            <w:pPr>
              <w:jc w:val="center"/>
              <w:rPr>
                <w:rFonts w:asciiTheme="minorHAnsi" w:hAnsiTheme="minorHAnsi" w:cstheme="minorHAnsi"/>
              </w:rPr>
            </w:pPr>
            <w:r w:rsidRPr="00C451C7">
              <w:rPr>
                <w:rFonts w:asciiTheme="minorHAnsi" w:hAnsiTheme="minorHAnsi" w:cstheme="minorHAnsi"/>
                <w:color w:val="000000"/>
              </w:rPr>
              <w:t>Ні</w:t>
            </w:r>
          </w:p>
        </w:tc>
      </w:tr>
      <w:tr w:rsidR="005225B5" w:rsidRPr="006263CF" w:rsidTr="00C451C7">
        <w:trPr>
          <w:trHeight w:hRule="exact" w:val="451"/>
        </w:trPr>
        <w:tc>
          <w:tcPr>
            <w:tcW w:w="7680"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rPr>
                <w:rFonts w:asciiTheme="minorHAnsi" w:hAnsiTheme="minorHAnsi" w:cstheme="minorHAnsi"/>
                <w:sz w:val="18"/>
              </w:rPr>
            </w:pPr>
            <w:r w:rsidRPr="006263CF">
              <w:rPr>
                <w:rFonts w:asciiTheme="minorHAnsi" w:hAnsiTheme="minorHAnsi" w:cstheme="minorHAnsi"/>
                <w:color w:val="000000"/>
                <w:szCs w:val="22"/>
              </w:rPr>
              <w:t>Система електронної реєстрації та звітності створена або потребує оновлення?</w:t>
            </w:r>
          </w:p>
        </w:tc>
        <w:tc>
          <w:tcPr>
            <w:tcW w:w="739" w:type="dxa"/>
            <w:tcBorders>
              <w:top w:val="single" w:sz="4" w:space="0" w:color="1F61AA"/>
              <w:left w:val="nil"/>
              <w:bottom w:val="single" w:sz="4" w:space="0" w:color="1F61AA"/>
              <w:right w:val="nil"/>
            </w:tcBorders>
            <w:shd w:val="clear" w:color="auto" w:fill="FFFFFF"/>
            <w:vAlign w:val="center"/>
          </w:tcPr>
          <w:p w:rsidR="005225B5" w:rsidRPr="00C451C7" w:rsidRDefault="005225B5" w:rsidP="00C451C7">
            <w:pPr>
              <w:jc w:val="center"/>
              <w:rPr>
                <w:rFonts w:asciiTheme="minorHAnsi" w:hAnsiTheme="minorHAnsi" w:cstheme="minorHAnsi"/>
              </w:rPr>
            </w:pPr>
            <w:r w:rsidRPr="00C451C7">
              <w:rPr>
                <w:rFonts w:asciiTheme="minorHAnsi" w:hAnsiTheme="minorHAnsi" w:cstheme="minorHAnsi"/>
                <w:color w:val="000000"/>
              </w:rPr>
              <w:t>Так</w:t>
            </w:r>
          </w:p>
        </w:tc>
        <w:tc>
          <w:tcPr>
            <w:tcW w:w="715" w:type="dxa"/>
            <w:tcBorders>
              <w:top w:val="single" w:sz="4" w:space="0" w:color="1F61AA"/>
              <w:left w:val="nil"/>
              <w:bottom w:val="single" w:sz="4" w:space="0" w:color="1F61AA"/>
              <w:right w:val="nil"/>
            </w:tcBorders>
            <w:shd w:val="clear" w:color="auto" w:fill="FFFFFF"/>
            <w:vAlign w:val="center"/>
          </w:tcPr>
          <w:p w:rsidR="005225B5" w:rsidRPr="00C451C7" w:rsidRDefault="005225B5" w:rsidP="00C451C7">
            <w:pPr>
              <w:jc w:val="center"/>
              <w:rPr>
                <w:rFonts w:asciiTheme="minorHAnsi" w:hAnsiTheme="minorHAnsi" w:cstheme="minorHAnsi"/>
              </w:rPr>
            </w:pPr>
            <w:r w:rsidRPr="00C451C7">
              <w:rPr>
                <w:rFonts w:asciiTheme="minorHAnsi" w:hAnsiTheme="minorHAnsi" w:cstheme="minorHAnsi"/>
                <w:color w:val="000000"/>
              </w:rPr>
              <w:t>Ні</w:t>
            </w:r>
          </w:p>
        </w:tc>
      </w:tr>
    </w:tbl>
    <w:p w:rsidR="005225B5" w:rsidRPr="006263CF" w:rsidRDefault="005225B5" w:rsidP="006263CF">
      <w:pPr>
        <w:rPr>
          <w:rFonts w:asciiTheme="minorHAnsi" w:hAnsiTheme="minorHAnsi" w:cstheme="minorHAnsi"/>
          <w:sz w:val="18"/>
        </w:rPr>
        <w:sectPr w:rsidR="005225B5" w:rsidRPr="006263CF" w:rsidSect="00445738">
          <w:pgSz w:w="11904" w:h="16838"/>
          <w:pgMar w:top="1382" w:right="1387" w:bottom="4962" w:left="1382" w:header="708" w:footer="708" w:gutter="0"/>
          <w:cols w:space="60"/>
          <w:noEndnote/>
        </w:sectPr>
      </w:pPr>
    </w:p>
    <w:p w:rsidR="005225B5" w:rsidRPr="00C73DE6" w:rsidRDefault="00C73DE6" w:rsidP="006263CF">
      <w:pPr>
        <w:rPr>
          <w:rFonts w:asciiTheme="minorHAnsi" w:hAnsiTheme="minorHAnsi" w:cstheme="minorHAnsi"/>
          <w:b/>
          <w:sz w:val="18"/>
        </w:rPr>
      </w:pPr>
      <w:bookmarkStart w:id="47" w:name="bookmark46"/>
      <w:r w:rsidRPr="00C73DE6">
        <w:rPr>
          <w:rFonts w:asciiTheme="minorHAnsi" w:hAnsiTheme="minorHAnsi" w:cstheme="minorHAnsi"/>
          <w:b/>
          <w:noProof/>
          <w:color w:val="1F61AA"/>
          <w:sz w:val="56"/>
          <w:szCs w:val="64"/>
        </w:rPr>
        <w:lastRenderedPageBreak/>
        <w:drawing>
          <wp:anchor distT="0" distB="0" distL="6400800" distR="6400800" simplePos="0" relativeHeight="251706368" behindDoc="1" locked="0" layoutInCell="0" allowOverlap="1" wp14:anchorId="4D4FB023" wp14:editId="05251FEF">
            <wp:simplePos x="0" y="0"/>
            <wp:positionH relativeFrom="margin">
              <wp:posOffset>-1007110</wp:posOffset>
            </wp:positionH>
            <wp:positionV relativeFrom="paragraph">
              <wp:posOffset>-1371600</wp:posOffset>
            </wp:positionV>
            <wp:extent cx="8042910" cy="1629410"/>
            <wp:effectExtent l="0" t="0" r="0" b="8890"/>
            <wp:wrapNone/>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42910" cy="162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5225B5" w:rsidRPr="00C73DE6">
        <w:rPr>
          <w:rFonts w:asciiTheme="minorHAnsi" w:hAnsiTheme="minorHAnsi" w:cstheme="minorHAnsi"/>
          <w:b/>
          <w:color w:val="1F61AA"/>
          <w:sz w:val="56"/>
          <w:szCs w:val="64"/>
        </w:rPr>
        <w:t>С</w:t>
      </w:r>
      <w:bookmarkEnd w:id="47"/>
      <w:r w:rsidR="005225B5" w:rsidRPr="00C73DE6">
        <w:rPr>
          <w:rFonts w:asciiTheme="minorHAnsi" w:hAnsiTheme="minorHAnsi" w:cstheme="minorHAnsi"/>
          <w:b/>
          <w:color w:val="1F61AA"/>
          <w:sz w:val="56"/>
          <w:szCs w:val="64"/>
        </w:rPr>
        <w:t>писок літератури</w:t>
      </w:r>
    </w:p>
    <w:p w:rsidR="005225B5" w:rsidRPr="00C451C7" w:rsidRDefault="005225B5" w:rsidP="006263CF">
      <w:pPr>
        <w:numPr>
          <w:ilvl w:val="0"/>
          <w:numId w:val="14"/>
        </w:numPr>
        <w:tabs>
          <w:tab w:val="left" w:pos="360"/>
        </w:tabs>
        <w:spacing w:before="686"/>
        <w:ind w:left="360" w:right="5" w:hanging="360"/>
        <w:jc w:val="both"/>
        <w:rPr>
          <w:rFonts w:asciiTheme="minorHAnsi" w:hAnsiTheme="minorHAnsi" w:cstheme="minorHAnsi"/>
        </w:rPr>
      </w:pPr>
      <w:r w:rsidRPr="00C451C7">
        <w:rPr>
          <w:rFonts w:asciiTheme="minorHAnsi" w:hAnsiTheme="minorHAnsi" w:cstheme="minorHAnsi"/>
        </w:rPr>
        <w:t>WHO consolidated guidelines on tuberculosis. Module 4: Treatment. Drug-resistant tuberculosis treatment. Geneva: World Health Organization; 2020.</w:t>
      </w:r>
    </w:p>
    <w:p w:rsidR="005225B5" w:rsidRPr="00C451C7" w:rsidRDefault="005225B5" w:rsidP="006263CF">
      <w:pPr>
        <w:numPr>
          <w:ilvl w:val="0"/>
          <w:numId w:val="14"/>
        </w:numPr>
        <w:tabs>
          <w:tab w:val="left" w:pos="360"/>
        </w:tabs>
        <w:spacing w:before="82"/>
        <w:ind w:left="360" w:hanging="360"/>
        <w:jc w:val="both"/>
        <w:rPr>
          <w:rFonts w:asciiTheme="minorHAnsi" w:hAnsiTheme="minorHAnsi" w:cstheme="minorHAnsi"/>
        </w:rPr>
      </w:pPr>
      <w:r w:rsidRPr="00C451C7">
        <w:rPr>
          <w:rFonts w:asciiTheme="minorHAnsi" w:hAnsiTheme="minorHAnsi" w:cstheme="minorHAnsi"/>
        </w:rPr>
        <w:t>Guidelines for treatment of drug-susceptible tuberculosis and patient care (2017 update). Geneva: World Health Organization; 2017 (https://www.who.int/tb/publications/2017/dstb_guidance_2017/en/, accessed 1 June 2020).</w:t>
      </w:r>
    </w:p>
    <w:p w:rsidR="005225B5" w:rsidRPr="00C451C7" w:rsidRDefault="005225B5" w:rsidP="006263CF">
      <w:pPr>
        <w:numPr>
          <w:ilvl w:val="0"/>
          <w:numId w:val="14"/>
        </w:numPr>
        <w:tabs>
          <w:tab w:val="left" w:pos="360"/>
        </w:tabs>
        <w:spacing w:before="82"/>
        <w:ind w:left="360" w:hanging="360"/>
        <w:jc w:val="both"/>
        <w:rPr>
          <w:rFonts w:asciiTheme="minorHAnsi" w:hAnsiTheme="minorHAnsi" w:cstheme="minorHAnsi"/>
        </w:rPr>
      </w:pPr>
      <w:r w:rsidRPr="00C451C7">
        <w:rPr>
          <w:rFonts w:asciiTheme="minorHAnsi" w:hAnsiTheme="minorHAnsi" w:cstheme="minorHAnsi"/>
        </w:rPr>
        <w:t>WHO consolidated guideline on tuberculosis. Module 1: Prevention – tuberculosis preventive treatment. Geneva: World Health Organization; 2020.</w:t>
      </w:r>
    </w:p>
    <w:p w:rsidR="005225B5" w:rsidRPr="00C451C7" w:rsidRDefault="005225B5" w:rsidP="006263CF">
      <w:pPr>
        <w:numPr>
          <w:ilvl w:val="0"/>
          <w:numId w:val="14"/>
        </w:numPr>
        <w:tabs>
          <w:tab w:val="left" w:pos="360"/>
        </w:tabs>
        <w:spacing w:before="101"/>
        <w:rPr>
          <w:rFonts w:asciiTheme="minorHAnsi" w:hAnsiTheme="minorHAnsi" w:cstheme="minorHAnsi"/>
        </w:rPr>
      </w:pPr>
      <w:r w:rsidRPr="00C451C7">
        <w:rPr>
          <w:rFonts w:asciiTheme="minorHAnsi" w:hAnsiTheme="minorHAnsi" w:cstheme="minorHAnsi"/>
        </w:rPr>
        <w:t>WHO handbook for guideline development – 2nd edition. Geneva, Switzerland: World Health Organization;</w:t>
      </w:r>
    </w:p>
    <w:p w:rsidR="005225B5" w:rsidRPr="00C451C7" w:rsidRDefault="005225B5" w:rsidP="006263CF">
      <w:pPr>
        <w:tabs>
          <w:tab w:val="left" w:pos="830"/>
        </w:tabs>
        <w:spacing w:before="14"/>
        <w:ind w:left="360"/>
        <w:rPr>
          <w:rFonts w:asciiTheme="minorHAnsi" w:hAnsiTheme="minorHAnsi" w:cstheme="minorHAnsi"/>
        </w:rPr>
      </w:pPr>
      <w:r w:rsidRPr="00C451C7">
        <w:rPr>
          <w:rFonts w:asciiTheme="minorHAnsi" w:hAnsiTheme="minorHAnsi" w:cstheme="minorHAnsi"/>
        </w:rPr>
        <w:t>2014</w:t>
      </w:r>
      <w:r w:rsidRPr="00C451C7">
        <w:rPr>
          <w:rFonts w:asciiTheme="minorHAnsi" w:hAnsiTheme="minorHAnsi" w:cstheme="minorHAnsi"/>
        </w:rPr>
        <w:tab/>
        <w:t>(https://apps.who.int/medicinedocs/en/m/abstract/Js22083en/, accessed 20 March 2020).</w:t>
      </w:r>
    </w:p>
    <w:p w:rsidR="005225B5" w:rsidRPr="00C451C7" w:rsidRDefault="005225B5" w:rsidP="006263CF">
      <w:pPr>
        <w:numPr>
          <w:ilvl w:val="0"/>
          <w:numId w:val="15"/>
        </w:numPr>
        <w:tabs>
          <w:tab w:val="left" w:pos="360"/>
        </w:tabs>
        <w:spacing w:before="86"/>
        <w:ind w:left="360" w:hanging="360"/>
        <w:jc w:val="both"/>
        <w:rPr>
          <w:rFonts w:asciiTheme="minorHAnsi" w:hAnsiTheme="minorHAnsi" w:cstheme="minorHAnsi"/>
        </w:rPr>
      </w:pPr>
      <w:r w:rsidRPr="00C451C7">
        <w:rPr>
          <w:rFonts w:asciiTheme="minorHAnsi" w:hAnsiTheme="minorHAnsi" w:cstheme="minorHAnsi"/>
        </w:rPr>
        <w:t>Companion handbook to the WHO guidelines for the programmatic management of drug-resistant tuberculosis (WHO/HTM/TB/2014.11). Geneva: World Health Organization; 2014 (https://apps.who.int/ iris/bitstream/handle/10665/130918/9789241548809_eng.pdf?sequence=1, accessed 20 March 2020).</w:t>
      </w:r>
    </w:p>
    <w:p w:rsidR="005225B5" w:rsidRPr="00C451C7" w:rsidRDefault="005225B5" w:rsidP="006263CF">
      <w:pPr>
        <w:numPr>
          <w:ilvl w:val="0"/>
          <w:numId w:val="15"/>
        </w:numPr>
        <w:tabs>
          <w:tab w:val="left" w:pos="360"/>
        </w:tabs>
        <w:spacing w:before="82"/>
        <w:ind w:left="360" w:hanging="360"/>
        <w:jc w:val="both"/>
        <w:rPr>
          <w:rFonts w:asciiTheme="minorHAnsi" w:hAnsiTheme="minorHAnsi" w:cstheme="minorHAnsi"/>
        </w:rPr>
      </w:pPr>
      <w:r w:rsidRPr="00C451C7">
        <w:rPr>
          <w:rFonts w:asciiTheme="minorHAnsi" w:hAnsiTheme="minorHAnsi" w:cstheme="minorHAnsi"/>
        </w:rPr>
        <w:t>Implementing tuberculosis diagnostics: a policy framework. Geneva: World Health Organization; 2015 (https://www.who.int/tb/publications/implementing_TB_diagnostics/en/, accessed 1 June 2020).</w:t>
      </w:r>
    </w:p>
    <w:p w:rsidR="005225B5" w:rsidRPr="00C451C7" w:rsidRDefault="005225B5" w:rsidP="006263CF">
      <w:pPr>
        <w:numPr>
          <w:ilvl w:val="0"/>
          <w:numId w:val="15"/>
        </w:numPr>
        <w:tabs>
          <w:tab w:val="left" w:pos="360"/>
        </w:tabs>
        <w:spacing w:before="82"/>
        <w:ind w:left="360" w:hanging="360"/>
        <w:jc w:val="both"/>
        <w:rPr>
          <w:rFonts w:asciiTheme="minorHAnsi" w:hAnsiTheme="minorHAnsi" w:cstheme="minorHAnsi"/>
        </w:rPr>
      </w:pPr>
      <w:r w:rsidRPr="00C451C7">
        <w:rPr>
          <w:rFonts w:asciiTheme="minorHAnsi" w:hAnsiTheme="minorHAnsi" w:cstheme="minorHAnsi"/>
        </w:rPr>
        <w:t>Wiseman CA, Gie R P, Starke JR, Schaaf HS, Donald PR, Cotton MF et al. A proposed comprehensive classification of tuberculosis disease severity in children. Pediatr Infect Dis J. 2012;31(4):347–52.</w:t>
      </w:r>
    </w:p>
    <w:p w:rsidR="005225B5" w:rsidRPr="00C451C7" w:rsidRDefault="005225B5" w:rsidP="006263CF">
      <w:pPr>
        <w:numPr>
          <w:ilvl w:val="0"/>
          <w:numId w:val="15"/>
        </w:numPr>
        <w:tabs>
          <w:tab w:val="left" w:pos="360"/>
        </w:tabs>
        <w:spacing w:before="82"/>
        <w:ind w:left="360" w:hanging="360"/>
        <w:jc w:val="both"/>
        <w:rPr>
          <w:rFonts w:asciiTheme="minorHAnsi" w:hAnsiTheme="minorHAnsi" w:cstheme="minorHAnsi"/>
        </w:rPr>
      </w:pPr>
      <w:r w:rsidRPr="00C451C7">
        <w:rPr>
          <w:rFonts w:asciiTheme="minorHAnsi" w:hAnsiTheme="minorHAnsi" w:cstheme="minorHAnsi"/>
        </w:rPr>
        <w:t>WHO best-practice statement on the off-label use of bedaquiline and delamanid for the treatment of multidrug-resistant tuberculosis. Geneva: World Health Organization; 2017 (https://apps.who.int/iris/ handle/10665/258941, accessed 1 June 2020).</w:t>
      </w:r>
    </w:p>
    <w:p w:rsidR="005225B5" w:rsidRPr="00C451C7" w:rsidRDefault="005225B5" w:rsidP="006263CF">
      <w:pPr>
        <w:numPr>
          <w:ilvl w:val="0"/>
          <w:numId w:val="15"/>
        </w:numPr>
        <w:tabs>
          <w:tab w:val="left" w:pos="360"/>
        </w:tabs>
        <w:spacing w:before="82"/>
        <w:ind w:left="360" w:hanging="360"/>
        <w:jc w:val="both"/>
        <w:rPr>
          <w:rFonts w:asciiTheme="minorHAnsi" w:hAnsiTheme="minorHAnsi" w:cstheme="minorHAnsi"/>
        </w:rPr>
      </w:pPr>
      <w:r w:rsidRPr="00C451C7">
        <w:rPr>
          <w:rFonts w:asciiTheme="minorHAnsi" w:hAnsiTheme="minorHAnsi" w:cstheme="minorHAnsi"/>
        </w:rPr>
        <w:t>Allotey P, Reidpath DD, Ghalib H, Pagnoni F, Skelly WC. Efficacious, effective, and embedded interventions: implementation research in infectious disease control. BMC Public Health. 2008;8(1):343.</w:t>
      </w:r>
    </w:p>
    <w:p w:rsidR="005225B5" w:rsidRPr="00C451C7" w:rsidRDefault="005225B5" w:rsidP="006263CF">
      <w:pPr>
        <w:numPr>
          <w:ilvl w:val="0"/>
          <w:numId w:val="15"/>
        </w:numPr>
        <w:tabs>
          <w:tab w:val="left" w:pos="360"/>
        </w:tabs>
        <w:spacing w:before="82"/>
        <w:ind w:left="360" w:hanging="360"/>
        <w:jc w:val="both"/>
        <w:rPr>
          <w:rFonts w:asciiTheme="minorHAnsi" w:hAnsiTheme="minorHAnsi" w:cstheme="minorHAnsi"/>
          <w:spacing w:val="-12"/>
        </w:rPr>
      </w:pPr>
      <w:r w:rsidRPr="00C451C7">
        <w:rPr>
          <w:rFonts w:asciiTheme="minorHAnsi" w:hAnsiTheme="minorHAnsi" w:cstheme="minorHAnsi"/>
        </w:rPr>
        <w:t>The Global Fund, World Health Organization. Guide to operational research in programs supported by the Global Fund. Geneva: The Global Fund; 2007 (https://www.who.int/hiv/pub/operational/or_guide_gf.pdf, accessed 1 June 2020).</w:t>
      </w:r>
    </w:p>
    <w:p w:rsidR="005225B5" w:rsidRPr="00C451C7" w:rsidRDefault="005225B5" w:rsidP="006263CF">
      <w:pPr>
        <w:numPr>
          <w:ilvl w:val="0"/>
          <w:numId w:val="15"/>
        </w:numPr>
        <w:tabs>
          <w:tab w:val="left" w:pos="360"/>
        </w:tabs>
        <w:spacing w:before="82"/>
        <w:ind w:left="360" w:hanging="360"/>
        <w:jc w:val="both"/>
        <w:rPr>
          <w:rFonts w:asciiTheme="minorHAnsi" w:hAnsiTheme="minorHAnsi" w:cstheme="minorHAnsi"/>
          <w:spacing w:val="-10"/>
        </w:rPr>
      </w:pPr>
      <w:r w:rsidRPr="00C451C7">
        <w:rPr>
          <w:rFonts w:asciiTheme="minorHAnsi" w:hAnsiTheme="minorHAnsi" w:cstheme="minorHAnsi"/>
        </w:rPr>
        <w:t>Expanding capacity for operations research in reproductive health: summary report of a consultative meeting: WHO, Geneva, Switzerland, December 10–12, 2001. Geneva: World Health Organization; 2003 (https://apps.who.int/iris/handle/10665/67936, accessed 1 June 2020).</w:t>
      </w:r>
    </w:p>
    <w:p w:rsidR="005225B5" w:rsidRPr="00C451C7" w:rsidRDefault="005225B5" w:rsidP="006263CF">
      <w:pPr>
        <w:numPr>
          <w:ilvl w:val="0"/>
          <w:numId w:val="15"/>
        </w:numPr>
        <w:tabs>
          <w:tab w:val="left" w:pos="360"/>
        </w:tabs>
        <w:spacing w:before="82"/>
        <w:ind w:left="360" w:right="5" w:hanging="360"/>
        <w:jc w:val="both"/>
        <w:rPr>
          <w:rFonts w:asciiTheme="minorHAnsi" w:hAnsiTheme="minorHAnsi" w:cstheme="minorHAnsi"/>
          <w:spacing w:val="-12"/>
        </w:rPr>
      </w:pPr>
      <w:r w:rsidRPr="00C451C7">
        <w:rPr>
          <w:rFonts w:asciiTheme="minorHAnsi" w:hAnsiTheme="minorHAnsi" w:cstheme="minorHAnsi"/>
        </w:rPr>
        <w:t>Weyer K, Mirzayev F, Migliori GB, van Gemert W, D’Ambrosio L, Zignol M et al. Rapid molecular TB diagnosis: evidence, policy making and global implementation of Xpert MTB/RIF. Eur Respir J. 2013;42(1):252–71.</w:t>
      </w:r>
    </w:p>
    <w:p w:rsidR="005225B5" w:rsidRPr="00C451C7" w:rsidRDefault="005225B5" w:rsidP="00C451C7">
      <w:pPr>
        <w:numPr>
          <w:ilvl w:val="0"/>
          <w:numId w:val="15"/>
        </w:numPr>
        <w:spacing w:before="82"/>
        <w:ind w:left="360" w:right="5" w:hanging="360"/>
        <w:jc w:val="both"/>
        <w:rPr>
          <w:rFonts w:asciiTheme="minorHAnsi" w:hAnsiTheme="minorHAnsi" w:cstheme="minorHAnsi"/>
          <w:spacing w:val="-12"/>
        </w:rPr>
      </w:pPr>
      <w:r w:rsidRPr="00C451C7">
        <w:rPr>
          <w:rFonts w:asciiTheme="minorHAnsi" w:hAnsiTheme="minorHAnsi" w:cstheme="minorHAnsi"/>
        </w:rPr>
        <w:t>The use of molecular line probe assays for the detection of resistance to second-line anti-tuberculosis drugs: policy guidance [WHO/HTM/TB/2016.07]. Geneva: World Health Organization; 2016 (https://apps.who.int/ iris/bitstream/handle/10665/246131/9789241510561-eng.pdf?sequence=1, accessed 20 March 2020).</w:t>
      </w:r>
    </w:p>
    <w:p w:rsidR="005225B5" w:rsidRPr="00C451C7" w:rsidRDefault="005225B5" w:rsidP="00C451C7">
      <w:pPr>
        <w:numPr>
          <w:ilvl w:val="0"/>
          <w:numId w:val="15"/>
        </w:numPr>
        <w:spacing w:before="96"/>
        <w:ind w:left="360" w:right="5" w:hanging="360"/>
        <w:jc w:val="both"/>
        <w:rPr>
          <w:rFonts w:asciiTheme="minorHAnsi" w:hAnsiTheme="minorHAnsi" w:cstheme="minorHAnsi"/>
          <w:spacing w:val="-12"/>
        </w:rPr>
      </w:pPr>
      <w:r w:rsidRPr="00C451C7">
        <w:rPr>
          <w:rFonts w:asciiTheme="minorHAnsi" w:hAnsiTheme="minorHAnsi" w:cstheme="minorHAnsi"/>
        </w:rPr>
        <w:t>Guidelines for surveillance of drug resistance in tuberculosis. 5th edition. Geneva: World Health Organization;</w:t>
      </w:r>
      <w:r w:rsidR="00C451C7" w:rsidRPr="00C451C7">
        <w:rPr>
          <w:rFonts w:asciiTheme="minorHAnsi" w:hAnsiTheme="minorHAnsi" w:cstheme="minorHAnsi"/>
          <w:spacing w:val="-12"/>
        </w:rPr>
        <w:t xml:space="preserve"> </w:t>
      </w:r>
      <w:r w:rsidRPr="00C451C7">
        <w:rPr>
          <w:rFonts w:asciiTheme="minorHAnsi" w:hAnsiTheme="minorHAnsi" w:cstheme="minorHAnsi"/>
        </w:rPr>
        <w:t>2015</w:t>
      </w:r>
      <w:r w:rsidR="00C451C7" w:rsidRPr="00C451C7">
        <w:rPr>
          <w:rFonts w:asciiTheme="minorHAnsi" w:hAnsiTheme="minorHAnsi" w:cstheme="minorHAnsi"/>
        </w:rPr>
        <w:t xml:space="preserve"> </w:t>
      </w:r>
      <w:r w:rsidRPr="00C451C7">
        <w:rPr>
          <w:rFonts w:asciiTheme="minorHAnsi" w:hAnsiTheme="minorHAnsi" w:cstheme="minorHAnsi"/>
        </w:rPr>
        <w:t>(https://www.who.int/tb/publications/2015/drs_guidelines/en/, accessed 1 June 2020).</w:t>
      </w:r>
    </w:p>
    <w:p w:rsidR="005225B5" w:rsidRPr="00C451C7" w:rsidRDefault="005225B5" w:rsidP="006263CF">
      <w:pPr>
        <w:tabs>
          <w:tab w:val="left" w:pos="360"/>
        </w:tabs>
        <w:spacing w:before="82"/>
        <w:ind w:left="360" w:hanging="360"/>
        <w:jc w:val="both"/>
        <w:rPr>
          <w:rFonts w:asciiTheme="minorHAnsi" w:hAnsiTheme="minorHAnsi" w:cstheme="minorHAnsi"/>
        </w:rPr>
      </w:pPr>
      <w:r w:rsidRPr="00C451C7">
        <w:rPr>
          <w:rFonts w:asciiTheme="minorHAnsi" w:hAnsiTheme="minorHAnsi" w:cstheme="minorHAnsi"/>
        </w:rPr>
        <w:t>15</w:t>
      </w:r>
      <w:r w:rsidRPr="00C451C7">
        <w:rPr>
          <w:rFonts w:asciiTheme="minorHAnsi" w:hAnsiTheme="minorHAnsi" w:cstheme="minorHAnsi"/>
        </w:rPr>
        <w:tab/>
        <w:t>WHO treatment guidelines for drug-resistant tuberculosis, 2016 update (WHO/HTM/TB/2016.04). Geneva: World Health Organization; 2016 (</w:t>
      </w:r>
      <w:r w:rsidR="00C451C7" w:rsidRPr="00C451C7">
        <w:rPr>
          <w:rFonts w:asciiTheme="minorHAnsi" w:hAnsiTheme="minorHAnsi" w:cstheme="minorHAnsi"/>
        </w:rPr>
        <w:t>https://apps.who.int/iris/bitstream/handle/10665/250125/ 9789241549639-eng.pdf</w:t>
      </w:r>
      <w:r w:rsidRPr="00C451C7">
        <w:rPr>
          <w:rFonts w:asciiTheme="minorHAnsi" w:hAnsiTheme="minorHAnsi" w:cstheme="minorHAnsi"/>
        </w:rPr>
        <w:t>, accessed 20 March 2020).</w:t>
      </w:r>
    </w:p>
    <w:p w:rsidR="005225B5" w:rsidRPr="00C451C7" w:rsidRDefault="005225B5" w:rsidP="006263CF">
      <w:pPr>
        <w:tabs>
          <w:tab w:val="left" w:pos="360"/>
        </w:tabs>
        <w:spacing w:before="82"/>
        <w:ind w:left="360" w:hanging="360"/>
        <w:jc w:val="both"/>
        <w:rPr>
          <w:rFonts w:asciiTheme="minorHAnsi" w:hAnsiTheme="minorHAnsi" w:cstheme="minorHAnsi"/>
        </w:rPr>
        <w:sectPr w:rsidR="005225B5" w:rsidRPr="00C451C7">
          <w:footerReference w:type="default" r:id="rId45"/>
          <w:pgSz w:w="11904" w:h="16838"/>
          <w:pgMar w:top="2117" w:right="1416" w:bottom="1646" w:left="1416" w:header="708" w:footer="708" w:gutter="0"/>
          <w:cols w:space="60"/>
          <w:noEndnote/>
        </w:sectPr>
      </w:pPr>
    </w:p>
    <w:p w:rsidR="005225B5" w:rsidRPr="00C451C7" w:rsidRDefault="005225B5" w:rsidP="006263CF">
      <w:pPr>
        <w:numPr>
          <w:ilvl w:val="0"/>
          <w:numId w:val="16"/>
        </w:numPr>
        <w:tabs>
          <w:tab w:val="left" w:pos="360"/>
        </w:tabs>
        <w:ind w:left="360" w:hanging="360"/>
        <w:jc w:val="both"/>
        <w:rPr>
          <w:rFonts w:asciiTheme="minorHAnsi" w:hAnsiTheme="minorHAnsi" w:cstheme="minorHAnsi"/>
          <w:spacing w:val="-12"/>
        </w:rPr>
      </w:pPr>
      <w:r w:rsidRPr="00C451C7">
        <w:rPr>
          <w:rFonts w:asciiTheme="minorHAnsi" w:hAnsiTheme="minorHAnsi" w:cstheme="minorHAnsi"/>
        </w:rPr>
        <w:lastRenderedPageBreak/>
        <w:t>Technical manual for drug susceptibility testing of medicines used in the treatment of tuberculosis. Geneva: World Health Organization; 2018 (https://www.who.int/tb/publications/2018/WHO_technical_drug_ susceptibility_testing/en/, accessed 1 June 2020).</w:t>
      </w:r>
    </w:p>
    <w:p w:rsidR="005225B5" w:rsidRPr="00C451C7" w:rsidRDefault="005225B5" w:rsidP="00C451C7">
      <w:pPr>
        <w:numPr>
          <w:ilvl w:val="0"/>
          <w:numId w:val="16"/>
        </w:numPr>
        <w:tabs>
          <w:tab w:val="left" w:pos="360"/>
        </w:tabs>
        <w:spacing w:before="60"/>
        <w:ind w:left="360" w:right="10" w:hanging="360"/>
        <w:jc w:val="both"/>
        <w:rPr>
          <w:rFonts w:asciiTheme="minorHAnsi" w:hAnsiTheme="minorHAnsi" w:cstheme="minorHAnsi"/>
          <w:spacing w:val="-12"/>
        </w:rPr>
      </w:pPr>
      <w:r w:rsidRPr="00C451C7">
        <w:rPr>
          <w:rFonts w:asciiTheme="minorHAnsi" w:hAnsiTheme="minorHAnsi" w:cstheme="minorHAnsi"/>
        </w:rPr>
        <w:t>Technical report on critical concentrations for TB drug susceptibility testing of medicines used in the treatment of drug-resistant TB. Geneva: World Health Organization; 2018 (https://www.who.int/tb/publications/2018/ WHO_technical_report_concentrations_TB_drug_susceptibility/en/, accessed 20 March 2020).</w:t>
      </w:r>
    </w:p>
    <w:p w:rsidR="005225B5" w:rsidRPr="00C451C7" w:rsidRDefault="005225B5" w:rsidP="00C451C7">
      <w:pPr>
        <w:numPr>
          <w:ilvl w:val="0"/>
          <w:numId w:val="16"/>
        </w:numPr>
        <w:tabs>
          <w:tab w:val="left" w:pos="360"/>
        </w:tabs>
        <w:spacing w:before="60"/>
        <w:ind w:left="360" w:hanging="360"/>
        <w:jc w:val="both"/>
        <w:rPr>
          <w:rFonts w:asciiTheme="minorHAnsi" w:hAnsiTheme="minorHAnsi" w:cstheme="minorHAnsi"/>
          <w:spacing w:val="-10"/>
        </w:rPr>
      </w:pPr>
      <w:r w:rsidRPr="00C451C7">
        <w:rPr>
          <w:rFonts w:asciiTheme="minorHAnsi" w:hAnsiTheme="minorHAnsi" w:cstheme="minorHAnsi"/>
        </w:rPr>
        <w:t>Baker MA, Harries AD, Jeon C Y, Hart JE, Kapur A, Lönnroth K et al. The impact of diabetes on tuberculosis treatment outcomes: a systematic review. BMC Med. 2011;9:81.</w:t>
      </w:r>
    </w:p>
    <w:p w:rsidR="005225B5" w:rsidRPr="00C451C7" w:rsidRDefault="005225B5" w:rsidP="00C451C7">
      <w:pPr>
        <w:numPr>
          <w:ilvl w:val="0"/>
          <w:numId w:val="16"/>
        </w:numPr>
        <w:tabs>
          <w:tab w:val="left" w:pos="360"/>
        </w:tabs>
        <w:spacing w:before="60"/>
        <w:ind w:left="360" w:right="5" w:hanging="360"/>
        <w:jc w:val="both"/>
        <w:rPr>
          <w:rFonts w:asciiTheme="minorHAnsi" w:hAnsiTheme="minorHAnsi" w:cstheme="minorHAnsi"/>
          <w:spacing w:val="-12"/>
        </w:rPr>
      </w:pPr>
      <w:r w:rsidRPr="00C451C7">
        <w:rPr>
          <w:rFonts w:asciiTheme="minorHAnsi" w:hAnsiTheme="minorHAnsi" w:cstheme="minorHAnsi"/>
        </w:rPr>
        <w:t>Active tuberculosis drug-safety monitoring and management (aDSM): framework for implementation. Geneva: World Health Organization; 2015 (https://www.who.int/tb/publications/aDSM/en/, accessed 1 June 2020).</w:t>
      </w:r>
    </w:p>
    <w:p w:rsidR="005225B5" w:rsidRPr="00C451C7" w:rsidRDefault="005225B5" w:rsidP="00C451C7">
      <w:pPr>
        <w:numPr>
          <w:ilvl w:val="0"/>
          <w:numId w:val="16"/>
        </w:numPr>
        <w:tabs>
          <w:tab w:val="left" w:pos="360"/>
        </w:tabs>
        <w:spacing w:before="60"/>
        <w:ind w:left="360" w:hanging="360"/>
        <w:jc w:val="both"/>
        <w:rPr>
          <w:rFonts w:asciiTheme="minorHAnsi" w:hAnsiTheme="minorHAnsi" w:cstheme="minorHAnsi"/>
          <w:spacing w:val="-10"/>
        </w:rPr>
      </w:pPr>
      <w:r w:rsidRPr="00C451C7">
        <w:rPr>
          <w:rFonts w:asciiTheme="minorHAnsi" w:hAnsiTheme="minorHAnsi" w:cstheme="minorHAnsi"/>
        </w:rPr>
        <w:t>Consolidated guidelines on the use of antiretroviral drugs for treating and preventing HIV infection: recommendations for a public health approach. 2nd ed. Genevva: World Health Organization; 2016 (https:// apps.who.int/iris/bitstream/handle/10665/208825/9789241549684_eng.pdf;jsessionid=2FD2A34B73DE76 E3C987F452664F8BAC?sequence=1, accessed 6 June 2020).</w:t>
      </w:r>
    </w:p>
    <w:p w:rsidR="005225B5" w:rsidRPr="00C451C7" w:rsidRDefault="005225B5" w:rsidP="00C451C7">
      <w:pPr>
        <w:numPr>
          <w:ilvl w:val="0"/>
          <w:numId w:val="16"/>
        </w:numPr>
        <w:tabs>
          <w:tab w:val="left" w:pos="360"/>
        </w:tabs>
        <w:spacing w:before="60"/>
        <w:ind w:left="360" w:right="10" w:hanging="360"/>
        <w:jc w:val="both"/>
        <w:rPr>
          <w:rFonts w:asciiTheme="minorHAnsi" w:hAnsiTheme="minorHAnsi" w:cstheme="minorHAnsi"/>
          <w:spacing w:val="-12"/>
        </w:rPr>
      </w:pPr>
      <w:r w:rsidRPr="00C451C7">
        <w:rPr>
          <w:rFonts w:asciiTheme="minorHAnsi" w:hAnsiTheme="minorHAnsi" w:cstheme="minorHAnsi"/>
        </w:rPr>
        <w:t>Ramachandran G, Kumar AH, Srinivasan R, Geetharani A, Sugirda P, Nandhakumar B et al. Effect of rifampicin &amp; isoniazid on the steady state pharmacokinetics of moxifloxacin. Indian J Med Res. 2012;136(6):979.</w:t>
      </w:r>
    </w:p>
    <w:p w:rsidR="005225B5" w:rsidRPr="00C451C7" w:rsidRDefault="005225B5" w:rsidP="00C451C7">
      <w:pPr>
        <w:numPr>
          <w:ilvl w:val="0"/>
          <w:numId w:val="16"/>
        </w:numPr>
        <w:tabs>
          <w:tab w:val="left" w:pos="360"/>
        </w:tabs>
        <w:spacing w:before="60"/>
        <w:ind w:left="360" w:right="5" w:hanging="360"/>
        <w:jc w:val="both"/>
        <w:rPr>
          <w:rFonts w:asciiTheme="minorHAnsi" w:hAnsiTheme="minorHAnsi" w:cstheme="minorHAnsi"/>
          <w:spacing w:val="-12"/>
        </w:rPr>
      </w:pPr>
      <w:r w:rsidRPr="00C451C7">
        <w:rPr>
          <w:rFonts w:asciiTheme="minorHAnsi" w:hAnsiTheme="minorHAnsi" w:cstheme="minorHAnsi"/>
        </w:rPr>
        <w:t>Baniasadi S, Eftekhari P, Tabarsi P, Fahimi F, Raoufy MR, Masjedi MR et al. Protective effect of N-acetylcysteine on antituberculosis drug-induced hepatotoxicity. European J Gastroent Hepatol. 2010;22(10):1235–8.</w:t>
      </w:r>
    </w:p>
    <w:p w:rsidR="005225B5" w:rsidRPr="00C451C7" w:rsidRDefault="005225B5" w:rsidP="00C451C7">
      <w:pPr>
        <w:numPr>
          <w:ilvl w:val="0"/>
          <w:numId w:val="16"/>
        </w:numPr>
        <w:tabs>
          <w:tab w:val="left" w:pos="360"/>
        </w:tabs>
        <w:spacing w:before="60"/>
        <w:ind w:left="360" w:hanging="360"/>
        <w:jc w:val="both"/>
        <w:rPr>
          <w:rFonts w:asciiTheme="minorHAnsi" w:hAnsiTheme="minorHAnsi" w:cstheme="minorHAnsi"/>
          <w:spacing w:val="-10"/>
        </w:rPr>
      </w:pPr>
      <w:r w:rsidRPr="00C451C7">
        <w:rPr>
          <w:rFonts w:asciiTheme="minorHAnsi" w:hAnsiTheme="minorHAnsi" w:cstheme="minorHAnsi"/>
        </w:rPr>
        <w:t>van Hest R, Baars H, Kik S, van Gerven P, Trompenaars M-C, Kalisvaart N et al. Hepatotoxicity of rifampin-pyrazinamide and isoniazid preventive therapy and tuberculosis treatment. Clin Infect Dis. 2004;39(4):488–96.</w:t>
      </w:r>
    </w:p>
    <w:p w:rsidR="005225B5" w:rsidRPr="00C451C7" w:rsidRDefault="005225B5" w:rsidP="00C451C7">
      <w:pPr>
        <w:numPr>
          <w:ilvl w:val="0"/>
          <w:numId w:val="16"/>
        </w:numPr>
        <w:tabs>
          <w:tab w:val="left" w:pos="360"/>
        </w:tabs>
        <w:spacing w:before="60"/>
        <w:ind w:left="360" w:hanging="360"/>
        <w:jc w:val="both"/>
        <w:rPr>
          <w:rFonts w:asciiTheme="minorHAnsi" w:hAnsiTheme="minorHAnsi" w:cstheme="minorHAnsi"/>
          <w:spacing w:val="-10"/>
        </w:rPr>
      </w:pPr>
      <w:r w:rsidRPr="00C451C7">
        <w:rPr>
          <w:rFonts w:asciiTheme="minorHAnsi" w:hAnsiTheme="minorHAnsi" w:cstheme="minorHAnsi"/>
        </w:rPr>
        <w:t>Peloquin CA, Jaresko GS, Yong C-L, Keung A, Bulpitt AE, Jelliffe RW. Population pharmacokinetic modeling of isoniazid, rifampin, and pyrazinamide. Antimicrob Agents Chemoth. 1997;41(12):2670–9.</w:t>
      </w:r>
    </w:p>
    <w:p w:rsidR="005225B5" w:rsidRPr="00C451C7" w:rsidRDefault="005225B5" w:rsidP="00C451C7">
      <w:pPr>
        <w:numPr>
          <w:ilvl w:val="0"/>
          <w:numId w:val="16"/>
        </w:numPr>
        <w:tabs>
          <w:tab w:val="left" w:pos="360"/>
        </w:tabs>
        <w:spacing w:before="60"/>
        <w:ind w:left="360" w:hanging="360"/>
        <w:jc w:val="both"/>
        <w:rPr>
          <w:rFonts w:asciiTheme="minorHAnsi" w:hAnsiTheme="minorHAnsi" w:cstheme="minorHAnsi"/>
          <w:spacing w:val="-10"/>
        </w:rPr>
      </w:pPr>
      <w:r w:rsidRPr="00C451C7">
        <w:rPr>
          <w:rFonts w:asciiTheme="minorHAnsi" w:hAnsiTheme="minorHAnsi" w:cstheme="minorHAnsi"/>
        </w:rPr>
        <w:t>Global Drug Facility – Procurement and supply – List of products avaialble [website]. Stop TB Partnership; (http://www.stoptb.org/gdf/drugsupply/catalogue.asp, accessed 6 June 2020 2020).</w:t>
      </w:r>
    </w:p>
    <w:p w:rsidR="005225B5" w:rsidRPr="00C451C7" w:rsidRDefault="005225B5" w:rsidP="00C451C7">
      <w:pPr>
        <w:numPr>
          <w:ilvl w:val="0"/>
          <w:numId w:val="16"/>
        </w:numPr>
        <w:tabs>
          <w:tab w:val="left" w:pos="360"/>
        </w:tabs>
        <w:spacing w:before="60"/>
        <w:ind w:left="360" w:hanging="360"/>
        <w:jc w:val="both"/>
        <w:rPr>
          <w:rFonts w:asciiTheme="minorHAnsi" w:hAnsiTheme="minorHAnsi" w:cstheme="minorHAnsi"/>
          <w:spacing w:val="-10"/>
        </w:rPr>
      </w:pPr>
      <w:r w:rsidRPr="00C451C7">
        <w:rPr>
          <w:rFonts w:asciiTheme="minorHAnsi" w:hAnsiTheme="minorHAnsi" w:cstheme="minorHAnsi"/>
        </w:rPr>
        <w:t>Definitions and reporting framework for tuberculosis – 2013 revision (updated December 2014) [WHO/ HTM/TB/2013.2]. Geneva, Switzerland: World Health Organization; 2013 (https://apps.who.int/iris/bitstream/ handle/10665/79199/9789241505345_eng.pdf?sequence=1, accessed 20 March 2020).</w:t>
      </w:r>
    </w:p>
    <w:p w:rsidR="005225B5" w:rsidRPr="00C451C7" w:rsidRDefault="005225B5" w:rsidP="00C451C7">
      <w:pPr>
        <w:numPr>
          <w:ilvl w:val="0"/>
          <w:numId w:val="16"/>
        </w:numPr>
        <w:tabs>
          <w:tab w:val="left" w:pos="360"/>
        </w:tabs>
        <w:spacing w:before="60"/>
        <w:rPr>
          <w:rFonts w:asciiTheme="minorHAnsi" w:hAnsiTheme="minorHAnsi" w:cstheme="minorHAnsi"/>
          <w:spacing w:val="-10"/>
        </w:rPr>
      </w:pPr>
      <w:r w:rsidRPr="00C451C7">
        <w:rPr>
          <w:rFonts w:asciiTheme="minorHAnsi" w:hAnsiTheme="minorHAnsi" w:cstheme="minorHAnsi"/>
        </w:rPr>
        <w:t>GRADE working group [website]. (https://www.gradeworkinggroup.org/, accessed 6 June 2020).</w:t>
      </w:r>
    </w:p>
    <w:p w:rsidR="005225B5" w:rsidRPr="00C451C7" w:rsidRDefault="005225B5" w:rsidP="00C451C7">
      <w:pPr>
        <w:numPr>
          <w:ilvl w:val="0"/>
          <w:numId w:val="16"/>
        </w:numPr>
        <w:tabs>
          <w:tab w:val="left" w:pos="360"/>
        </w:tabs>
        <w:spacing w:before="60"/>
        <w:ind w:left="360" w:hanging="360"/>
        <w:jc w:val="both"/>
        <w:rPr>
          <w:rFonts w:asciiTheme="minorHAnsi" w:hAnsiTheme="minorHAnsi" w:cstheme="minorHAnsi"/>
          <w:spacing w:val="-10"/>
        </w:rPr>
      </w:pPr>
      <w:r w:rsidRPr="00C451C7">
        <w:rPr>
          <w:rFonts w:asciiTheme="minorHAnsi" w:hAnsiTheme="minorHAnsi" w:cstheme="minorHAnsi"/>
        </w:rPr>
        <w:t>Ahuja SD, Ashkin D, Avendano M, Banerjee R, Bauer M, Bayona JN et al. Multidrug resistant pulmonary tuberculosis treatment regimens and patient outcomes: an individual patient data meta-analysis of 9,153 patients. PLoS Med. 2012;9(8):e1001300.</w:t>
      </w:r>
    </w:p>
    <w:p w:rsidR="005225B5" w:rsidRPr="00C451C7" w:rsidRDefault="005225B5" w:rsidP="00C451C7">
      <w:pPr>
        <w:numPr>
          <w:ilvl w:val="0"/>
          <w:numId w:val="16"/>
        </w:numPr>
        <w:tabs>
          <w:tab w:val="left" w:pos="360"/>
        </w:tabs>
        <w:spacing w:before="60"/>
        <w:ind w:left="360" w:hanging="360"/>
        <w:jc w:val="both"/>
        <w:rPr>
          <w:rFonts w:asciiTheme="minorHAnsi" w:hAnsiTheme="minorHAnsi" w:cstheme="minorHAnsi"/>
          <w:spacing w:val="-12"/>
        </w:rPr>
      </w:pPr>
      <w:r w:rsidRPr="00C451C7">
        <w:rPr>
          <w:rFonts w:asciiTheme="minorHAnsi" w:hAnsiTheme="minorHAnsi" w:cstheme="minorHAnsi"/>
        </w:rPr>
        <w:t>Public call for individual patient data on treatment of rifampicin and multidrug-resistant (MDR/RR-TB) tuberculosis. Geneva: World Health Organization; 2018 (https://www.who.int/tb/features_archive/public_ call_treatment_RR_MDR_TB/en/, accessed 27 February 2018).</w:t>
      </w:r>
    </w:p>
    <w:p w:rsidR="005225B5" w:rsidRPr="00C451C7" w:rsidRDefault="005225B5" w:rsidP="00C451C7">
      <w:pPr>
        <w:numPr>
          <w:ilvl w:val="0"/>
          <w:numId w:val="16"/>
        </w:numPr>
        <w:tabs>
          <w:tab w:val="left" w:pos="360"/>
        </w:tabs>
        <w:spacing w:before="60"/>
        <w:ind w:left="360" w:right="5" w:hanging="360"/>
        <w:jc w:val="both"/>
        <w:rPr>
          <w:rFonts w:asciiTheme="minorHAnsi" w:hAnsiTheme="minorHAnsi" w:cstheme="minorHAnsi"/>
          <w:spacing w:val="-12"/>
        </w:rPr>
      </w:pPr>
      <w:r w:rsidRPr="00C451C7">
        <w:rPr>
          <w:rFonts w:asciiTheme="minorHAnsi" w:hAnsiTheme="minorHAnsi" w:cstheme="minorHAnsi"/>
        </w:rPr>
        <w:t>Public call for individual patient data on treatment of rifampicin and multidrug-resistant (MDR/RR-TB) tuberculosis. Geneva: World Health Organization; 2019 (https://www10.who.int/tb/features_archive/Public-call-individual-patient-data-treatment-drug-res/en/, accessed 10 April 2020).</w:t>
      </w:r>
    </w:p>
    <w:p w:rsidR="005225B5" w:rsidRPr="00C451C7" w:rsidRDefault="005225B5" w:rsidP="00C451C7">
      <w:pPr>
        <w:numPr>
          <w:ilvl w:val="0"/>
          <w:numId w:val="16"/>
        </w:numPr>
        <w:tabs>
          <w:tab w:val="left" w:pos="360"/>
        </w:tabs>
        <w:spacing w:before="60"/>
        <w:rPr>
          <w:rFonts w:asciiTheme="minorHAnsi" w:hAnsiTheme="minorHAnsi" w:cstheme="minorHAnsi"/>
          <w:spacing w:val="-10"/>
        </w:rPr>
      </w:pPr>
      <w:r w:rsidRPr="00C451C7">
        <w:rPr>
          <w:rFonts w:asciiTheme="minorHAnsi" w:hAnsiTheme="minorHAnsi" w:cstheme="minorHAnsi"/>
        </w:rPr>
        <w:t>Tanke ED, Leirer VO. Automated telephone reminders in tuberculosis care. Med Care. 1994;32(4):380–9.</w:t>
      </w:r>
    </w:p>
    <w:p w:rsidR="005225B5" w:rsidRPr="00C451C7" w:rsidRDefault="005225B5" w:rsidP="00C451C7">
      <w:pPr>
        <w:numPr>
          <w:ilvl w:val="0"/>
          <w:numId w:val="16"/>
        </w:numPr>
        <w:tabs>
          <w:tab w:val="left" w:pos="360"/>
        </w:tabs>
        <w:spacing w:before="60"/>
        <w:ind w:left="360" w:hanging="360"/>
        <w:jc w:val="both"/>
        <w:rPr>
          <w:rFonts w:asciiTheme="minorHAnsi" w:hAnsiTheme="minorHAnsi" w:cstheme="minorHAnsi"/>
          <w:spacing w:val="-10"/>
        </w:rPr>
      </w:pPr>
      <w:r w:rsidRPr="00C451C7">
        <w:rPr>
          <w:rFonts w:asciiTheme="minorHAnsi" w:hAnsiTheme="minorHAnsi" w:cstheme="minorHAnsi"/>
        </w:rPr>
        <w:t>Highlights of prescribing information Sirturo Maryland, United States of America: United States Food and Drug Administration; 2020. Maryland: United States Food and Drug Administration (FDA); 2020 (https:// www.accessdata.fda.gov/scripts/cder/daf/index.cfm?event=overview.process&amp;ApplNo=204384, accessed 1 June 2020).</w:t>
      </w:r>
    </w:p>
    <w:p w:rsidR="005225B5" w:rsidRPr="00C451C7" w:rsidRDefault="005225B5" w:rsidP="00C451C7">
      <w:pPr>
        <w:numPr>
          <w:ilvl w:val="0"/>
          <w:numId w:val="16"/>
        </w:numPr>
        <w:tabs>
          <w:tab w:val="left" w:pos="360"/>
        </w:tabs>
        <w:spacing w:before="60"/>
        <w:ind w:left="360" w:hanging="360"/>
        <w:jc w:val="both"/>
        <w:rPr>
          <w:rFonts w:asciiTheme="minorHAnsi" w:hAnsiTheme="minorHAnsi" w:cstheme="minorHAnsi"/>
          <w:spacing w:val="-12"/>
        </w:rPr>
      </w:pPr>
      <w:r w:rsidRPr="00C451C7">
        <w:rPr>
          <w:rFonts w:asciiTheme="minorHAnsi" w:hAnsiTheme="minorHAnsi" w:cstheme="minorHAnsi"/>
        </w:rPr>
        <w:t>Van Deun A, Maug AKJ, Salim MAH, Das PK, Sarker MR, Daru P et al. Short, highly effective, and inexpensive standardized treatment of multidrug-resistant tuberculosis. Am J Respir Crit Care Med. 2010;182(5):684–92.</w:t>
      </w:r>
    </w:p>
    <w:p w:rsidR="005225B5" w:rsidRPr="00C451C7" w:rsidRDefault="005225B5" w:rsidP="006263CF">
      <w:pPr>
        <w:numPr>
          <w:ilvl w:val="0"/>
          <w:numId w:val="16"/>
        </w:numPr>
        <w:tabs>
          <w:tab w:val="left" w:pos="360"/>
        </w:tabs>
        <w:spacing w:before="82"/>
        <w:ind w:left="360" w:hanging="360"/>
        <w:jc w:val="both"/>
        <w:rPr>
          <w:rFonts w:asciiTheme="minorHAnsi" w:hAnsiTheme="minorHAnsi" w:cstheme="minorHAnsi"/>
          <w:spacing w:val="-12"/>
          <w:lang w:val="en-US"/>
        </w:rPr>
        <w:sectPr w:rsidR="005225B5" w:rsidRPr="00C451C7" w:rsidSect="00445738">
          <w:pgSz w:w="11904" w:h="16838"/>
          <w:pgMar w:top="1339" w:right="1416" w:bottom="48" w:left="1416" w:header="708" w:footer="708" w:gutter="0"/>
          <w:cols w:space="60"/>
          <w:noEndnote/>
        </w:sectPr>
      </w:pPr>
    </w:p>
    <w:p w:rsidR="005225B5" w:rsidRPr="00C451C7" w:rsidRDefault="005225B5" w:rsidP="006263CF">
      <w:pPr>
        <w:numPr>
          <w:ilvl w:val="0"/>
          <w:numId w:val="17"/>
        </w:numPr>
        <w:tabs>
          <w:tab w:val="left" w:pos="360"/>
        </w:tabs>
        <w:ind w:left="360" w:right="5" w:hanging="360"/>
        <w:jc w:val="both"/>
        <w:rPr>
          <w:rFonts w:asciiTheme="minorHAnsi" w:hAnsiTheme="minorHAnsi" w:cstheme="minorHAnsi"/>
          <w:spacing w:val="-12"/>
        </w:rPr>
      </w:pPr>
      <w:r w:rsidRPr="00C451C7">
        <w:rPr>
          <w:rFonts w:asciiTheme="minorHAnsi" w:hAnsiTheme="minorHAnsi" w:cstheme="minorHAnsi"/>
        </w:rPr>
        <w:lastRenderedPageBreak/>
        <w:t xml:space="preserve">Hartkoorn R, Uplekar S, Cole S. Cross-resistance between clofazimine and bedaquiline through upregulation of MmpL5 in </w:t>
      </w:r>
      <w:r w:rsidRPr="00C451C7">
        <w:rPr>
          <w:rFonts w:asciiTheme="minorHAnsi" w:hAnsiTheme="minorHAnsi" w:cstheme="minorHAnsi"/>
          <w:i/>
          <w:iCs/>
        </w:rPr>
        <w:t>Mycobacterium tuberculosis</w:t>
      </w:r>
      <w:r w:rsidRPr="00C451C7">
        <w:rPr>
          <w:rFonts w:asciiTheme="minorHAnsi" w:hAnsiTheme="minorHAnsi" w:cstheme="minorHAnsi"/>
        </w:rPr>
        <w:t>. Antimicrob Agents Chemother. 2014;58(5):2979–81 (https:// pubmed.ncbi.nlm.nih.gov/24590481/, accessed 1 June 2020).</w:t>
      </w:r>
    </w:p>
    <w:p w:rsidR="005225B5" w:rsidRPr="00C451C7" w:rsidRDefault="005225B5" w:rsidP="006263CF">
      <w:pPr>
        <w:numPr>
          <w:ilvl w:val="0"/>
          <w:numId w:val="17"/>
        </w:numPr>
        <w:tabs>
          <w:tab w:val="left" w:pos="360"/>
        </w:tabs>
        <w:spacing w:before="82"/>
        <w:ind w:left="360" w:right="5" w:hanging="360"/>
        <w:jc w:val="both"/>
        <w:rPr>
          <w:rFonts w:asciiTheme="minorHAnsi" w:hAnsiTheme="minorHAnsi" w:cstheme="minorHAnsi"/>
          <w:spacing w:val="-10"/>
        </w:rPr>
      </w:pPr>
      <w:r w:rsidRPr="00C451C7">
        <w:rPr>
          <w:rFonts w:asciiTheme="minorHAnsi" w:hAnsiTheme="minorHAnsi" w:cstheme="minorHAnsi"/>
        </w:rPr>
        <w:t>Svensson EM, Yngman G, Denti P, McIlleron H, Kjellsson MC, Karlsson MO. Evidence-based design of fixed-dose combinations: principles and application to pediatric anti-tuberculosis therapy. Clin Pharmacokinet. 2018;57(5):591–9.</w:t>
      </w:r>
    </w:p>
    <w:p w:rsidR="005225B5" w:rsidRPr="00C451C7" w:rsidRDefault="005225B5" w:rsidP="006263CF">
      <w:pPr>
        <w:numPr>
          <w:ilvl w:val="0"/>
          <w:numId w:val="17"/>
        </w:numPr>
        <w:tabs>
          <w:tab w:val="left" w:pos="360"/>
        </w:tabs>
        <w:spacing w:before="82"/>
        <w:ind w:left="360" w:right="5" w:hanging="360"/>
        <w:jc w:val="both"/>
        <w:rPr>
          <w:rFonts w:asciiTheme="minorHAnsi" w:hAnsiTheme="minorHAnsi" w:cstheme="minorHAnsi"/>
          <w:spacing w:val="-12"/>
        </w:rPr>
      </w:pPr>
      <w:r w:rsidRPr="00C451C7">
        <w:rPr>
          <w:rFonts w:asciiTheme="minorHAnsi" w:hAnsiTheme="minorHAnsi" w:cstheme="minorHAnsi"/>
        </w:rPr>
        <w:t>ShORRT (Short, all-Oral Regimens For Rifampicin-resistant Tuberculosis) Research Package. Geneva: World Health Organization and the Special Programme for Research and Training in Tropical Diseases; 2015 (https://www.who.int/tdr/research/tb_hiv/shorrt/en/, accessed 1 June 2020).</w:t>
      </w:r>
    </w:p>
    <w:p w:rsidR="005225B5" w:rsidRPr="00C451C7" w:rsidRDefault="005225B5" w:rsidP="006263CF">
      <w:pPr>
        <w:numPr>
          <w:ilvl w:val="0"/>
          <w:numId w:val="17"/>
        </w:numPr>
        <w:tabs>
          <w:tab w:val="left" w:pos="360"/>
        </w:tabs>
        <w:spacing w:before="82"/>
        <w:ind w:left="360" w:right="10" w:hanging="360"/>
        <w:jc w:val="both"/>
        <w:rPr>
          <w:rFonts w:asciiTheme="minorHAnsi" w:hAnsiTheme="minorHAnsi" w:cstheme="minorHAnsi"/>
          <w:spacing w:val="-12"/>
        </w:rPr>
      </w:pPr>
      <w:r w:rsidRPr="00C451C7">
        <w:rPr>
          <w:rFonts w:asciiTheme="minorHAnsi" w:hAnsiTheme="minorHAnsi" w:cstheme="minorHAnsi"/>
        </w:rPr>
        <w:t>Schünemann H, Brożek J, Guyatt G, Oxman A. GRADE handbook. Hamilton, Canada:2013 (https://gdt. gradepro.org/app/handbook/handbook.html, accessed 1 June 2020).</w:t>
      </w:r>
    </w:p>
    <w:p w:rsidR="005225B5" w:rsidRPr="00C451C7" w:rsidRDefault="005225B5" w:rsidP="006263CF">
      <w:pPr>
        <w:numPr>
          <w:ilvl w:val="0"/>
          <w:numId w:val="17"/>
        </w:numPr>
        <w:tabs>
          <w:tab w:val="left" w:pos="360"/>
        </w:tabs>
        <w:spacing w:before="82"/>
        <w:ind w:left="360" w:right="5" w:hanging="360"/>
        <w:jc w:val="both"/>
        <w:rPr>
          <w:rFonts w:asciiTheme="minorHAnsi" w:hAnsiTheme="minorHAnsi" w:cstheme="minorHAnsi"/>
          <w:spacing w:val="-10"/>
        </w:rPr>
      </w:pPr>
      <w:r w:rsidRPr="00C451C7">
        <w:rPr>
          <w:rFonts w:asciiTheme="minorHAnsi" w:hAnsiTheme="minorHAnsi" w:cstheme="minorHAnsi"/>
        </w:rPr>
        <w:t>Guidelines for the programmatic management of drug-resistant tuberculosis, 2011 update (WHO/HTM/ TB/2011.6). Geneva, Switzerland: World Health Organization; 2011 (https://www.who.int/tb/areas-of-work/ drug-resistant-tb/programmatic_guidelines_for_mdrtb/en/, accessed 02 March 2017).</w:t>
      </w:r>
    </w:p>
    <w:p w:rsidR="005225B5" w:rsidRPr="00C451C7" w:rsidRDefault="005225B5" w:rsidP="006263CF">
      <w:pPr>
        <w:numPr>
          <w:ilvl w:val="0"/>
          <w:numId w:val="17"/>
        </w:numPr>
        <w:tabs>
          <w:tab w:val="left" w:pos="360"/>
        </w:tabs>
        <w:spacing w:before="82"/>
        <w:ind w:left="360" w:right="5" w:hanging="360"/>
        <w:jc w:val="both"/>
        <w:rPr>
          <w:rFonts w:asciiTheme="minorHAnsi" w:hAnsiTheme="minorHAnsi" w:cstheme="minorHAnsi"/>
          <w:spacing w:val="-12"/>
        </w:rPr>
      </w:pPr>
      <w:r w:rsidRPr="00C451C7">
        <w:rPr>
          <w:rFonts w:asciiTheme="minorHAnsi" w:hAnsiTheme="minorHAnsi" w:cstheme="minorHAnsi"/>
        </w:rPr>
        <w:t>WHO treatment guidelines for isoniazid-resistant tuberculosis. Supplement to the WHO treatment guidelines for drug-resistant tuberculosis (WHO/CDS/TB/2018.7). Geneva: World Health Organization; 2018 (https:// apps.who.int/iris/bitstream/handle/10665/260494/9789241550079-eng.pdf, accessed 20 March 2020).</w:t>
      </w:r>
    </w:p>
    <w:p w:rsidR="005225B5" w:rsidRPr="00C451C7" w:rsidRDefault="005225B5" w:rsidP="006263CF">
      <w:pPr>
        <w:numPr>
          <w:ilvl w:val="0"/>
          <w:numId w:val="17"/>
        </w:numPr>
        <w:tabs>
          <w:tab w:val="left" w:pos="360"/>
        </w:tabs>
        <w:spacing w:before="82"/>
        <w:ind w:left="360" w:right="14" w:hanging="360"/>
        <w:jc w:val="both"/>
        <w:rPr>
          <w:rFonts w:asciiTheme="minorHAnsi" w:hAnsiTheme="minorHAnsi" w:cstheme="minorHAnsi"/>
          <w:spacing w:val="-12"/>
        </w:rPr>
      </w:pPr>
      <w:r w:rsidRPr="00C451C7">
        <w:rPr>
          <w:rFonts w:asciiTheme="minorHAnsi" w:hAnsiTheme="minorHAnsi" w:cstheme="minorHAnsi"/>
        </w:rPr>
        <w:t>Park-Wyllie LY, Juurlink DN, Kopp A, Shah BR, Stukel TA , Stumpo C et al. Outpatient gatifloxacin therapy and dysglycemia in older adults. New Eng J Med. 2006;354(13):1352–61 (https://www.nejm.org/doi/full/10.1056/ NEJMoa055191, accessed 14 May 2013).</w:t>
      </w:r>
    </w:p>
    <w:p w:rsidR="005225B5" w:rsidRPr="00C451C7" w:rsidRDefault="005225B5" w:rsidP="006263CF">
      <w:pPr>
        <w:numPr>
          <w:ilvl w:val="0"/>
          <w:numId w:val="17"/>
        </w:numPr>
        <w:tabs>
          <w:tab w:val="left" w:pos="360"/>
        </w:tabs>
        <w:spacing w:before="82"/>
        <w:ind w:left="360" w:right="10" w:hanging="360"/>
        <w:jc w:val="both"/>
        <w:rPr>
          <w:rFonts w:asciiTheme="minorHAnsi" w:hAnsiTheme="minorHAnsi" w:cstheme="minorHAnsi"/>
          <w:spacing w:val="-10"/>
        </w:rPr>
      </w:pPr>
      <w:r w:rsidRPr="00C451C7">
        <w:rPr>
          <w:rFonts w:asciiTheme="minorHAnsi" w:hAnsiTheme="minorHAnsi" w:cstheme="minorHAnsi"/>
        </w:rPr>
        <w:t>European Medicines Agency. Disabling and potentially permanent side effects lead to suspension or restrictions of quinolone and fluoroquinolone antibiotics. 2019 (https://www.ema.europa.eu/en/medicines/ human/referrals/quinolone-fluoroquinolone-containing-medicinal-products, accessed 08 April 2019).</w:t>
      </w:r>
    </w:p>
    <w:p w:rsidR="005225B5" w:rsidRPr="00C451C7" w:rsidRDefault="005225B5" w:rsidP="006263CF">
      <w:pPr>
        <w:numPr>
          <w:ilvl w:val="0"/>
          <w:numId w:val="17"/>
        </w:numPr>
        <w:tabs>
          <w:tab w:val="left" w:pos="360"/>
        </w:tabs>
        <w:spacing w:before="82"/>
        <w:ind w:left="360" w:right="5" w:hanging="360"/>
        <w:jc w:val="both"/>
        <w:rPr>
          <w:rFonts w:asciiTheme="minorHAnsi" w:hAnsiTheme="minorHAnsi" w:cstheme="minorHAnsi"/>
          <w:spacing w:val="-10"/>
        </w:rPr>
      </w:pPr>
      <w:r w:rsidRPr="00C451C7">
        <w:rPr>
          <w:rFonts w:asciiTheme="minorHAnsi" w:hAnsiTheme="minorHAnsi" w:cstheme="minorHAnsi"/>
        </w:rPr>
        <w:t>FDA drug safety communication: FDA updates warnings for oral and injectable fluoroquinolone antibiotics due to disabling side effects [website]. Maryland: US Food and Drug Administration (FDA); 2018 (https:// www.fda.gov/Drugs/DrugSafety/ucm511530.htm, accessed 8 April 2020).</w:t>
      </w:r>
    </w:p>
    <w:p w:rsidR="005225B5" w:rsidRPr="00C451C7" w:rsidRDefault="005225B5" w:rsidP="006263CF">
      <w:pPr>
        <w:numPr>
          <w:ilvl w:val="0"/>
          <w:numId w:val="17"/>
        </w:numPr>
        <w:tabs>
          <w:tab w:val="left" w:pos="360"/>
        </w:tabs>
        <w:spacing w:before="82"/>
        <w:ind w:left="360" w:hanging="360"/>
        <w:jc w:val="both"/>
        <w:rPr>
          <w:rFonts w:asciiTheme="minorHAnsi" w:hAnsiTheme="minorHAnsi" w:cstheme="minorHAnsi"/>
          <w:spacing w:val="-12"/>
        </w:rPr>
      </w:pPr>
      <w:r w:rsidRPr="00C451C7">
        <w:rPr>
          <w:rFonts w:asciiTheme="minorHAnsi" w:hAnsiTheme="minorHAnsi" w:cstheme="minorHAnsi"/>
        </w:rPr>
        <w:t>Sirturo™ (bedaquiline 100 mg tablets) for the treatment of adults (≥ 18 years) as part of combination therapy of pulmonary multi-drug resistant tuberculosis (MDRTB) [website]. Maryland, United States of America: US Food and Drug Administration; 2012 (http://www.natap.org/2013/newsUpdates/20121128-AIDAC-B1–01-FDA_Backgrounder.pdf, accessed 20 March 2020).</w:t>
      </w:r>
    </w:p>
    <w:p w:rsidR="005225B5" w:rsidRPr="00C451C7" w:rsidRDefault="005225B5" w:rsidP="006263CF">
      <w:pPr>
        <w:numPr>
          <w:ilvl w:val="0"/>
          <w:numId w:val="17"/>
        </w:numPr>
        <w:tabs>
          <w:tab w:val="left" w:pos="360"/>
        </w:tabs>
        <w:spacing w:before="82"/>
        <w:ind w:left="360" w:right="5" w:hanging="360"/>
        <w:jc w:val="both"/>
        <w:rPr>
          <w:rFonts w:asciiTheme="minorHAnsi" w:hAnsiTheme="minorHAnsi" w:cstheme="minorHAnsi"/>
          <w:spacing w:val="-10"/>
        </w:rPr>
      </w:pPr>
      <w:r w:rsidRPr="00C451C7">
        <w:rPr>
          <w:rFonts w:asciiTheme="minorHAnsi" w:hAnsiTheme="minorHAnsi" w:cstheme="minorHAnsi"/>
        </w:rPr>
        <w:t>The use of bedaquiline in the treatment of multidrug-resistant tuberculosis. Interim policy guidance [WHO/HTM/TB/2013.6]. Geneva, Switzerland: World Health Organization; 2013 (https://www.who.int/tb/ challenges/mdr/bedaquiline/en/, accessed 03 March 2017).</w:t>
      </w:r>
    </w:p>
    <w:p w:rsidR="005225B5" w:rsidRPr="00C451C7" w:rsidRDefault="005225B5" w:rsidP="006263CF">
      <w:pPr>
        <w:numPr>
          <w:ilvl w:val="0"/>
          <w:numId w:val="17"/>
        </w:numPr>
        <w:tabs>
          <w:tab w:val="left" w:pos="360"/>
        </w:tabs>
        <w:spacing w:before="82"/>
        <w:ind w:left="360" w:hanging="360"/>
        <w:jc w:val="both"/>
        <w:rPr>
          <w:rFonts w:asciiTheme="minorHAnsi" w:hAnsiTheme="minorHAnsi" w:cstheme="minorHAnsi"/>
          <w:spacing w:val="-10"/>
        </w:rPr>
      </w:pPr>
      <w:r w:rsidRPr="00C451C7">
        <w:rPr>
          <w:rFonts w:asciiTheme="minorHAnsi" w:hAnsiTheme="minorHAnsi" w:cstheme="minorHAnsi"/>
        </w:rPr>
        <w:t>Schnippel K, Ndjeka N, Maartens G, Meintjes G, Master I, Ismail N et al. Effect of bedaquiline on mortality in South African patients with drug-resistant tuberculosis: a retrospective cohort study. Lancet Respir Med. 2018;6(9):699–706 (https://linkinghub.elsevier.com/retrieve/pii/S2213260018302352, accessed 03 January 2019).</w:t>
      </w:r>
    </w:p>
    <w:p w:rsidR="005225B5" w:rsidRPr="00C451C7" w:rsidRDefault="005225B5" w:rsidP="006263CF">
      <w:pPr>
        <w:numPr>
          <w:ilvl w:val="0"/>
          <w:numId w:val="17"/>
        </w:numPr>
        <w:tabs>
          <w:tab w:val="left" w:pos="360"/>
        </w:tabs>
        <w:spacing w:before="86"/>
        <w:ind w:left="360" w:right="5" w:hanging="360"/>
        <w:jc w:val="both"/>
        <w:rPr>
          <w:rFonts w:asciiTheme="minorHAnsi" w:hAnsiTheme="minorHAnsi" w:cstheme="minorHAnsi"/>
          <w:spacing w:val="-10"/>
        </w:rPr>
      </w:pPr>
      <w:r w:rsidRPr="00C451C7">
        <w:rPr>
          <w:rFonts w:asciiTheme="minorHAnsi" w:hAnsiTheme="minorHAnsi" w:cstheme="minorHAnsi"/>
        </w:rPr>
        <w:t>Kim CT, Kim T-O, Shin H-J, Ko YC, Hun Choe Y, Kim H-R et al. Bedaquiline and delamanid for the treatment of multidrug-resistant tuberculosis: a multicentre cohort study in Korea. Eur Respir J. 2018;51(3):1702467 (https://erj.ersjournals.com/content/51/3/1702467, accessed 11 June 2018).</w:t>
      </w:r>
    </w:p>
    <w:p w:rsidR="005225B5" w:rsidRPr="00C451C7" w:rsidRDefault="005225B5" w:rsidP="006263CF">
      <w:pPr>
        <w:numPr>
          <w:ilvl w:val="0"/>
          <w:numId w:val="17"/>
        </w:numPr>
        <w:tabs>
          <w:tab w:val="left" w:pos="360"/>
        </w:tabs>
        <w:spacing w:before="82"/>
        <w:ind w:left="360" w:hanging="360"/>
        <w:jc w:val="both"/>
        <w:rPr>
          <w:rFonts w:asciiTheme="minorHAnsi" w:hAnsiTheme="minorHAnsi" w:cstheme="minorHAnsi"/>
          <w:spacing w:val="-10"/>
        </w:rPr>
      </w:pPr>
      <w:r w:rsidRPr="00C451C7">
        <w:rPr>
          <w:rFonts w:asciiTheme="minorHAnsi" w:hAnsiTheme="minorHAnsi" w:cstheme="minorHAnsi"/>
        </w:rPr>
        <w:t>Pontali E, Sotgiu G, Tiberi S, D’Ambrosio L, Centis R, Migliori GB. Cardiac safety of bedaquiline: a systematic and critical analysis of the evidence. Eur Respir J. 2017;50(5):1801386 (https://www.ncbi.nlm.nih.gov/ pubmed/29146605, accessed 10 April 2020).</w:t>
      </w:r>
    </w:p>
    <w:p w:rsidR="005225B5" w:rsidRPr="00C451C7" w:rsidRDefault="005225B5" w:rsidP="006263CF">
      <w:pPr>
        <w:numPr>
          <w:ilvl w:val="0"/>
          <w:numId w:val="17"/>
        </w:numPr>
        <w:tabs>
          <w:tab w:val="left" w:pos="360"/>
        </w:tabs>
        <w:spacing w:before="82"/>
        <w:ind w:left="360" w:right="5" w:hanging="360"/>
        <w:jc w:val="both"/>
        <w:rPr>
          <w:rFonts w:asciiTheme="minorHAnsi" w:hAnsiTheme="minorHAnsi" w:cstheme="minorHAnsi"/>
          <w:spacing w:val="-10"/>
        </w:rPr>
      </w:pPr>
      <w:r w:rsidRPr="00C451C7">
        <w:rPr>
          <w:rFonts w:asciiTheme="minorHAnsi" w:hAnsiTheme="minorHAnsi" w:cstheme="minorHAnsi"/>
        </w:rPr>
        <w:t>Guglielmetti L, Jaspard M, Le Dû D, Lachâtre M, Marigot-Outtandy D, Bernard C et al. Long-term outcome and safety of prolonged bedaquiline treatment for multidrug-resistant tuberculosis. Eur Respir J. 2017;49(3):1601799 (https://erj.ersjournals.com/content/49/3/1601799, accessed 11 June 2018).</w:t>
      </w:r>
    </w:p>
    <w:p w:rsidR="005225B5" w:rsidRPr="00C451C7" w:rsidRDefault="005225B5" w:rsidP="006263CF">
      <w:pPr>
        <w:numPr>
          <w:ilvl w:val="0"/>
          <w:numId w:val="17"/>
        </w:numPr>
        <w:tabs>
          <w:tab w:val="left" w:pos="360"/>
        </w:tabs>
        <w:spacing w:before="82"/>
        <w:ind w:left="360" w:right="5" w:hanging="360"/>
        <w:jc w:val="both"/>
        <w:rPr>
          <w:rFonts w:asciiTheme="minorHAnsi" w:hAnsiTheme="minorHAnsi" w:cstheme="minorHAnsi"/>
          <w:spacing w:val="-10"/>
          <w:lang w:val="en-US"/>
        </w:rPr>
        <w:sectPr w:rsidR="005225B5" w:rsidRPr="00C451C7" w:rsidSect="00445738">
          <w:pgSz w:w="11904" w:h="16838"/>
          <w:pgMar w:top="1339" w:right="1411" w:bottom="48" w:left="1416" w:header="708" w:footer="708" w:gutter="0"/>
          <w:cols w:space="60"/>
          <w:noEndnote/>
        </w:sectPr>
      </w:pPr>
    </w:p>
    <w:p w:rsidR="005225B5" w:rsidRPr="00C451C7" w:rsidRDefault="005225B5" w:rsidP="006263CF">
      <w:pPr>
        <w:numPr>
          <w:ilvl w:val="0"/>
          <w:numId w:val="17"/>
        </w:numPr>
        <w:tabs>
          <w:tab w:val="left" w:pos="360"/>
        </w:tabs>
        <w:ind w:left="360" w:right="5" w:hanging="360"/>
        <w:jc w:val="both"/>
        <w:rPr>
          <w:rFonts w:asciiTheme="minorHAnsi" w:hAnsiTheme="minorHAnsi" w:cstheme="minorHAnsi"/>
          <w:spacing w:val="-10"/>
        </w:rPr>
      </w:pPr>
      <w:r w:rsidRPr="00C451C7">
        <w:rPr>
          <w:rFonts w:asciiTheme="minorHAnsi" w:hAnsiTheme="minorHAnsi" w:cstheme="minorHAnsi"/>
        </w:rPr>
        <w:lastRenderedPageBreak/>
        <w:t>Dooley KE, Rosenkranz S, Conradie F, Moran L, Hafner R, von Groote-Bidlingmaier F et al. QT effects of bedaquiline, delamanid or both in MDR-TB patients: the DELIBERTAE trial (DELamanId BEdaquiline for ResistAnt TubErculosis). Maryland, United States of America, Johns Hopkins University School of Medicine. 2019.</w:t>
      </w:r>
    </w:p>
    <w:p w:rsidR="005225B5" w:rsidRPr="00C451C7" w:rsidRDefault="005225B5" w:rsidP="006263CF">
      <w:pPr>
        <w:numPr>
          <w:ilvl w:val="0"/>
          <w:numId w:val="17"/>
        </w:numPr>
        <w:tabs>
          <w:tab w:val="left" w:pos="360"/>
        </w:tabs>
        <w:spacing w:before="82"/>
        <w:ind w:left="360" w:right="10" w:hanging="360"/>
        <w:jc w:val="both"/>
        <w:rPr>
          <w:rFonts w:asciiTheme="minorHAnsi" w:hAnsiTheme="minorHAnsi" w:cstheme="minorHAnsi"/>
          <w:spacing w:val="-10"/>
        </w:rPr>
      </w:pPr>
      <w:r w:rsidRPr="00C451C7">
        <w:rPr>
          <w:rFonts w:asciiTheme="minorHAnsi" w:hAnsiTheme="minorHAnsi" w:cstheme="minorHAnsi"/>
        </w:rPr>
        <w:t>Olayanju O EA, Limberis J, Dheda K. A regimen containing bedaquiline and delamanid compared to bedaquiline in patients with drug-resistant tuberculosis. Eur Respir J. 2020;55(1901181 ).</w:t>
      </w:r>
    </w:p>
    <w:p w:rsidR="005225B5" w:rsidRPr="00C451C7" w:rsidRDefault="005225B5" w:rsidP="006263CF">
      <w:pPr>
        <w:numPr>
          <w:ilvl w:val="0"/>
          <w:numId w:val="17"/>
        </w:numPr>
        <w:tabs>
          <w:tab w:val="left" w:pos="360"/>
        </w:tabs>
        <w:spacing w:before="82"/>
        <w:ind w:left="360" w:right="5" w:hanging="360"/>
        <w:jc w:val="both"/>
        <w:rPr>
          <w:rFonts w:asciiTheme="minorHAnsi" w:hAnsiTheme="minorHAnsi" w:cstheme="minorHAnsi"/>
          <w:spacing w:val="-10"/>
        </w:rPr>
      </w:pPr>
      <w:r w:rsidRPr="00C451C7">
        <w:rPr>
          <w:rFonts w:asciiTheme="minorHAnsi" w:hAnsiTheme="minorHAnsi" w:cstheme="minorHAnsi"/>
        </w:rPr>
        <w:t>Evaluating the safety, tolerability, and pharmacokinetics of bedaquiline and delamanid, alone and in combination, for drug-resistant pulmonary tuberculosis [website]. US National Library of Medicine; (https:// clinicaltrials.gov/ct2/show/study/NCT02583048, accessed 1 June 2020).</w:t>
      </w:r>
    </w:p>
    <w:p w:rsidR="005225B5" w:rsidRPr="00C451C7" w:rsidRDefault="005225B5" w:rsidP="006263CF">
      <w:pPr>
        <w:numPr>
          <w:ilvl w:val="0"/>
          <w:numId w:val="17"/>
        </w:numPr>
        <w:tabs>
          <w:tab w:val="left" w:pos="360"/>
        </w:tabs>
        <w:spacing w:before="82"/>
        <w:ind w:left="360" w:right="5" w:hanging="360"/>
        <w:jc w:val="both"/>
        <w:rPr>
          <w:rFonts w:asciiTheme="minorHAnsi" w:hAnsiTheme="minorHAnsi" w:cstheme="minorHAnsi"/>
          <w:spacing w:val="-10"/>
        </w:rPr>
      </w:pPr>
      <w:r w:rsidRPr="00C451C7">
        <w:rPr>
          <w:rFonts w:asciiTheme="minorHAnsi" w:hAnsiTheme="minorHAnsi" w:cstheme="minorHAnsi"/>
        </w:rPr>
        <w:t>Drug interactions [website]. Indiana, USA: Indiana University School of Medicine; (http://medicine.iupui. edu/clinpharm/ddis/, accessed 1 June 2020).</w:t>
      </w:r>
    </w:p>
    <w:p w:rsidR="005225B5" w:rsidRPr="00C451C7" w:rsidRDefault="005225B5" w:rsidP="006263CF">
      <w:pPr>
        <w:numPr>
          <w:ilvl w:val="0"/>
          <w:numId w:val="17"/>
        </w:numPr>
        <w:tabs>
          <w:tab w:val="left" w:pos="360"/>
        </w:tabs>
        <w:spacing w:before="82"/>
        <w:ind w:left="360" w:right="5" w:hanging="360"/>
        <w:jc w:val="both"/>
        <w:rPr>
          <w:rFonts w:asciiTheme="minorHAnsi" w:hAnsiTheme="minorHAnsi" w:cstheme="minorHAnsi"/>
          <w:spacing w:val="-10"/>
        </w:rPr>
      </w:pPr>
      <w:r w:rsidRPr="00C451C7">
        <w:rPr>
          <w:rFonts w:asciiTheme="minorHAnsi" w:hAnsiTheme="minorHAnsi" w:cstheme="minorHAnsi"/>
        </w:rPr>
        <w:t>endTB clinical and programmatic guide for patient management with new TB drugs. Version 4.0. endTB Consortium; 2018.</w:t>
      </w:r>
    </w:p>
    <w:p w:rsidR="005225B5" w:rsidRPr="00C451C7" w:rsidRDefault="005225B5" w:rsidP="006263CF">
      <w:pPr>
        <w:numPr>
          <w:ilvl w:val="0"/>
          <w:numId w:val="17"/>
        </w:numPr>
        <w:tabs>
          <w:tab w:val="left" w:pos="360"/>
        </w:tabs>
        <w:spacing w:before="86"/>
        <w:ind w:left="360" w:hanging="360"/>
        <w:jc w:val="both"/>
        <w:rPr>
          <w:rFonts w:asciiTheme="minorHAnsi" w:hAnsiTheme="minorHAnsi" w:cstheme="minorHAnsi"/>
          <w:spacing w:val="-10"/>
        </w:rPr>
      </w:pPr>
      <w:r w:rsidRPr="00C451C7">
        <w:rPr>
          <w:rFonts w:asciiTheme="minorHAnsi" w:hAnsiTheme="minorHAnsi" w:cstheme="minorHAnsi"/>
        </w:rPr>
        <w:t>HIV drug interactions [website]. Liverpool, United Kingdom: University of Liverpool; 2020 (https://www.hiv-druginteractions.org/checker, accessed 11 March 2020).</w:t>
      </w:r>
    </w:p>
    <w:p w:rsidR="005225B5" w:rsidRPr="00C451C7" w:rsidRDefault="005225B5" w:rsidP="006263CF">
      <w:pPr>
        <w:numPr>
          <w:ilvl w:val="0"/>
          <w:numId w:val="17"/>
        </w:numPr>
        <w:tabs>
          <w:tab w:val="left" w:pos="360"/>
        </w:tabs>
        <w:spacing w:before="82"/>
        <w:ind w:left="360" w:hanging="360"/>
        <w:jc w:val="both"/>
        <w:rPr>
          <w:rFonts w:asciiTheme="minorHAnsi" w:hAnsiTheme="minorHAnsi" w:cstheme="minorHAnsi"/>
          <w:spacing w:val="-10"/>
        </w:rPr>
      </w:pPr>
      <w:r w:rsidRPr="00C451C7">
        <w:rPr>
          <w:rFonts w:asciiTheme="minorHAnsi" w:hAnsiTheme="minorHAnsi" w:cstheme="minorHAnsi"/>
        </w:rPr>
        <w:t>Brüggemann RJ, Alffenaar J-WC, Blijlevens NM, Billaud EM, Kosterink JG, Verweij PE et al. Clinical relevance of the pharmacokinetic interactions of azole antifungal drugs with other coadministered agents. Clin Infect Dis. 2009;48(10):1441–58.</w:t>
      </w:r>
    </w:p>
    <w:p w:rsidR="005225B5" w:rsidRPr="00C451C7" w:rsidRDefault="005225B5" w:rsidP="006263CF">
      <w:pPr>
        <w:numPr>
          <w:ilvl w:val="0"/>
          <w:numId w:val="17"/>
        </w:numPr>
        <w:tabs>
          <w:tab w:val="left" w:pos="360"/>
        </w:tabs>
        <w:spacing w:before="82"/>
        <w:ind w:left="360" w:right="10" w:hanging="360"/>
        <w:jc w:val="both"/>
        <w:rPr>
          <w:rFonts w:asciiTheme="minorHAnsi" w:hAnsiTheme="minorHAnsi" w:cstheme="minorHAnsi"/>
          <w:spacing w:val="-12"/>
        </w:rPr>
      </w:pPr>
      <w:r w:rsidRPr="00C451C7">
        <w:rPr>
          <w:rFonts w:asciiTheme="minorHAnsi" w:hAnsiTheme="minorHAnsi" w:cstheme="minorHAnsi"/>
        </w:rPr>
        <w:t>Tang S, Ya o L, Hao X, Zhang X, Liu G, Liu X et al. Efficacy, safety and tolerability of linezolid for the treatment of XDR-TB: a study in China. Eur Respir J. 2015;45(1):161–70.</w:t>
      </w:r>
    </w:p>
    <w:p w:rsidR="005225B5" w:rsidRPr="00C451C7" w:rsidRDefault="005225B5" w:rsidP="006263CF">
      <w:pPr>
        <w:numPr>
          <w:ilvl w:val="0"/>
          <w:numId w:val="17"/>
        </w:numPr>
        <w:tabs>
          <w:tab w:val="left" w:pos="360"/>
        </w:tabs>
        <w:spacing w:before="82"/>
        <w:ind w:left="360" w:right="5" w:hanging="360"/>
        <w:jc w:val="both"/>
        <w:rPr>
          <w:rFonts w:asciiTheme="minorHAnsi" w:hAnsiTheme="minorHAnsi" w:cstheme="minorHAnsi"/>
          <w:spacing w:val="-10"/>
        </w:rPr>
      </w:pPr>
      <w:r w:rsidRPr="00C451C7">
        <w:rPr>
          <w:rFonts w:asciiTheme="minorHAnsi" w:hAnsiTheme="minorHAnsi" w:cstheme="minorHAnsi"/>
        </w:rPr>
        <w:t>Im JH, Baek JH, Kwon H Y, Lee J-S. Incidence and risk factors of linezolid-induced lactic acidosis. Int J Infect Dis. 2015;31:47–52 (https://linkinghub.elsevier.com/retrieve/pii/S1201971214017263, accessed 03 January 2019).</w:t>
      </w:r>
    </w:p>
    <w:p w:rsidR="005225B5" w:rsidRPr="00C451C7" w:rsidRDefault="005225B5" w:rsidP="006263CF">
      <w:pPr>
        <w:numPr>
          <w:ilvl w:val="0"/>
          <w:numId w:val="17"/>
        </w:numPr>
        <w:tabs>
          <w:tab w:val="left" w:pos="360"/>
        </w:tabs>
        <w:spacing w:before="82"/>
        <w:ind w:left="360" w:right="5" w:hanging="360"/>
        <w:jc w:val="both"/>
        <w:rPr>
          <w:rFonts w:asciiTheme="minorHAnsi" w:hAnsiTheme="minorHAnsi" w:cstheme="minorHAnsi"/>
          <w:spacing w:val="-10"/>
        </w:rPr>
      </w:pPr>
      <w:r w:rsidRPr="00C451C7">
        <w:rPr>
          <w:rFonts w:asciiTheme="minorHAnsi" w:hAnsiTheme="minorHAnsi" w:cstheme="minorHAnsi"/>
        </w:rPr>
        <w:t>Lee M, Lee J, Carroll MW, Choi H, Min S, Song T et al. Linezolid for treatment of chronic extensively drug-resistant tuberculosis. New Eng J Med. 2012;367(16):1508–18 (https://www.nejm.org/doi/full/10.1056/ NEJMoa1201964, accessed 20 November 2012).</w:t>
      </w:r>
    </w:p>
    <w:p w:rsidR="005225B5" w:rsidRPr="00C451C7" w:rsidRDefault="005225B5" w:rsidP="006263CF">
      <w:pPr>
        <w:numPr>
          <w:ilvl w:val="0"/>
          <w:numId w:val="17"/>
        </w:numPr>
        <w:tabs>
          <w:tab w:val="left" w:pos="360"/>
        </w:tabs>
        <w:spacing w:before="82"/>
        <w:ind w:left="360" w:right="5" w:hanging="360"/>
        <w:jc w:val="both"/>
        <w:rPr>
          <w:rFonts w:asciiTheme="minorHAnsi" w:hAnsiTheme="minorHAnsi" w:cstheme="minorHAnsi"/>
          <w:spacing w:val="-10"/>
        </w:rPr>
      </w:pPr>
      <w:r w:rsidRPr="00C451C7">
        <w:rPr>
          <w:rFonts w:asciiTheme="minorHAnsi" w:hAnsiTheme="minorHAnsi" w:cstheme="minorHAnsi"/>
        </w:rPr>
        <w:t>Mao Y, Dai D, Jin H, Wang Y. The risk factors of linezolid-induced lactic acidosis: a case report and review. Med. 2018;97(36):e12114 (https://insights.ovid.com/crossref?an=00005792–201809070–00037, accessed 03 January 2019).</w:t>
      </w:r>
    </w:p>
    <w:p w:rsidR="005225B5" w:rsidRPr="00C451C7" w:rsidRDefault="005225B5" w:rsidP="006263CF">
      <w:pPr>
        <w:numPr>
          <w:ilvl w:val="0"/>
          <w:numId w:val="17"/>
        </w:numPr>
        <w:tabs>
          <w:tab w:val="left" w:pos="360"/>
        </w:tabs>
        <w:spacing w:before="82"/>
        <w:ind w:left="360" w:right="5" w:hanging="360"/>
        <w:jc w:val="both"/>
        <w:rPr>
          <w:rFonts w:asciiTheme="minorHAnsi" w:hAnsiTheme="minorHAnsi" w:cstheme="minorHAnsi"/>
          <w:spacing w:val="-10"/>
        </w:rPr>
      </w:pPr>
      <w:r w:rsidRPr="00C451C7">
        <w:rPr>
          <w:rFonts w:asciiTheme="minorHAnsi" w:hAnsiTheme="minorHAnsi" w:cstheme="minorHAnsi"/>
        </w:rPr>
        <w:t>Technical report on the pharmacokinetics and pharmacodynamics (PK/PD) of medicines used in the treatment of drug-resistant tuberculosis. Geneva: World Health Organization; 2018 (https://apps.who.int/ iris/handle/10665/260440, accessed 1 June 2020).</w:t>
      </w:r>
    </w:p>
    <w:p w:rsidR="005225B5" w:rsidRPr="00C451C7" w:rsidRDefault="005225B5" w:rsidP="006263CF">
      <w:pPr>
        <w:numPr>
          <w:ilvl w:val="0"/>
          <w:numId w:val="17"/>
        </w:numPr>
        <w:tabs>
          <w:tab w:val="left" w:pos="360"/>
        </w:tabs>
        <w:spacing w:before="82"/>
        <w:ind w:left="360" w:right="5" w:hanging="360"/>
        <w:jc w:val="both"/>
        <w:rPr>
          <w:rFonts w:asciiTheme="minorHAnsi" w:hAnsiTheme="minorHAnsi" w:cstheme="minorHAnsi"/>
          <w:spacing w:val="-10"/>
        </w:rPr>
      </w:pPr>
      <w:r w:rsidRPr="00C451C7">
        <w:rPr>
          <w:rFonts w:asciiTheme="minorHAnsi" w:hAnsiTheme="minorHAnsi" w:cstheme="minorHAnsi"/>
        </w:rPr>
        <w:t>Diacon AH, De Jager VR, Dawson R, Narunsky K, Vanker N, Burger DA et al. Fourteen-day bactericidal activity, safety, and pharmacokinetics of linezolid in adults with drug-sensitive pulmonary tuberculosis. Antimicrob Agents Chemoth. 2020;64(4).</w:t>
      </w:r>
    </w:p>
    <w:p w:rsidR="005225B5" w:rsidRPr="00C451C7" w:rsidRDefault="005225B5" w:rsidP="006263CF">
      <w:pPr>
        <w:numPr>
          <w:ilvl w:val="0"/>
          <w:numId w:val="17"/>
        </w:numPr>
        <w:tabs>
          <w:tab w:val="left" w:pos="360"/>
        </w:tabs>
        <w:spacing w:before="82"/>
        <w:ind w:left="360" w:right="5" w:hanging="360"/>
        <w:jc w:val="both"/>
        <w:rPr>
          <w:rFonts w:asciiTheme="minorHAnsi" w:hAnsiTheme="minorHAnsi" w:cstheme="minorHAnsi"/>
          <w:spacing w:val="-10"/>
        </w:rPr>
      </w:pPr>
      <w:r w:rsidRPr="00C451C7">
        <w:rPr>
          <w:rFonts w:asciiTheme="minorHAnsi" w:hAnsiTheme="minorHAnsi" w:cstheme="minorHAnsi"/>
        </w:rPr>
        <w:t>Sotgiu G, Centis R, D’Ambrosio L, Alffenaar J-WC, Anger HA, Caminero JA et al. Efficacy, safety and tolerability of linezolid containing regimens in treating MDR-TB and XDR-TB: systematic review and meta-analysis. Eur Respir J. 2012;40(6):1430–42.</w:t>
      </w:r>
    </w:p>
    <w:p w:rsidR="005225B5" w:rsidRPr="00C451C7" w:rsidRDefault="005225B5" w:rsidP="006263CF">
      <w:pPr>
        <w:numPr>
          <w:ilvl w:val="0"/>
          <w:numId w:val="17"/>
        </w:numPr>
        <w:tabs>
          <w:tab w:val="left" w:pos="360"/>
        </w:tabs>
        <w:spacing w:before="77"/>
        <w:ind w:left="360" w:right="5" w:hanging="360"/>
        <w:jc w:val="both"/>
        <w:rPr>
          <w:rFonts w:asciiTheme="minorHAnsi" w:hAnsiTheme="minorHAnsi" w:cstheme="minorHAnsi"/>
          <w:spacing w:val="-10"/>
        </w:rPr>
      </w:pPr>
      <w:r w:rsidRPr="00C451C7">
        <w:rPr>
          <w:rFonts w:asciiTheme="minorHAnsi" w:hAnsiTheme="minorHAnsi" w:cstheme="minorHAnsi"/>
        </w:rPr>
        <w:t>Tiberi S, D’Ambrosio L, De Lorenzo S, Viggiani P, Centis R, Sotgiu G et al. Ertapenem in the treatment of multidrug-resistant tuberculosis: first clinical experience. Eur Respir J. 2016;47(1):333–6.</w:t>
      </w:r>
    </w:p>
    <w:p w:rsidR="005225B5" w:rsidRPr="00C451C7" w:rsidRDefault="005225B5" w:rsidP="006263CF">
      <w:pPr>
        <w:numPr>
          <w:ilvl w:val="0"/>
          <w:numId w:val="17"/>
        </w:numPr>
        <w:tabs>
          <w:tab w:val="left" w:pos="360"/>
        </w:tabs>
        <w:spacing w:before="82"/>
        <w:ind w:left="360" w:right="5" w:hanging="360"/>
        <w:jc w:val="both"/>
        <w:rPr>
          <w:rFonts w:asciiTheme="minorHAnsi" w:hAnsiTheme="minorHAnsi" w:cstheme="minorHAnsi"/>
          <w:spacing w:val="-10"/>
        </w:rPr>
      </w:pPr>
      <w:r w:rsidRPr="00C451C7">
        <w:rPr>
          <w:rFonts w:asciiTheme="minorHAnsi" w:hAnsiTheme="minorHAnsi" w:cstheme="minorHAnsi"/>
        </w:rPr>
        <w:t>Cannon J P, Lee TA, Clark NM, Setlak P, Grim SA. The risk of seizures among the carbapenems: a meta-analysis. J Antimicrob Chemother. 2014;69(8):2043–55 (https://academic.oup.com/jac/article-lookup/ doi/10.1093/jac/dku111, accessed 04 January 2019).</w:t>
      </w:r>
    </w:p>
    <w:p w:rsidR="005225B5" w:rsidRPr="00C451C7" w:rsidRDefault="005225B5" w:rsidP="006263CF">
      <w:pPr>
        <w:numPr>
          <w:ilvl w:val="0"/>
          <w:numId w:val="17"/>
        </w:numPr>
        <w:tabs>
          <w:tab w:val="left" w:pos="360"/>
        </w:tabs>
        <w:spacing w:before="82"/>
        <w:ind w:left="360" w:right="5" w:hanging="360"/>
        <w:jc w:val="both"/>
        <w:rPr>
          <w:rFonts w:asciiTheme="minorHAnsi" w:hAnsiTheme="minorHAnsi" w:cstheme="minorHAnsi"/>
          <w:spacing w:val="-10"/>
          <w:lang w:val="en-US"/>
        </w:rPr>
        <w:sectPr w:rsidR="005225B5" w:rsidRPr="00C451C7">
          <w:pgSz w:w="11904" w:h="16838"/>
          <w:pgMar w:top="1339" w:right="1411" w:bottom="2184" w:left="1416" w:header="708" w:footer="708" w:gutter="0"/>
          <w:cols w:space="60"/>
          <w:noEndnote/>
        </w:sectPr>
      </w:pPr>
    </w:p>
    <w:p w:rsidR="005225B5" w:rsidRPr="00C451C7" w:rsidRDefault="005225B5" w:rsidP="006263CF">
      <w:pPr>
        <w:numPr>
          <w:ilvl w:val="0"/>
          <w:numId w:val="17"/>
        </w:numPr>
        <w:tabs>
          <w:tab w:val="left" w:pos="360"/>
        </w:tabs>
        <w:ind w:left="360" w:right="14" w:hanging="360"/>
        <w:jc w:val="both"/>
        <w:rPr>
          <w:rFonts w:asciiTheme="minorHAnsi" w:hAnsiTheme="minorHAnsi" w:cstheme="minorHAnsi"/>
          <w:spacing w:val="-14"/>
        </w:rPr>
      </w:pPr>
      <w:r w:rsidRPr="00C451C7">
        <w:rPr>
          <w:rFonts w:asciiTheme="minorHAnsi" w:hAnsiTheme="minorHAnsi" w:cstheme="minorHAnsi"/>
        </w:rPr>
        <w:lastRenderedPageBreak/>
        <w:t>Chambers HF, Turner J, Schecter GF, Kawamura M, Hopewell PC. Imipenem for treatment of tuberculosis in mice and humans. Antimicrob Agents Chemother. 2005;49(7):2816–21 (https://aac.asm.org/content/49/7/2816, accessed 04 December 2018).</w:t>
      </w:r>
    </w:p>
    <w:p w:rsidR="005225B5" w:rsidRPr="00C451C7" w:rsidRDefault="005225B5" w:rsidP="006263CF">
      <w:pPr>
        <w:numPr>
          <w:ilvl w:val="0"/>
          <w:numId w:val="17"/>
        </w:numPr>
        <w:tabs>
          <w:tab w:val="left" w:pos="360"/>
        </w:tabs>
        <w:spacing w:before="82"/>
        <w:ind w:left="360" w:right="5" w:hanging="360"/>
        <w:jc w:val="both"/>
        <w:rPr>
          <w:rFonts w:asciiTheme="minorHAnsi" w:hAnsiTheme="minorHAnsi" w:cstheme="minorHAnsi"/>
          <w:spacing w:val="-12"/>
        </w:rPr>
      </w:pPr>
      <w:r w:rsidRPr="00C451C7">
        <w:rPr>
          <w:rFonts w:asciiTheme="minorHAnsi" w:hAnsiTheme="minorHAnsi" w:cstheme="minorHAnsi"/>
        </w:rPr>
        <w:t>Dooley KE, Obuku EA, Durakovic N, Belitsky V, Mitnick C, Nuermberger EL et al. World Health Organization Group 5 drugs for the treatment of drug-resistant tuberculosis: Unclear efficacy or untapped potential? J Infect Dis. 2013;207(9):1352–8 (https://academic.oup.com/jid/article-lookup/doi/10.1093/infdis/jis460, accessed 04 December 2018).</w:t>
      </w:r>
    </w:p>
    <w:p w:rsidR="005225B5" w:rsidRPr="00C451C7" w:rsidRDefault="005225B5" w:rsidP="006263CF">
      <w:pPr>
        <w:numPr>
          <w:ilvl w:val="0"/>
          <w:numId w:val="17"/>
        </w:numPr>
        <w:tabs>
          <w:tab w:val="left" w:pos="360"/>
        </w:tabs>
        <w:spacing w:before="82"/>
        <w:ind w:left="360" w:right="5" w:hanging="360"/>
        <w:jc w:val="both"/>
        <w:rPr>
          <w:rFonts w:asciiTheme="minorHAnsi" w:hAnsiTheme="minorHAnsi" w:cstheme="minorHAnsi"/>
          <w:spacing w:val="-10"/>
        </w:rPr>
      </w:pPr>
      <w:r w:rsidRPr="00C451C7">
        <w:rPr>
          <w:rFonts w:asciiTheme="minorHAnsi" w:hAnsiTheme="minorHAnsi" w:cstheme="minorHAnsi"/>
        </w:rPr>
        <w:t>Garges H P, Alexander KA. Pharmacology review: newer antibiotics: Imipenem/cilastatin and meropenem. NeoReviews. 2003;4(12):364e–8 (https://neoreviews.aappublications.org/content/4/12/e364, accessed 3 June 2020).</w:t>
      </w:r>
    </w:p>
    <w:p w:rsidR="005225B5" w:rsidRPr="00C451C7" w:rsidRDefault="005225B5" w:rsidP="006263CF">
      <w:pPr>
        <w:numPr>
          <w:ilvl w:val="0"/>
          <w:numId w:val="17"/>
        </w:numPr>
        <w:tabs>
          <w:tab w:val="left" w:pos="360"/>
        </w:tabs>
        <w:spacing w:before="82"/>
        <w:ind w:left="360" w:right="5" w:hanging="360"/>
        <w:jc w:val="both"/>
        <w:rPr>
          <w:rFonts w:asciiTheme="minorHAnsi" w:hAnsiTheme="minorHAnsi" w:cstheme="minorHAnsi"/>
          <w:spacing w:val="-12"/>
        </w:rPr>
      </w:pPr>
      <w:r w:rsidRPr="00C451C7">
        <w:rPr>
          <w:rFonts w:asciiTheme="minorHAnsi" w:hAnsiTheme="minorHAnsi" w:cstheme="minorHAnsi"/>
        </w:rPr>
        <w:t>Hornik C P, Herring AH, Benjamin DK, Capparelli E V, Kearns GL, van den Anker J et al. Adverse events associated with meropenem versus imipenem/cilastatin therapy in a large retrospective cohort of hospitalized infants. Pediatr Infect Dis J. 2013;32(7):748–53 (https://insights.ovid.com/article/00006454–201307000–00014, accessed 04 January 2019).</w:t>
      </w:r>
    </w:p>
    <w:p w:rsidR="005225B5" w:rsidRPr="00C451C7" w:rsidRDefault="005225B5" w:rsidP="006263CF">
      <w:pPr>
        <w:numPr>
          <w:ilvl w:val="0"/>
          <w:numId w:val="17"/>
        </w:numPr>
        <w:tabs>
          <w:tab w:val="left" w:pos="360"/>
        </w:tabs>
        <w:spacing w:before="82"/>
        <w:ind w:left="360" w:right="5" w:hanging="360"/>
        <w:jc w:val="both"/>
        <w:rPr>
          <w:rFonts w:asciiTheme="minorHAnsi" w:hAnsiTheme="minorHAnsi" w:cstheme="minorHAnsi"/>
          <w:spacing w:val="-10"/>
        </w:rPr>
      </w:pPr>
      <w:r w:rsidRPr="00C451C7">
        <w:rPr>
          <w:rFonts w:asciiTheme="minorHAnsi" w:hAnsiTheme="minorHAnsi" w:cstheme="minorHAnsi"/>
        </w:rPr>
        <w:t>Dauby N, Muylle I, Mouchet F, Sergysels R, Payen M-C. Meropenem/clavulanate and linezolid treatment for extensively drug-resistant tuberculosis. Pediatr Infect Dis J. 2011;30(9):812–3 (https://insights.ovid.com/ crossref?an=00006454–201109000–00026, accessed 04 December 2018).</w:t>
      </w:r>
    </w:p>
    <w:p w:rsidR="005225B5" w:rsidRPr="00C451C7" w:rsidRDefault="005225B5" w:rsidP="006263CF">
      <w:pPr>
        <w:numPr>
          <w:ilvl w:val="0"/>
          <w:numId w:val="17"/>
        </w:numPr>
        <w:tabs>
          <w:tab w:val="left" w:pos="360"/>
        </w:tabs>
        <w:spacing w:before="82"/>
        <w:ind w:left="360" w:right="5" w:hanging="360"/>
        <w:jc w:val="both"/>
        <w:rPr>
          <w:rFonts w:asciiTheme="minorHAnsi" w:hAnsiTheme="minorHAnsi" w:cstheme="minorHAnsi"/>
          <w:spacing w:val="-10"/>
        </w:rPr>
      </w:pPr>
      <w:r w:rsidRPr="00C451C7">
        <w:rPr>
          <w:rFonts w:asciiTheme="minorHAnsi" w:hAnsiTheme="minorHAnsi" w:cstheme="minorHAnsi"/>
        </w:rPr>
        <w:t>De Lorenzo S, Alffenaar JW, Sotgiu G, Centis R, D’Ambrosio L, Tiberi S et al. Efficacy and safety of meropenem-clavulanate added to linezolid-containing regimens in the treatment of MDR-/XDR-TB. Eur Respir J. 2013;41(6):1386–92.</w:t>
      </w:r>
    </w:p>
    <w:p w:rsidR="005225B5" w:rsidRPr="00C451C7" w:rsidRDefault="005225B5" w:rsidP="006263CF">
      <w:pPr>
        <w:numPr>
          <w:ilvl w:val="0"/>
          <w:numId w:val="17"/>
        </w:numPr>
        <w:tabs>
          <w:tab w:val="left" w:pos="360"/>
        </w:tabs>
        <w:spacing w:before="82"/>
        <w:ind w:left="360" w:right="5" w:hanging="360"/>
        <w:jc w:val="both"/>
        <w:rPr>
          <w:rFonts w:asciiTheme="minorHAnsi" w:hAnsiTheme="minorHAnsi" w:cstheme="minorHAnsi"/>
          <w:spacing w:val="-10"/>
        </w:rPr>
      </w:pPr>
      <w:r w:rsidRPr="00C451C7">
        <w:rPr>
          <w:rFonts w:asciiTheme="minorHAnsi" w:hAnsiTheme="minorHAnsi" w:cstheme="minorHAnsi"/>
        </w:rPr>
        <w:t>Payen MC MI, Vandenberg O, Mathys V, Delforge M, Van den Wijngaert S, Clumeck N, De Wit S. . Meropenem-clavulanate for drug-resistant tuberculosis: a follow-up of relapse-free cases. Int J Tuberc Lung Dis. 2018;1(22(1)):34–9.</w:t>
      </w:r>
    </w:p>
    <w:p w:rsidR="005225B5" w:rsidRPr="00C451C7" w:rsidRDefault="005225B5" w:rsidP="006263CF">
      <w:pPr>
        <w:numPr>
          <w:ilvl w:val="0"/>
          <w:numId w:val="17"/>
        </w:numPr>
        <w:tabs>
          <w:tab w:val="left" w:pos="360"/>
        </w:tabs>
        <w:spacing w:before="77"/>
        <w:ind w:left="360" w:right="5" w:hanging="360"/>
        <w:jc w:val="both"/>
        <w:rPr>
          <w:rFonts w:asciiTheme="minorHAnsi" w:hAnsiTheme="minorHAnsi" w:cstheme="minorHAnsi"/>
          <w:spacing w:val="-10"/>
        </w:rPr>
      </w:pPr>
      <w:r w:rsidRPr="00C451C7">
        <w:rPr>
          <w:rFonts w:asciiTheme="minorHAnsi" w:hAnsiTheme="minorHAnsi" w:cstheme="minorHAnsi"/>
        </w:rPr>
        <w:t>Kuaban C, Noeske J, Rieder HL, Aït-Khaled N, Abena Foe JL, Trébucq A. High effectiveness of a 12-month regimen for MDR-TB patients in Cameroon. Int J Tuberc Lung Dis. 2015;19(5):517–24.</w:t>
      </w:r>
    </w:p>
    <w:p w:rsidR="005225B5" w:rsidRPr="00C451C7" w:rsidRDefault="005225B5" w:rsidP="006263CF">
      <w:pPr>
        <w:numPr>
          <w:ilvl w:val="0"/>
          <w:numId w:val="17"/>
        </w:numPr>
        <w:tabs>
          <w:tab w:val="left" w:pos="360"/>
        </w:tabs>
        <w:spacing w:before="82"/>
        <w:ind w:left="360" w:right="5" w:hanging="360"/>
        <w:jc w:val="both"/>
        <w:rPr>
          <w:rFonts w:asciiTheme="minorHAnsi" w:hAnsiTheme="minorHAnsi" w:cstheme="minorHAnsi"/>
          <w:spacing w:val="-12"/>
        </w:rPr>
      </w:pPr>
      <w:r w:rsidRPr="00C451C7">
        <w:rPr>
          <w:rFonts w:asciiTheme="minorHAnsi" w:hAnsiTheme="minorHAnsi" w:cstheme="minorHAnsi"/>
        </w:rPr>
        <w:t>Information for healthcare professionals: gatifloxacin (marketed as Tequin) [website]. US Food and Drug Administration; 2006 (https://www.fda.gov/Drugs/DrugSafety/PostmarketDrugSafety</w:t>
      </w:r>
      <w:r w:rsidR="00C451C7" w:rsidRPr="00C451C7">
        <w:rPr>
          <w:rFonts w:asciiTheme="minorHAnsi" w:hAnsiTheme="minorHAnsi" w:cstheme="minorHAnsi"/>
        </w:rPr>
        <w:t xml:space="preserve"> </w:t>
      </w:r>
      <w:r w:rsidRPr="00C451C7">
        <w:rPr>
          <w:rFonts w:asciiTheme="minorHAnsi" w:hAnsiTheme="minorHAnsi" w:cstheme="minorHAnsi"/>
        </w:rPr>
        <w:t>InformationforPatientsandProviders/ucm107821.htm, accessed 20 March 2020).</w:t>
      </w:r>
    </w:p>
    <w:p w:rsidR="005225B5" w:rsidRPr="00C451C7" w:rsidRDefault="005225B5" w:rsidP="006263CF">
      <w:pPr>
        <w:numPr>
          <w:ilvl w:val="0"/>
          <w:numId w:val="17"/>
        </w:numPr>
        <w:tabs>
          <w:tab w:val="left" w:pos="360"/>
        </w:tabs>
        <w:spacing w:before="82"/>
        <w:ind w:left="360" w:right="5" w:hanging="360"/>
        <w:jc w:val="both"/>
        <w:rPr>
          <w:rFonts w:asciiTheme="minorHAnsi" w:hAnsiTheme="minorHAnsi" w:cstheme="minorHAnsi"/>
          <w:spacing w:val="-10"/>
        </w:rPr>
      </w:pPr>
      <w:r w:rsidRPr="00C451C7">
        <w:rPr>
          <w:rFonts w:asciiTheme="minorHAnsi" w:hAnsiTheme="minorHAnsi" w:cstheme="minorHAnsi"/>
        </w:rPr>
        <w:t>Trébucq A, Schwoebel V, Kashongwe Z, Bakayoko A, Kuaban C, Noeske J et al. Treatment outcome with a short multidrug-resistant tuberculosis regimen in nine African countries. Int J Tuberc Lung Dis. 2018;22(1):17–25.</w:t>
      </w:r>
    </w:p>
    <w:p w:rsidR="005225B5" w:rsidRPr="00C451C7" w:rsidRDefault="005225B5" w:rsidP="006263CF">
      <w:pPr>
        <w:numPr>
          <w:ilvl w:val="0"/>
          <w:numId w:val="17"/>
        </w:numPr>
        <w:tabs>
          <w:tab w:val="left" w:pos="360"/>
        </w:tabs>
        <w:spacing w:before="82"/>
        <w:ind w:left="360" w:right="5" w:hanging="360"/>
        <w:jc w:val="both"/>
        <w:rPr>
          <w:rFonts w:asciiTheme="minorHAnsi" w:hAnsiTheme="minorHAnsi" w:cstheme="minorHAnsi"/>
          <w:spacing w:val="-12"/>
        </w:rPr>
      </w:pPr>
      <w:r w:rsidRPr="00C451C7">
        <w:rPr>
          <w:rFonts w:asciiTheme="minorHAnsi" w:hAnsiTheme="minorHAnsi" w:cstheme="minorHAnsi"/>
        </w:rPr>
        <w:t>Harausz E P, Garcia-Prats A J, Law S, Schaaf HS, Kredo T, Seddon JA et al. Treatment and outcomes in children with multidrug-resistant tuberculosis: a systematic review and individual patient data meta-analysis. PLOS Med. 2018;15(7):e1002591.</w:t>
      </w:r>
    </w:p>
    <w:p w:rsidR="005225B5" w:rsidRPr="00C451C7" w:rsidRDefault="005225B5" w:rsidP="006263CF">
      <w:pPr>
        <w:numPr>
          <w:ilvl w:val="0"/>
          <w:numId w:val="17"/>
        </w:numPr>
        <w:tabs>
          <w:tab w:val="left" w:pos="360"/>
        </w:tabs>
        <w:spacing w:before="82"/>
        <w:ind w:left="360" w:right="14" w:hanging="360"/>
        <w:jc w:val="both"/>
        <w:rPr>
          <w:rFonts w:asciiTheme="minorHAnsi" w:hAnsiTheme="minorHAnsi" w:cstheme="minorHAnsi"/>
          <w:spacing w:val="-12"/>
        </w:rPr>
      </w:pPr>
      <w:r w:rsidRPr="00C451C7">
        <w:rPr>
          <w:rFonts w:asciiTheme="minorHAnsi" w:hAnsiTheme="minorHAnsi" w:cstheme="minorHAnsi"/>
        </w:rPr>
        <w:t>Katiyar SK, Bihari S, Prakash S, Mamtani M, Kulkarni H. A randomised controlled trial of high-dose isoniazid adjuvant therapy for multidrug-resistant tuberculosis. Int J Tuberc Lung Dis. 2008;12(2):139–45.</w:t>
      </w:r>
    </w:p>
    <w:p w:rsidR="005225B5" w:rsidRPr="00C451C7" w:rsidRDefault="005225B5" w:rsidP="006263CF">
      <w:pPr>
        <w:numPr>
          <w:ilvl w:val="0"/>
          <w:numId w:val="17"/>
        </w:numPr>
        <w:tabs>
          <w:tab w:val="left" w:pos="360"/>
        </w:tabs>
        <w:spacing w:before="82"/>
        <w:ind w:left="360" w:hanging="360"/>
        <w:jc w:val="both"/>
        <w:rPr>
          <w:rFonts w:asciiTheme="minorHAnsi" w:hAnsiTheme="minorHAnsi" w:cstheme="minorHAnsi"/>
          <w:spacing w:val="-10"/>
        </w:rPr>
      </w:pPr>
      <w:r w:rsidRPr="00C451C7">
        <w:rPr>
          <w:rFonts w:asciiTheme="minorHAnsi" w:hAnsiTheme="minorHAnsi" w:cstheme="minorHAnsi"/>
        </w:rPr>
        <w:t>High-dose isoniazid among adult patients with different genetic variants of INH-resistant tuberculosis (TB). South Africa: Aids Clinical Trials Group;(https://clinicaltrials.gov/ct2/show/NCT01936831, accessed 6 April 2020).</w:t>
      </w:r>
    </w:p>
    <w:p w:rsidR="005225B5" w:rsidRPr="00C451C7" w:rsidRDefault="005225B5" w:rsidP="006263CF">
      <w:pPr>
        <w:numPr>
          <w:ilvl w:val="0"/>
          <w:numId w:val="17"/>
        </w:numPr>
        <w:tabs>
          <w:tab w:val="left" w:pos="360"/>
        </w:tabs>
        <w:spacing w:before="82"/>
        <w:ind w:left="360" w:right="5" w:hanging="360"/>
        <w:jc w:val="both"/>
        <w:rPr>
          <w:rFonts w:asciiTheme="minorHAnsi" w:hAnsiTheme="minorHAnsi" w:cstheme="minorHAnsi"/>
          <w:spacing w:val="-10"/>
        </w:rPr>
      </w:pPr>
      <w:r w:rsidRPr="00C451C7">
        <w:rPr>
          <w:rFonts w:asciiTheme="minorHAnsi" w:hAnsiTheme="minorHAnsi" w:cstheme="minorHAnsi"/>
        </w:rPr>
        <w:t>Lan Z, Ahmad N, Baghaei P, Barkane L, Benedetti A, Brode SK et al. Drug-associated adverse events in the treatment of multidrug-resistant tuberculosis: an individual patient data meta-analysis. Lancet Respir Med. 2020.</w:t>
      </w:r>
    </w:p>
    <w:p w:rsidR="005225B5" w:rsidRPr="00C451C7" w:rsidRDefault="005225B5" w:rsidP="006263CF">
      <w:pPr>
        <w:numPr>
          <w:ilvl w:val="0"/>
          <w:numId w:val="17"/>
        </w:numPr>
        <w:tabs>
          <w:tab w:val="left" w:pos="360"/>
        </w:tabs>
        <w:spacing w:before="82"/>
        <w:ind w:left="360" w:right="14" w:hanging="360"/>
        <w:jc w:val="both"/>
        <w:rPr>
          <w:rFonts w:asciiTheme="minorHAnsi" w:hAnsiTheme="minorHAnsi" w:cstheme="minorHAnsi"/>
          <w:spacing w:val="-12"/>
        </w:rPr>
      </w:pPr>
      <w:r w:rsidRPr="00C451C7">
        <w:rPr>
          <w:rFonts w:asciiTheme="minorHAnsi" w:hAnsiTheme="minorHAnsi" w:cstheme="minorHAnsi"/>
        </w:rPr>
        <w:t>Falzon D, Gandhi N, Migliori GB, Sotgiu G, Cox H, Holtz TH et al. Resistance to fluoroquinolones and second-line injectable drugs: impact on MDR-TB outcomes. Eur Respir J. 2013;42(1):156–68.</w:t>
      </w:r>
    </w:p>
    <w:p w:rsidR="005225B5" w:rsidRPr="00C451C7" w:rsidRDefault="005225B5" w:rsidP="006263CF">
      <w:pPr>
        <w:numPr>
          <w:ilvl w:val="0"/>
          <w:numId w:val="17"/>
        </w:numPr>
        <w:tabs>
          <w:tab w:val="left" w:pos="360"/>
        </w:tabs>
        <w:spacing w:before="82"/>
        <w:ind w:left="360" w:right="14" w:hanging="360"/>
        <w:jc w:val="both"/>
        <w:rPr>
          <w:rFonts w:asciiTheme="minorHAnsi" w:hAnsiTheme="minorHAnsi" w:cstheme="minorHAnsi"/>
          <w:spacing w:val="-12"/>
          <w:lang w:val="en-US"/>
        </w:rPr>
        <w:sectPr w:rsidR="005225B5" w:rsidRPr="00C451C7">
          <w:pgSz w:w="11904" w:h="16838"/>
          <w:pgMar w:top="1339" w:right="1411" w:bottom="1987" w:left="1416" w:header="708" w:footer="708" w:gutter="0"/>
          <w:cols w:space="60"/>
          <w:noEndnote/>
        </w:sectPr>
      </w:pPr>
    </w:p>
    <w:p w:rsidR="005225B5" w:rsidRPr="00C451C7" w:rsidRDefault="005225B5" w:rsidP="006263CF">
      <w:pPr>
        <w:numPr>
          <w:ilvl w:val="0"/>
          <w:numId w:val="17"/>
        </w:numPr>
        <w:tabs>
          <w:tab w:val="left" w:pos="360"/>
        </w:tabs>
        <w:ind w:left="360" w:right="5" w:hanging="360"/>
        <w:jc w:val="both"/>
        <w:rPr>
          <w:rFonts w:asciiTheme="minorHAnsi" w:hAnsiTheme="minorHAnsi" w:cstheme="minorHAnsi"/>
          <w:spacing w:val="-12"/>
        </w:rPr>
      </w:pPr>
      <w:r w:rsidRPr="00C451C7">
        <w:rPr>
          <w:rFonts w:asciiTheme="minorHAnsi" w:hAnsiTheme="minorHAnsi" w:cstheme="minorHAnsi"/>
        </w:rPr>
        <w:lastRenderedPageBreak/>
        <w:t>Jacobson KR, Tierney DB, Jeon C Y, Mitnick CD, Murray MB. Treatment outcomes among patients with extensively drug-resistant tuberculosis: systematic review and meta-analysis. Clin Infect Dis. 2010;51(1):6– 14 (https://www.ncbi.nlm.nih.gov/pubmed/20504231, accessed 10 April 2020).</w:t>
      </w:r>
    </w:p>
    <w:p w:rsidR="005225B5" w:rsidRPr="00C451C7" w:rsidRDefault="005225B5" w:rsidP="006263CF">
      <w:pPr>
        <w:numPr>
          <w:ilvl w:val="0"/>
          <w:numId w:val="17"/>
        </w:numPr>
        <w:tabs>
          <w:tab w:val="left" w:pos="360"/>
        </w:tabs>
        <w:spacing w:before="82"/>
        <w:ind w:left="360" w:hanging="360"/>
        <w:jc w:val="both"/>
        <w:rPr>
          <w:rFonts w:asciiTheme="minorHAnsi" w:hAnsiTheme="minorHAnsi" w:cstheme="minorHAnsi"/>
          <w:spacing w:val="-12"/>
        </w:rPr>
      </w:pPr>
      <w:r w:rsidRPr="00C451C7">
        <w:rPr>
          <w:rFonts w:asciiTheme="minorHAnsi" w:hAnsiTheme="minorHAnsi" w:cstheme="minorHAnsi"/>
        </w:rPr>
        <w:t>Gandhi NR, Moll A, Sturm AW, Pawinski R, Govender T, Lalloo U et al. Extensively drug-resistant tuberculosis as a cause of death in patients co-infected with tuberculosis and HIV in a rural area of South Africa. Lancet. 2006;368(9547):1575–80 (https://www.ncbi.nlm.nih.gov/pubmed/17084757, accessed 10 April 2020).</w:t>
      </w:r>
    </w:p>
    <w:p w:rsidR="005225B5" w:rsidRPr="00C451C7" w:rsidRDefault="005225B5" w:rsidP="006263CF">
      <w:pPr>
        <w:numPr>
          <w:ilvl w:val="0"/>
          <w:numId w:val="17"/>
        </w:numPr>
        <w:tabs>
          <w:tab w:val="left" w:pos="360"/>
        </w:tabs>
        <w:spacing w:before="82"/>
        <w:ind w:left="360" w:right="5" w:hanging="360"/>
        <w:jc w:val="both"/>
        <w:rPr>
          <w:rFonts w:asciiTheme="minorHAnsi" w:hAnsiTheme="minorHAnsi" w:cstheme="minorHAnsi"/>
          <w:spacing w:val="-10"/>
        </w:rPr>
      </w:pPr>
      <w:r w:rsidRPr="00C451C7">
        <w:rPr>
          <w:rFonts w:asciiTheme="minorHAnsi" w:hAnsiTheme="minorHAnsi" w:cstheme="minorHAnsi"/>
        </w:rPr>
        <w:t>Leung ECC, Leung CC, Kam KM, Yew WW, Chang KC, Leung WM et al. Transmission of multidrug-resistant and extensively drug-resistant tuberculosis in a metropolitan city. Eur Respir J. 2013;41(4):901–8 (https:// erj.ersjournals.com/content/41/4/901, accessed 30 March 2017).</w:t>
      </w:r>
    </w:p>
    <w:p w:rsidR="005225B5" w:rsidRPr="00C451C7" w:rsidRDefault="005225B5" w:rsidP="006263CF">
      <w:pPr>
        <w:numPr>
          <w:ilvl w:val="0"/>
          <w:numId w:val="17"/>
        </w:numPr>
        <w:tabs>
          <w:tab w:val="left" w:pos="360"/>
        </w:tabs>
        <w:spacing w:before="82"/>
        <w:ind w:left="360" w:right="5" w:hanging="360"/>
        <w:jc w:val="both"/>
        <w:rPr>
          <w:rFonts w:asciiTheme="minorHAnsi" w:hAnsiTheme="minorHAnsi" w:cstheme="minorHAnsi"/>
          <w:spacing w:val="-12"/>
        </w:rPr>
      </w:pPr>
      <w:r w:rsidRPr="00C451C7">
        <w:rPr>
          <w:rFonts w:asciiTheme="minorHAnsi" w:hAnsiTheme="minorHAnsi" w:cstheme="minorHAnsi"/>
        </w:rPr>
        <w:t>Shah NS, Auld SC, Brust JCM, Mathema B, Ismail N, Moodley P et al. Transmission of extensively drug-resistant tuberculosis in South Africa. New Eng J Med. 2017;376(3):243–53 (https://www.nejm.org/doi/10.1056/ NEJMoa1604544, accessed 30 March 2017).</w:t>
      </w:r>
    </w:p>
    <w:p w:rsidR="005225B5" w:rsidRPr="00C451C7" w:rsidRDefault="005225B5" w:rsidP="006263CF">
      <w:pPr>
        <w:numPr>
          <w:ilvl w:val="0"/>
          <w:numId w:val="17"/>
        </w:numPr>
        <w:tabs>
          <w:tab w:val="left" w:pos="360"/>
        </w:tabs>
        <w:spacing w:before="82"/>
        <w:ind w:left="360" w:right="5" w:hanging="360"/>
        <w:jc w:val="both"/>
        <w:rPr>
          <w:rFonts w:asciiTheme="minorHAnsi" w:hAnsiTheme="minorHAnsi" w:cstheme="minorHAnsi"/>
          <w:spacing w:val="-10"/>
        </w:rPr>
      </w:pPr>
      <w:r w:rsidRPr="00C451C7">
        <w:rPr>
          <w:rFonts w:asciiTheme="minorHAnsi" w:hAnsiTheme="minorHAnsi" w:cstheme="minorHAnsi"/>
        </w:rPr>
        <w:t>Maryandyshev A, Pontali E, Tiberi S, Akkerman O, Ganatra S, Sadutshang TD et al. Bedaquiline and delamanid combination treatment of 5 patients with pulmonary extensively drug-resistant tuberculosis. Emerg Infect Dis. 2017;23(10):1718–21 (https://wwwnc.cdc.gov/eid/article/23/10/17–0834_article, accessed 11 June 2018).</w:t>
      </w:r>
    </w:p>
    <w:p w:rsidR="005225B5" w:rsidRPr="00C451C7" w:rsidRDefault="005225B5" w:rsidP="006263CF">
      <w:pPr>
        <w:numPr>
          <w:ilvl w:val="0"/>
          <w:numId w:val="17"/>
        </w:numPr>
        <w:tabs>
          <w:tab w:val="left" w:pos="360"/>
        </w:tabs>
        <w:spacing w:before="86"/>
        <w:ind w:left="360" w:right="5" w:hanging="360"/>
        <w:jc w:val="both"/>
        <w:rPr>
          <w:rFonts w:asciiTheme="minorHAnsi" w:hAnsiTheme="minorHAnsi" w:cstheme="minorHAnsi"/>
          <w:spacing w:val="-10"/>
        </w:rPr>
      </w:pPr>
      <w:r w:rsidRPr="00C451C7">
        <w:rPr>
          <w:rFonts w:asciiTheme="minorHAnsi" w:hAnsiTheme="minorHAnsi" w:cstheme="minorHAnsi"/>
        </w:rPr>
        <w:t>Migliori G, Pontali E, Sotgiu G, Centis R, D’Ambrosio L, Tiberi S et al. Combined use of delamanid and bedaquiline to treat multidrug-resistant and extensively drug-resistant tuberculosis: a systematic review. Int J Mol Sci. 2017;18(2):341 (https://www.mdpi.com/1422–0067/18/2/341, accessed 11 August 2017).</w:t>
      </w:r>
    </w:p>
    <w:p w:rsidR="005225B5" w:rsidRPr="00C451C7" w:rsidRDefault="005225B5" w:rsidP="006263CF">
      <w:pPr>
        <w:numPr>
          <w:ilvl w:val="0"/>
          <w:numId w:val="17"/>
        </w:numPr>
        <w:tabs>
          <w:tab w:val="left" w:pos="360"/>
        </w:tabs>
        <w:spacing w:before="82"/>
        <w:ind w:left="360" w:right="5" w:hanging="360"/>
        <w:jc w:val="both"/>
        <w:rPr>
          <w:rFonts w:asciiTheme="minorHAnsi" w:hAnsiTheme="minorHAnsi" w:cstheme="minorHAnsi"/>
          <w:spacing w:val="-12"/>
        </w:rPr>
      </w:pPr>
      <w:r w:rsidRPr="00C451C7">
        <w:rPr>
          <w:rFonts w:asciiTheme="minorHAnsi" w:hAnsiTheme="minorHAnsi" w:cstheme="minorHAnsi"/>
        </w:rPr>
        <w:t>Ferlazzo G, Mohr E, Laxmeshwar C, Hewison C, Hughes J, Jonckheere S et al. Early safety and efficacy of the combination of bedaquiline and delamanid for the treatment of patients with drug-resistant tuberculosis in Armenia, India, and South Africa: a retrospective cohort study. Lancet Infect Dis. 2018;18(5):536–44.</w:t>
      </w:r>
    </w:p>
    <w:p w:rsidR="005225B5" w:rsidRPr="00C451C7" w:rsidRDefault="005225B5" w:rsidP="006263CF">
      <w:pPr>
        <w:numPr>
          <w:ilvl w:val="0"/>
          <w:numId w:val="17"/>
        </w:numPr>
        <w:tabs>
          <w:tab w:val="left" w:pos="360"/>
        </w:tabs>
        <w:spacing w:before="82"/>
        <w:ind w:left="360" w:right="10" w:hanging="360"/>
        <w:jc w:val="both"/>
        <w:rPr>
          <w:rFonts w:asciiTheme="minorHAnsi" w:hAnsiTheme="minorHAnsi" w:cstheme="minorHAnsi"/>
          <w:spacing w:val="-10"/>
        </w:rPr>
      </w:pPr>
      <w:r w:rsidRPr="00C451C7">
        <w:rPr>
          <w:rFonts w:asciiTheme="minorHAnsi" w:hAnsiTheme="minorHAnsi" w:cstheme="minorHAnsi"/>
        </w:rPr>
        <w:t>Donald PR. The chemotherapy of tuberculous meningitis in children and adults. Tuberculosis. 2010;90(6):375–92.</w:t>
      </w:r>
    </w:p>
    <w:p w:rsidR="005225B5" w:rsidRPr="00C451C7" w:rsidRDefault="005225B5" w:rsidP="006263CF">
      <w:pPr>
        <w:numPr>
          <w:ilvl w:val="0"/>
          <w:numId w:val="17"/>
        </w:numPr>
        <w:tabs>
          <w:tab w:val="left" w:pos="360"/>
        </w:tabs>
        <w:spacing w:before="77"/>
        <w:ind w:left="360" w:right="10" w:hanging="360"/>
        <w:jc w:val="both"/>
        <w:rPr>
          <w:rFonts w:asciiTheme="minorHAnsi" w:hAnsiTheme="minorHAnsi" w:cstheme="minorHAnsi"/>
          <w:spacing w:val="-12"/>
        </w:rPr>
      </w:pPr>
      <w:r w:rsidRPr="00C451C7">
        <w:rPr>
          <w:rFonts w:asciiTheme="minorHAnsi" w:hAnsiTheme="minorHAnsi" w:cstheme="minorHAnsi"/>
        </w:rPr>
        <w:t>Sun F, Ruan Q, Wang J, Chen S, Jin J, Shao L et al. Linezolid manifests a rapid and dramatic therapeutic effect for patients with life-threatening tuberculous meningitis. Antimicrob Agents Chemother. 2014;58(10):6297–301.</w:t>
      </w:r>
    </w:p>
    <w:p w:rsidR="005225B5" w:rsidRPr="00C451C7" w:rsidRDefault="005225B5" w:rsidP="006263CF">
      <w:pPr>
        <w:numPr>
          <w:ilvl w:val="0"/>
          <w:numId w:val="17"/>
        </w:numPr>
        <w:tabs>
          <w:tab w:val="left" w:pos="360"/>
        </w:tabs>
        <w:spacing w:before="82"/>
        <w:ind w:left="360" w:right="5" w:hanging="360"/>
        <w:jc w:val="both"/>
        <w:rPr>
          <w:rFonts w:asciiTheme="minorHAnsi" w:hAnsiTheme="minorHAnsi" w:cstheme="minorHAnsi"/>
          <w:spacing w:val="-12"/>
        </w:rPr>
      </w:pPr>
      <w:r w:rsidRPr="00C451C7">
        <w:rPr>
          <w:rFonts w:asciiTheme="minorHAnsi" w:hAnsiTheme="minorHAnsi" w:cstheme="minorHAnsi"/>
        </w:rPr>
        <w:t>Thwaites GE, Bhavnani SM, Chau TTH, Hammel J P, Torok ME, Van Wart SA et al. Randomized pharmacokinetic and pharmacodynamic comparison of fluoroquinolones for tuberculous meningitis. Antimicrob Agents Chemother. 2011;55(7):3244–53 (https://www.ncbi.nlm.nih.gov/pmc/articles/PMC3122453/, accessed 10 April 2020).</w:t>
      </w:r>
    </w:p>
    <w:p w:rsidR="005225B5" w:rsidRPr="00C451C7" w:rsidRDefault="005225B5" w:rsidP="006263CF">
      <w:pPr>
        <w:numPr>
          <w:ilvl w:val="0"/>
          <w:numId w:val="17"/>
        </w:numPr>
        <w:tabs>
          <w:tab w:val="left" w:pos="360"/>
        </w:tabs>
        <w:spacing w:before="82"/>
        <w:ind w:left="360" w:right="10" w:hanging="360"/>
        <w:jc w:val="both"/>
        <w:rPr>
          <w:rFonts w:asciiTheme="minorHAnsi" w:hAnsiTheme="minorHAnsi" w:cstheme="minorHAnsi"/>
          <w:spacing w:val="-12"/>
        </w:rPr>
      </w:pPr>
      <w:r w:rsidRPr="00C451C7">
        <w:rPr>
          <w:rFonts w:asciiTheme="minorHAnsi" w:hAnsiTheme="minorHAnsi" w:cstheme="minorHAnsi"/>
        </w:rPr>
        <w:t>Curry International Tuberculosis Center, California Department of Public Health. Drug-resistant tuberculosis: a survival guide for clinicians. California: University of California San Francisco; 2016 (https://www.currytbcenter. ucsf.edu/products/view/drug-resistant-tuberculosis-survival-guide-clinicians-3rd-edition, accessed 10 April 2020).</w:t>
      </w:r>
    </w:p>
    <w:p w:rsidR="005225B5" w:rsidRPr="00C451C7" w:rsidRDefault="005225B5" w:rsidP="006263CF">
      <w:pPr>
        <w:numPr>
          <w:ilvl w:val="0"/>
          <w:numId w:val="17"/>
        </w:numPr>
        <w:tabs>
          <w:tab w:val="left" w:pos="360"/>
        </w:tabs>
        <w:spacing w:before="48"/>
        <w:ind w:left="360" w:right="5" w:hanging="360"/>
        <w:jc w:val="both"/>
        <w:rPr>
          <w:rFonts w:asciiTheme="minorHAnsi" w:hAnsiTheme="minorHAnsi" w:cstheme="minorHAnsi"/>
          <w:spacing w:val="-12"/>
        </w:rPr>
      </w:pPr>
      <w:r w:rsidRPr="00C451C7">
        <w:rPr>
          <w:rFonts w:asciiTheme="minorHAnsi" w:hAnsiTheme="minorHAnsi" w:cstheme="minorHAnsi"/>
        </w:rPr>
        <w:t xml:space="preserve">Daley CL. </w:t>
      </w:r>
      <w:r w:rsidRPr="00C451C7">
        <w:rPr>
          <w:rFonts w:asciiTheme="minorHAnsi" w:hAnsiTheme="minorHAnsi" w:cstheme="minorHAnsi"/>
          <w:i/>
          <w:iCs/>
        </w:rPr>
        <w:t xml:space="preserve">Mycobacterium tuberculosis </w:t>
      </w:r>
      <w:r w:rsidRPr="00C451C7">
        <w:rPr>
          <w:rFonts w:asciiTheme="minorHAnsi" w:hAnsiTheme="minorHAnsi" w:cstheme="minorHAnsi"/>
        </w:rPr>
        <w:t>complex. In: Yu V, Merigan TJ &amp; Barriere S (eds.), Antimicrobial Therapy and Vaccines, Williams &amp; Wilkins. 1999:531–6.</w:t>
      </w:r>
    </w:p>
    <w:p w:rsidR="005225B5" w:rsidRPr="00C451C7" w:rsidRDefault="005225B5" w:rsidP="006263CF">
      <w:pPr>
        <w:numPr>
          <w:ilvl w:val="0"/>
          <w:numId w:val="17"/>
        </w:numPr>
        <w:tabs>
          <w:tab w:val="left" w:pos="360"/>
        </w:tabs>
        <w:spacing w:before="77"/>
        <w:ind w:left="360" w:right="5" w:hanging="360"/>
        <w:jc w:val="both"/>
        <w:rPr>
          <w:rFonts w:asciiTheme="minorHAnsi" w:hAnsiTheme="minorHAnsi" w:cstheme="minorHAnsi"/>
          <w:spacing w:val="-12"/>
        </w:rPr>
      </w:pPr>
      <w:r w:rsidRPr="00C451C7">
        <w:rPr>
          <w:rFonts w:asciiTheme="minorHAnsi" w:hAnsiTheme="minorHAnsi" w:cstheme="minorHAnsi"/>
        </w:rPr>
        <w:t>Holdiness MR. Cerebrospinal fluid pharmacokinetics of the antituberculosis drugs. Clin Pharmacokinet. 1985;10(6):532–4.</w:t>
      </w:r>
    </w:p>
    <w:p w:rsidR="005225B5" w:rsidRPr="00C451C7" w:rsidRDefault="005225B5" w:rsidP="006263CF">
      <w:pPr>
        <w:numPr>
          <w:ilvl w:val="0"/>
          <w:numId w:val="17"/>
        </w:numPr>
        <w:tabs>
          <w:tab w:val="left" w:pos="360"/>
        </w:tabs>
        <w:spacing w:before="82"/>
        <w:ind w:left="360" w:right="5" w:hanging="360"/>
        <w:jc w:val="both"/>
        <w:rPr>
          <w:rFonts w:asciiTheme="minorHAnsi" w:hAnsiTheme="minorHAnsi" w:cstheme="minorHAnsi"/>
          <w:spacing w:val="-10"/>
        </w:rPr>
      </w:pPr>
      <w:r w:rsidRPr="00C451C7">
        <w:rPr>
          <w:rFonts w:asciiTheme="minorHAnsi" w:hAnsiTheme="minorHAnsi" w:cstheme="minorHAnsi"/>
        </w:rPr>
        <w:t>Loveday M, Hughes J, Sunkari B, Master I, Hlangu S, Reddy T et al. Maternal and infant outcomes among pregnant women treated for multidrug/rifampicin-resistant tuberculosis in South Africa. Clin Infect Dis. 2020;Published online 6 March 2020.</w:t>
      </w:r>
    </w:p>
    <w:p w:rsidR="005225B5" w:rsidRPr="00C451C7" w:rsidRDefault="005225B5" w:rsidP="006263CF">
      <w:pPr>
        <w:numPr>
          <w:ilvl w:val="0"/>
          <w:numId w:val="17"/>
        </w:numPr>
        <w:tabs>
          <w:tab w:val="left" w:pos="360"/>
        </w:tabs>
        <w:spacing w:before="82"/>
        <w:ind w:left="360" w:right="5" w:hanging="360"/>
        <w:jc w:val="both"/>
        <w:rPr>
          <w:rFonts w:asciiTheme="minorHAnsi" w:hAnsiTheme="minorHAnsi" w:cstheme="minorHAnsi"/>
          <w:spacing w:val="-10"/>
        </w:rPr>
      </w:pPr>
      <w:r w:rsidRPr="00C451C7">
        <w:rPr>
          <w:rFonts w:asciiTheme="minorHAnsi" w:hAnsiTheme="minorHAnsi" w:cstheme="minorHAnsi"/>
        </w:rPr>
        <w:t>Mitnick CD, White RA, Lu C, Rodriguez CA, Bayona J, Becerra MC et al. Multidrug-resistant tuberculosis treatment failure detection depends on monitoring interval and microbiological method. Eur Respir J. 2016;48(4):1160–70.</w:t>
      </w:r>
    </w:p>
    <w:p w:rsidR="005225B5" w:rsidRPr="00C451C7" w:rsidRDefault="005225B5" w:rsidP="006263CF">
      <w:pPr>
        <w:numPr>
          <w:ilvl w:val="0"/>
          <w:numId w:val="17"/>
        </w:numPr>
        <w:tabs>
          <w:tab w:val="left" w:pos="360"/>
        </w:tabs>
        <w:spacing w:before="82"/>
        <w:ind w:left="360" w:right="5" w:hanging="360"/>
        <w:jc w:val="both"/>
        <w:rPr>
          <w:rFonts w:asciiTheme="minorHAnsi" w:hAnsiTheme="minorHAnsi" w:cstheme="minorHAnsi"/>
          <w:spacing w:val="-10"/>
          <w:lang w:val="en-US"/>
        </w:rPr>
        <w:sectPr w:rsidR="005225B5" w:rsidRPr="00C451C7">
          <w:pgSz w:w="11904" w:h="16838"/>
          <w:pgMar w:top="1339" w:right="1411" w:bottom="1987" w:left="1416" w:header="708" w:footer="708" w:gutter="0"/>
          <w:cols w:space="60"/>
          <w:noEndnote/>
        </w:sectPr>
      </w:pPr>
    </w:p>
    <w:p w:rsidR="005225B5" w:rsidRPr="00C451C7" w:rsidRDefault="005225B5" w:rsidP="006263CF">
      <w:pPr>
        <w:numPr>
          <w:ilvl w:val="0"/>
          <w:numId w:val="17"/>
        </w:numPr>
        <w:tabs>
          <w:tab w:val="left" w:pos="360"/>
        </w:tabs>
        <w:ind w:left="360" w:right="5" w:hanging="360"/>
        <w:jc w:val="both"/>
        <w:rPr>
          <w:rFonts w:asciiTheme="minorHAnsi" w:hAnsiTheme="minorHAnsi" w:cstheme="minorHAnsi"/>
          <w:spacing w:val="-10"/>
        </w:rPr>
      </w:pPr>
      <w:r w:rsidRPr="00C451C7">
        <w:rPr>
          <w:rFonts w:asciiTheme="minorHAnsi" w:hAnsiTheme="minorHAnsi" w:cstheme="minorHAnsi"/>
        </w:rPr>
        <w:lastRenderedPageBreak/>
        <w:t>Conradie F, Diacon AH, Ngubane N, Howell P, Everitt D, Crook AM et al. Treatment of highly drug-resistant pulmonary tuberculosis. New Eng J Med. 2020;382(10):893–902.</w:t>
      </w:r>
    </w:p>
    <w:p w:rsidR="005225B5" w:rsidRPr="00C451C7" w:rsidRDefault="005225B5" w:rsidP="006263CF">
      <w:pPr>
        <w:numPr>
          <w:ilvl w:val="0"/>
          <w:numId w:val="17"/>
        </w:numPr>
        <w:tabs>
          <w:tab w:val="left" w:pos="360"/>
        </w:tabs>
        <w:spacing w:before="82"/>
        <w:ind w:left="360" w:right="5" w:hanging="360"/>
        <w:jc w:val="both"/>
        <w:rPr>
          <w:rFonts w:asciiTheme="minorHAnsi" w:hAnsiTheme="minorHAnsi" w:cstheme="minorHAnsi"/>
          <w:spacing w:val="-10"/>
        </w:rPr>
      </w:pPr>
      <w:r w:rsidRPr="00C451C7">
        <w:rPr>
          <w:rFonts w:asciiTheme="minorHAnsi" w:hAnsiTheme="minorHAnsi" w:cstheme="minorHAnsi"/>
        </w:rPr>
        <w:t>Drug approval package: Pretomanid [website]. Maryland, United States of America: US Food and Drug Administration; 2019 (https://www.accessdata.fda.gov/drugsatfda_docs/nda/2019/212862Orig1s000TOC. cfm, accessed 28 February 2020).</w:t>
      </w:r>
    </w:p>
    <w:p w:rsidR="005225B5" w:rsidRPr="00C451C7" w:rsidRDefault="005225B5" w:rsidP="006263CF">
      <w:pPr>
        <w:numPr>
          <w:ilvl w:val="0"/>
          <w:numId w:val="17"/>
        </w:numPr>
        <w:tabs>
          <w:tab w:val="left" w:pos="360"/>
        </w:tabs>
        <w:spacing w:before="82"/>
        <w:ind w:left="360" w:right="10" w:hanging="360"/>
        <w:jc w:val="both"/>
        <w:rPr>
          <w:rFonts w:asciiTheme="minorHAnsi" w:hAnsiTheme="minorHAnsi" w:cstheme="minorHAnsi"/>
          <w:spacing w:val="-12"/>
        </w:rPr>
      </w:pPr>
      <w:r w:rsidRPr="00C451C7">
        <w:rPr>
          <w:rFonts w:asciiTheme="minorHAnsi" w:hAnsiTheme="minorHAnsi" w:cstheme="minorHAnsi"/>
        </w:rPr>
        <w:t>Pretomanid FGK [website]. Amsterdam, The Netherlands: European Medicines Agency; 2020 (https://www. ema.europa.eu/en/medicines/human/summaries-opinion/pretomanid-fgk, accessed 5 May 2020).</w:t>
      </w:r>
    </w:p>
    <w:p w:rsidR="005225B5" w:rsidRPr="00C451C7" w:rsidRDefault="005225B5" w:rsidP="006263CF">
      <w:pPr>
        <w:numPr>
          <w:ilvl w:val="0"/>
          <w:numId w:val="17"/>
        </w:numPr>
        <w:tabs>
          <w:tab w:val="left" w:pos="360"/>
        </w:tabs>
        <w:spacing w:before="82"/>
        <w:ind w:left="360" w:hanging="360"/>
        <w:jc w:val="both"/>
        <w:rPr>
          <w:rFonts w:asciiTheme="minorHAnsi" w:hAnsiTheme="minorHAnsi" w:cstheme="minorHAnsi"/>
          <w:spacing w:val="-12"/>
        </w:rPr>
      </w:pPr>
      <w:r w:rsidRPr="00C451C7">
        <w:rPr>
          <w:rFonts w:asciiTheme="minorHAnsi" w:hAnsiTheme="minorHAnsi" w:cstheme="minorHAnsi"/>
        </w:rPr>
        <w:t>Fox GJ, Mitnick CD, Benedetti A, Chan ED, Becerra M, Chiang C-Y et al. Surgery as an adjunctive treatment for multidrug-resistant tuberculosis:an individual patient data metaanalysis. Clin Infect Dis. 2016;62(7):887–95.</w:t>
      </w:r>
    </w:p>
    <w:p w:rsidR="005225B5" w:rsidRPr="00C451C7" w:rsidRDefault="005225B5" w:rsidP="006263CF">
      <w:pPr>
        <w:numPr>
          <w:ilvl w:val="0"/>
          <w:numId w:val="17"/>
        </w:numPr>
        <w:tabs>
          <w:tab w:val="left" w:pos="360"/>
        </w:tabs>
        <w:spacing w:before="77"/>
        <w:ind w:left="360" w:right="10" w:hanging="360"/>
        <w:jc w:val="both"/>
        <w:rPr>
          <w:rFonts w:asciiTheme="minorHAnsi" w:hAnsiTheme="minorHAnsi" w:cstheme="minorHAnsi"/>
          <w:spacing w:val="-10"/>
        </w:rPr>
      </w:pPr>
      <w:r w:rsidRPr="00C451C7">
        <w:rPr>
          <w:rFonts w:asciiTheme="minorHAnsi" w:hAnsiTheme="minorHAnsi" w:cstheme="minorHAnsi"/>
        </w:rPr>
        <w:t>Kang MW KH, Choi YS, Kim K, Shim YM, Koh WJ, Kim J. Surgical treatment for multidrug-resistant and extensive drug-resistant tuberculosis. Ann Thorac Surg. 2010;89(5):1597–602.</w:t>
      </w:r>
    </w:p>
    <w:p w:rsidR="005225B5" w:rsidRPr="00C451C7" w:rsidRDefault="005225B5" w:rsidP="006263CF">
      <w:pPr>
        <w:numPr>
          <w:ilvl w:val="0"/>
          <w:numId w:val="17"/>
        </w:numPr>
        <w:tabs>
          <w:tab w:val="left" w:pos="360"/>
        </w:tabs>
        <w:spacing w:before="82"/>
        <w:ind w:left="360" w:right="5" w:hanging="360"/>
        <w:jc w:val="both"/>
        <w:rPr>
          <w:rFonts w:asciiTheme="minorHAnsi" w:hAnsiTheme="minorHAnsi" w:cstheme="minorHAnsi"/>
          <w:spacing w:val="-9"/>
        </w:rPr>
      </w:pPr>
      <w:r w:rsidRPr="00C451C7">
        <w:rPr>
          <w:rFonts w:asciiTheme="minorHAnsi" w:hAnsiTheme="minorHAnsi" w:cstheme="minorHAnsi"/>
        </w:rPr>
        <w:t>Harris RC, Khan MS, Martin L J, Allen V, Moore DAJ, Fielding K et al. The effect of surgery on the outcome of treatment for multidrug-resistant tuberculosis: a systematic review and meta-analysis. BMC Infect Dis. 2016;16(1)(https://bmcinfectdis.biomedcentral.com/articles/10.1186/s12879–016–1585–0, accessed 12 June 2016).</w:t>
      </w:r>
    </w:p>
    <w:p w:rsidR="005225B5" w:rsidRPr="00C451C7" w:rsidRDefault="005225B5" w:rsidP="006263CF">
      <w:pPr>
        <w:numPr>
          <w:ilvl w:val="0"/>
          <w:numId w:val="17"/>
        </w:numPr>
        <w:tabs>
          <w:tab w:val="left" w:pos="360"/>
        </w:tabs>
        <w:spacing w:before="82"/>
        <w:ind w:left="360" w:right="5" w:hanging="360"/>
        <w:jc w:val="both"/>
        <w:rPr>
          <w:rFonts w:asciiTheme="minorHAnsi" w:hAnsiTheme="minorHAnsi" w:cstheme="minorHAnsi"/>
          <w:spacing w:val="-12"/>
        </w:rPr>
      </w:pPr>
      <w:r w:rsidRPr="00C451C7">
        <w:rPr>
          <w:rFonts w:asciiTheme="minorHAnsi" w:hAnsiTheme="minorHAnsi" w:cstheme="minorHAnsi"/>
        </w:rPr>
        <w:t>Chotmongkol V, Jitpimolmard S, Thavornpitak Y. Corticosteroid in tuberculous meningitis. J Med Assoc Thai. 1996;79(2):83–90.</w:t>
      </w:r>
    </w:p>
    <w:p w:rsidR="005225B5" w:rsidRPr="00C451C7" w:rsidRDefault="005225B5" w:rsidP="006263CF">
      <w:pPr>
        <w:numPr>
          <w:ilvl w:val="0"/>
          <w:numId w:val="17"/>
        </w:numPr>
        <w:tabs>
          <w:tab w:val="left" w:pos="360"/>
        </w:tabs>
        <w:spacing w:before="77"/>
        <w:ind w:left="360" w:right="5" w:hanging="360"/>
        <w:jc w:val="both"/>
        <w:rPr>
          <w:rFonts w:asciiTheme="minorHAnsi" w:hAnsiTheme="minorHAnsi" w:cstheme="minorHAnsi"/>
          <w:spacing w:val="-9"/>
        </w:rPr>
      </w:pPr>
      <w:r w:rsidRPr="00C451C7">
        <w:rPr>
          <w:rFonts w:asciiTheme="minorHAnsi" w:hAnsiTheme="minorHAnsi" w:cstheme="minorHAnsi"/>
        </w:rPr>
        <w:t>Kumarvelu S, Prasad K, Khosla A, Behari M, Ahuja GK. Randomized controlled trial of dexamethasone in tuberculous meningitis. Tubercle Lung Dis. 1994;75(3):203–7.</w:t>
      </w:r>
    </w:p>
    <w:p w:rsidR="005225B5" w:rsidRPr="00C451C7" w:rsidRDefault="005225B5" w:rsidP="006263CF">
      <w:pPr>
        <w:numPr>
          <w:ilvl w:val="0"/>
          <w:numId w:val="17"/>
        </w:numPr>
        <w:tabs>
          <w:tab w:val="left" w:pos="360"/>
        </w:tabs>
        <w:spacing w:before="82"/>
        <w:ind w:left="360" w:right="5" w:hanging="360"/>
        <w:jc w:val="both"/>
        <w:rPr>
          <w:rFonts w:asciiTheme="minorHAnsi" w:hAnsiTheme="minorHAnsi" w:cstheme="minorHAnsi"/>
          <w:spacing w:val="-11"/>
        </w:rPr>
      </w:pPr>
      <w:r w:rsidRPr="00C451C7">
        <w:rPr>
          <w:rFonts w:asciiTheme="minorHAnsi" w:hAnsiTheme="minorHAnsi" w:cstheme="minorHAnsi"/>
        </w:rPr>
        <w:t>Malhotra HS, Garg RK, Singh MK, Agarwal A, Verma R. Corticosteroids (dexamethasone versus intravenous methylprednisolone) in patients with tuberculous meningitis. Ann Trop Med Parasit. 2009;103(7):625–34.</w:t>
      </w:r>
    </w:p>
    <w:p w:rsidR="005225B5" w:rsidRPr="00C451C7" w:rsidRDefault="005225B5" w:rsidP="006263CF">
      <w:pPr>
        <w:numPr>
          <w:ilvl w:val="0"/>
          <w:numId w:val="17"/>
        </w:numPr>
        <w:tabs>
          <w:tab w:val="left" w:pos="360"/>
        </w:tabs>
        <w:spacing w:before="82"/>
        <w:ind w:left="360" w:right="10" w:hanging="360"/>
        <w:jc w:val="both"/>
        <w:rPr>
          <w:rFonts w:asciiTheme="minorHAnsi" w:hAnsiTheme="minorHAnsi" w:cstheme="minorHAnsi"/>
          <w:spacing w:val="-11"/>
        </w:rPr>
      </w:pPr>
      <w:r w:rsidRPr="00C451C7">
        <w:rPr>
          <w:rFonts w:asciiTheme="minorHAnsi" w:hAnsiTheme="minorHAnsi" w:cstheme="minorHAnsi"/>
        </w:rPr>
        <w:t>Schoeman J F, Van Zyl LE, Laubscher JA, Donald PR. Effect of corticosteroids on intracranial pressure, computed tomographic findings, and clinical outcome in young children with tuberculous meningitis. Pediatrics. 1997;99(2):226–31.</w:t>
      </w:r>
    </w:p>
    <w:p w:rsidR="005225B5" w:rsidRPr="00C451C7" w:rsidRDefault="005225B5" w:rsidP="006263CF">
      <w:pPr>
        <w:numPr>
          <w:ilvl w:val="0"/>
          <w:numId w:val="17"/>
        </w:numPr>
        <w:tabs>
          <w:tab w:val="left" w:pos="360"/>
        </w:tabs>
        <w:spacing w:before="82"/>
        <w:ind w:left="360" w:right="5" w:hanging="360"/>
        <w:jc w:val="both"/>
        <w:rPr>
          <w:rFonts w:asciiTheme="minorHAnsi" w:hAnsiTheme="minorHAnsi" w:cstheme="minorHAnsi"/>
          <w:spacing w:val="-9"/>
        </w:rPr>
      </w:pPr>
      <w:r w:rsidRPr="00C451C7">
        <w:rPr>
          <w:rFonts w:asciiTheme="minorHAnsi" w:hAnsiTheme="minorHAnsi" w:cstheme="minorHAnsi"/>
        </w:rPr>
        <w:t>Thwaites GE, Nguyen DB, Nguyen HD, Hoang TQ, Do TTO, Nguyen TCT et al. Dexamethasone for the treatment of tuberculous meningitis in adolescents and adults. New Eng J Med. 2004;351(17):1741–51.</w:t>
      </w:r>
    </w:p>
    <w:p w:rsidR="005225B5" w:rsidRPr="00C451C7" w:rsidRDefault="005225B5" w:rsidP="006263CF">
      <w:pPr>
        <w:numPr>
          <w:ilvl w:val="0"/>
          <w:numId w:val="17"/>
        </w:numPr>
        <w:tabs>
          <w:tab w:val="left" w:pos="360"/>
        </w:tabs>
        <w:spacing w:before="82"/>
        <w:ind w:left="360" w:right="14" w:hanging="360"/>
        <w:jc w:val="both"/>
        <w:rPr>
          <w:rFonts w:asciiTheme="minorHAnsi" w:hAnsiTheme="minorHAnsi" w:cstheme="minorHAnsi"/>
          <w:spacing w:val="-12"/>
        </w:rPr>
      </w:pPr>
      <w:r w:rsidRPr="00C451C7">
        <w:rPr>
          <w:rFonts w:asciiTheme="minorHAnsi" w:hAnsiTheme="minorHAnsi" w:cstheme="minorHAnsi"/>
        </w:rPr>
        <w:t>Critchley JA, Young F, Orton L, Garner P. Corticosteroids for prevention of mortality in people with tuberculosis: a systematic review and meta-analysis. Lancet Infect Dis. 2013;13(3):223–37.</w:t>
      </w:r>
    </w:p>
    <w:p w:rsidR="005225B5" w:rsidRPr="00C451C7" w:rsidRDefault="005225B5" w:rsidP="006263CF">
      <w:pPr>
        <w:numPr>
          <w:ilvl w:val="0"/>
          <w:numId w:val="17"/>
        </w:numPr>
        <w:tabs>
          <w:tab w:val="left" w:pos="360"/>
        </w:tabs>
        <w:spacing w:before="86"/>
        <w:ind w:left="360" w:right="5" w:hanging="360"/>
        <w:jc w:val="both"/>
        <w:rPr>
          <w:rFonts w:asciiTheme="minorHAnsi" w:hAnsiTheme="minorHAnsi" w:cstheme="minorHAnsi"/>
          <w:spacing w:val="-11"/>
        </w:rPr>
      </w:pPr>
      <w:r w:rsidRPr="00C451C7">
        <w:rPr>
          <w:rFonts w:asciiTheme="minorHAnsi" w:hAnsiTheme="minorHAnsi" w:cstheme="minorHAnsi"/>
        </w:rPr>
        <w:t>Hakim JG, Ternouth I, Mushangi E, Siziya S, Robertson V, Malin A. Double blind randomised placebo controlled trial of adjunctive prednisolone in the treatment of effusive tuberculous pericarditis in HIV seropositive patients. Heart (British Cardiac Society). 2000;84(2):183–8.</w:t>
      </w:r>
    </w:p>
    <w:p w:rsidR="005225B5" w:rsidRPr="00C451C7" w:rsidRDefault="005225B5" w:rsidP="006263CF">
      <w:pPr>
        <w:numPr>
          <w:ilvl w:val="0"/>
          <w:numId w:val="17"/>
        </w:numPr>
        <w:tabs>
          <w:tab w:val="left" w:pos="360"/>
        </w:tabs>
        <w:spacing w:before="48"/>
        <w:ind w:left="360" w:right="5" w:hanging="360"/>
        <w:jc w:val="both"/>
        <w:rPr>
          <w:rFonts w:asciiTheme="minorHAnsi" w:hAnsiTheme="minorHAnsi" w:cstheme="minorHAnsi"/>
          <w:spacing w:val="-9"/>
        </w:rPr>
      </w:pPr>
      <w:r w:rsidRPr="00C451C7">
        <w:rPr>
          <w:rFonts w:asciiTheme="minorHAnsi" w:hAnsiTheme="minorHAnsi" w:cstheme="minorHAnsi"/>
        </w:rPr>
        <w:t xml:space="preserve">Mayosi BM, Ntsekhe M, Bosch J, Pandie S, Jung H, Gumedze F et al. Prednisolone and </w:t>
      </w:r>
      <w:r w:rsidRPr="00C451C7">
        <w:rPr>
          <w:rFonts w:asciiTheme="minorHAnsi" w:hAnsiTheme="minorHAnsi" w:cstheme="minorHAnsi"/>
          <w:i/>
          <w:iCs/>
        </w:rPr>
        <w:t xml:space="preserve">Mycobacterium indicus pranii </w:t>
      </w:r>
      <w:r w:rsidRPr="00C451C7">
        <w:rPr>
          <w:rFonts w:asciiTheme="minorHAnsi" w:hAnsiTheme="minorHAnsi" w:cstheme="minorHAnsi"/>
        </w:rPr>
        <w:t>in tuberculous pericarditis. New Eng J Med. 2014;371(12):1121–30 (https://www.nejm.org/ doi/full/10.1056/NEJMoa1407380#t=article, accessed 06 July 2017).</w:t>
      </w:r>
    </w:p>
    <w:p w:rsidR="005225B5" w:rsidRPr="00C451C7" w:rsidRDefault="005225B5" w:rsidP="006263CF">
      <w:pPr>
        <w:numPr>
          <w:ilvl w:val="0"/>
          <w:numId w:val="17"/>
        </w:numPr>
        <w:tabs>
          <w:tab w:val="left" w:pos="360"/>
        </w:tabs>
        <w:spacing w:before="82"/>
        <w:ind w:left="360" w:right="5" w:hanging="360"/>
        <w:jc w:val="both"/>
        <w:rPr>
          <w:rFonts w:asciiTheme="minorHAnsi" w:hAnsiTheme="minorHAnsi" w:cstheme="minorHAnsi"/>
          <w:spacing w:val="-9"/>
        </w:rPr>
      </w:pPr>
      <w:r w:rsidRPr="00C451C7">
        <w:rPr>
          <w:rFonts w:asciiTheme="minorHAnsi" w:hAnsiTheme="minorHAnsi" w:cstheme="minorHAnsi"/>
        </w:rPr>
        <w:t>Mayosi BM, Ntsekhe M, Volmink JA, Commerford PJ. Interventions for treating tuberculous pericarditis. Cochrane Database Syst Rev 2002;(4):CD000526.</w:t>
      </w:r>
    </w:p>
    <w:p w:rsidR="005225B5" w:rsidRPr="00C451C7" w:rsidRDefault="005225B5" w:rsidP="006263CF">
      <w:pPr>
        <w:numPr>
          <w:ilvl w:val="0"/>
          <w:numId w:val="17"/>
        </w:numPr>
        <w:tabs>
          <w:tab w:val="left" w:pos="360"/>
        </w:tabs>
        <w:spacing w:before="77"/>
        <w:ind w:left="360" w:right="10" w:hanging="360"/>
        <w:jc w:val="both"/>
        <w:rPr>
          <w:rFonts w:asciiTheme="minorHAnsi" w:hAnsiTheme="minorHAnsi" w:cstheme="minorHAnsi"/>
          <w:spacing w:val="-11"/>
        </w:rPr>
      </w:pPr>
      <w:r w:rsidRPr="00C451C7">
        <w:rPr>
          <w:rFonts w:asciiTheme="minorHAnsi" w:hAnsiTheme="minorHAnsi" w:cstheme="minorHAnsi"/>
        </w:rPr>
        <w:t>Reuter H, Burgess L J, Louw VJ, Doubell AF. Experience with adjunctive corticosteroids in managing tuberculous pericarditis. Cardiovasc J S Afr. 2006;17(5):233–8.</w:t>
      </w:r>
    </w:p>
    <w:p w:rsidR="005225B5" w:rsidRPr="00C451C7" w:rsidRDefault="005225B5" w:rsidP="006263CF">
      <w:pPr>
        <w:numPr>
          <w:ilvl w:val="0"/>
          <w:numId w:val="17"/>
        </w:numPr>
        <w:tabs>
          <w:tab w:val="left" w:pos="360"/>
        </w:tabs>
        <w:spacing w:before="82"/>
        <w:ind w:left="360" w:right="5" w:hanging="360"/>
        <w:jc w:val="both"/>
        <w:rPr>
          <w:rFonts w:asciiTheme="minorHAnsi" w:hAnsiTheme="minorHAnsi" w:cstheme="minorHAnsi"/>
          <w:spacing w:val="-9"/>
        </w:rPr>
      </w:pPr>
      <w:r w:rsidRPr="00C451C7">
        <w:rPr>
          <w:rFonts w:asciiTheme="minorHAnsi" w:hAnsiTheme="minorHAnsi" w:cstheme="minorHAnsi"/>
        </w:rPr>
        <w:t>Schrire V. Experience with pericarditis at Groote Schuur Hospital, Cape Town: an analysis of one hundred and sixty cases studied over a six-year period. S Afr Med J. 1959;33:810–7.</w:t>
      </w:r>
    </w:p>
    <w:p w:rsidR="005225B5" w:rsidRPr="00C451C7" w:rsidRDefault="005225B5" w:rsidP="006263CF">
      <w:pPr>
        <w:numPr>
          <w:ilvl w:val="0"/>
          <w:numId w:val="17"/>
        </w:numPr>
        <w:tabs>
          <w:tab w:val="left" w:pos="360"/>
        </w:tabs>
        <w:spacing w:before="82"/>
        <w:ind w:left="360" w:right="5" w:hanging="360"/>
        <w:jc w:val="both"/>
        <w:rPr>
          <w:rFonts w:asciiTheme="minorHAnsi" w:hAnsiTheme="minorHAnsi" w:cstheme="minorHAnsi"/>
          <w:spacing w:val="-12"/>
        </w:rPr>
      </w:pPr>
      <w:r w:rsidRPr="00C451C7">
        <w:rPr>
          <w:rFonts w:asciiTheme="minorHAnsi" w:hAnsiTheme="minorHAnsi" w:cstheme="minorHAnsi"/>
        </w:rPr>
        <w:t>Strang JI, Kakaza HH, Gibson DG, Allen BW, Mitchison DA, Evans DJ et al. Controlled clinical trial of complete open surgical drainage and of prednisolone in treatment of tuberculous pericardial effusion in Transkei. Lancet. 1988;2(8614):759–64.</w:t>
      </w:r>
    </w:p>
    <w:p w:rsidR="005225B5" w:rsidRPr="00C451C7" w:rsidRDefault="005225B5" w:rsidP="006263CF">
      <w:pPr>
        <w:numPr>
          <w:ilvl w:val="0"/>
          <w:numId w:val="17"/>
        </w:numPr>
        <w:tabs>
          <w:tab w:val="left" w:pos="360"/>
        </w:tabs>
        <w:spacing w:before="82"/>
        <w:ind w:left="360" w:right="5" w:hanging="360"/>
        <w:jc w:val="both"/>
        <w:rPr>
          <w:rFonts w:asciiTheme="minorHAnsi" w:hAnsiTheme="minorHAnsi" w:cstheme="minorHAnsi"/>
          <w:spacing w:val="-9"/>
        </w:rPr>
      </w:pPr>
      <w:r w:rsidRPr="00C451C7">
        <w:rPr>
          <w:rFonts w:asciiTheme="minorHAnsi" w:hAnsiTheme="minorHAnsi" w:cstheme="minorHAnsi"/>
        </w:rPr>
        <w:t>Strang JI, Kakaza HH, Gibson DG, Girling DJ, Nunn A J, Fox W. Controlled trial of prednisolone as adjuvant in treatment of tuberculous constrictive pericarditis in Transkei. Lancet. 1987;2(8573):1418–22.</w:t>
      </w:r>
    </w:p>
    <w:p w:rsidR="005225B5" w:rsidRPr="00C451C7" w:rsidRDefault="005225B5" w:rsidP="006263CF">
      <w:pPr>
        <w:numPr>
          <w:ilvl w:val="0"/>
          <w:numId w:val="17"/>
        </w:numPr>
        <w:tabs>
          <w:tab w:val="left" w:pos="360"/>
        </w:tabs>
        <w:spacing w:before="82"/>
        <w:ind w:left="360" w:right="5" w:hanging="360"/>
        <w:jc w:val="both"/>
        <w:rPr>
          <w:rFonts w:asciiTheme="minorHAnsi" w:hAnsiTheme="minorHAnsi" w:cstheme="minorHAnsi"/>
          <w:spacing w:val="-9"/>
          <w:lang w:val="en-US"/>
        </w:rPr>
        <w:sectPr w:rsidR="005225B5" w:rsidRPr="00C451C7">
          <w:pgSz w:w="11904" w:h="16838"/>
          <w:pgMar w:top="1339" w:right="1411" w:bottom="1368" w:left="1416" w:header="708" w:footer="708" w:gutter="0"/>
          <w:cols w:space="60"/>
          <w:noEndnote/>
        </w:sectPr>
      </w:pPr>
    </w:p>
    <w:p w:rsidR="005225B5" w:rsidRPr="00C451C7" w:rsidRDefault="005225B5" w:rsidP="006263CF">
      <w:pPr>
        <w:numPr>
          <w:ilvl w:val="0"/>
          <w:numId w:val="17"/>
        </w:numPr>
        <w:tabs>
          <w:tab w:val="left" w:pos="360"/>
        </w:tabs>
        <w:ind w:left="360" w:right="5" w:hanging="360"/>
        <w:jc w:val="both"/>
        <w:rPr>
          <w:rFonts w:asciiTheme="minorHAnsi" w:hAnsiTheme="minorHAnsi" w:cstheme="minorHAnsi"/>
          <w:spacing w:val="-9"/>
        </w:rPr>
      </w:pPr>
      <w:r w:rsidRPr="00C451C7">
        <w:rPr>
          <w:rFonts w:asciiTheme="minorHAnsi" w:hAnsiTheme="minorHAnsi" w:cstheme="minorHAnsi"/>
        </w:rPr>
        <w:lastRenderedPageBreak/>
        <w:t>Report of the expert consultation on immunotherapeutic interventions for tuberculosis (TDR/IRM/07.1). Geneva, Tropical Disease Research:2007 (https://www.who.int/tdr/publications/documents/interventions-tb. pdf, accessed 10 April 2020).</w:t>
      </w:r>
    </w:p>
    <w:p w:rsidR="005225B5" w:rsidRPr="00C451C7" w:rsidRDefault="005225B5" w:rsidP="006263CF">
      <w:pPr>
        <w:numPr>
          <w:ilvl w:val="0"/>
          <w:numId w:val="17"/>
        </w:numPr>
        <w:tabs>
          <w:tab w:val="left" w:pos="360"/>
        </w:tabs>
        <w:spacing w:before="82"/>
        <w:ind w:left="360" w:right="5" w:hanging="360"/>
        <w:jc w:val="both"/>
        <w:rPr>
          <w:rFonts w:asciiTheme="minorHAnsi" w:hAnsiTheme="minorHAnsi" w:cstheme="minorHAnsi"/>
          <w:spacing w:val="-9"/>
        </w:rPr>
      </w:pPr>
      <w:r w:rsidRPr="00C451C7">
        <w:rPr>
          <w:rFonts w:asciiTheme="minorHAnsi" w:hAnsiTheme="minorHAnsi" w:cstheme="minorHAnsi"/>
        </w:rPr>
        <w:t>Skrahin A, Ahmed RK, Ferrara G, Rane L, Poiret T, Isaikina Y et al. Autologous mesenchymal stromal cell infusion as adjunct treatment in patients with multidrug and extensively drug-resistant tuberculosis: an open-label phase 1 safety trial. Lancet Respir Med. 2014;2(2):108–22.</w:t>
      </w:r>
    </w:p>
    <w:p w:rsidR="005225B5" w:rsidRPr="00C451C7" w:rsidRDefault="005225B5" w:rsidP="006263CF">
      <w:pPr>
        <w:numPr>
          <w:ilvl w:val="0"/>
          <w:numId w:val="17"/>
        </w:numPr>
        <w:tabs>
          <w:tab w:val="left" w:pos="360"/>
        </w:tabs>
        <w:spacing w:before="82"/>
        <w:ind w:left="360" w:right="5" w:hanging="360"/>
        <w:jc w:val="both"/>
        <w:rPr>
          <w:rFonts w:asciiTheme="minorHAnsi" w:hAnsiTheme="minorHAnsi" w:cstheme="minorHAnsi"/>
          <w:spacing w:val="-12"/>
        </w:rPr>
      </w:pPr>
      <w:r w:rsidRPr="00C451C7">
        <w:rPr>
          <w:rFonts w:asciiTheme="minorHAnsi" w:hAnsiTheme="minorHAnsi" w:cstheme="minorHAnsi"/>
        </w:rPr>
        <w:t>Skrahin A, Jenkins HE, Hurevich H, Solodovnikova V, Isaikina Y, Klimuk D et al. Effectiveness of a novel cellular therapy to treat multidrug-resistant tuberculosis. J Clin Tuberc Other Mycobact Dis. 2016;4:21–7 (https:// www.sciencedirect.com/science/article/pii/S2405579416300018?via%3Dihub, accessed 04 July 2017).</w:t>
      </w:r>
    </w:p>
    <w:p w:rsidR="005225B5" w:rsidRPr="00C451C7" w:rsidRDefault="005225B5" w:rsidP="006263CF">
      <w:pPr>
        <w:numPr>
          <w:ilvl w:val="0"/>
          <w:numId w:val="17"/>
        </w:numPr>
        <w:tabs>
          <w:tab w:val="left" w:pos="360"/>
        </w:tabs>
        <w:spacing w:before="82"/>
        <w:ind w:left="360" w:right="5" w:hanging="360"/>
        <w:jc w:val="both"/>
        <w:rPr>
          <w:rFonts w:asciiTheme="minorHAnsi" w:hAnsiTheme="minorHAnsi" w:cstheme="minorHAnsi"/>
          <w:spacing w:val="-9"/>
        </w:rPr>
      </w:pPr>
      <w:r w:rsidRPr="00C451C7">
        <w:rPr>
          <w:rFonts w:asciiTheme="minorHAnsi" w:hAnsiTheme="minorHAnsi" w:cstheme="minorHAnsi"/>
        </w:rPr>
        <w:t>Koh WJ, Kwon OJ, Suh GY, Chung M P, Kim H, Lee NY. Six-month therapy with aerosolized interferon-γ for refractory multidrug-resistant pulmonary tuberculosis. J Korean Med Sci. 2004;19(2):167–71.</w:t>
      </w:r>
    </w:p>
    <w:p w:rsidR="005225B5" w:rsidRPr="00C451C7" w:rsidRDefault="005225B5" w:rsidP="006263CF">
      <w:pPr>
        <w:numPr>
          <w:ilvl w:val="0"/>
          <w:numId w:val="17"/>
        </w:numPr>
        <w:tabs>
          <w:tab w:val="left" w:pos="360"/>
        </w:tabs>
        <w:spacing w:before="82"/>
        <w:ind w:left="360" w:right="5" w:hanging="360"/>
        <w:jc w:val="both"/>
        <w:rPr>
          <w:rFonts w:asciiTheme="minorHAnsi" w:hAnsiTheme="minorHAnsi" w:cstheme="minorHAnsi"/>
          <w:spacing w:val="-9"/>
        </w:rPr>
      </w:pPr>
      <w:r w:rsidRPr="00C451C7">
        <w:rPr>
          <w:rFonts w:asciiTheme="minorHAnsi" w:hAnsiTheme="minorHAnsi" w:cstheme="minorHAnsi"/>
        </w:rPr>
        <w:t>Park SK, Cho S, Lee IH, Jeon DS, Hong SH, Smego RA. Subcutaneously administered interferon-gamma for the treatment of multidrug-resistant pulmonary tuberculosis. Int J Infect Dis. 2007;11(5):434–40.</w:t>
      </w:r>
    </w:p>
    <w:p w:rsidR="005225B5" w:rsidRPr="00C451C7" w:rsidRDefault="005225B5" w:rsidP="006263CF">
      <w:pPr>
        <w:numPr>
          <w:ilvl w:val="0"/>
          <w:numId w:val="17"/>
        </w:numPr>
        <w:tabs>
          <w:tab w:val="left" w:pos="360"/>
        </w:tabs>
        <w:spacing w:before="86"/>
        <w:ind w:left="360" w:right="5" w:hanging="360"/>
        <w:jc w:val="both"/>
        <w:rPr>
          <w:rFonts w:asciiTheme="minorHAnsi" w:hAnsiTheme="minorHAnsi" w:cstheme="minorHAnsi"/>
          <w:spacing w:val="-12"/>
        </w:rPr>
      </w:pPr>
      <w:r w:rsidRPr="00C451C7">
        <w:rPr>
          <w:rFonts w:asciiTheme="minorHAnsi" w:hAnsiTheme="minorHAnsi" w:cstheme="minorHAnsi"/>
        </w:rPr>
        <w:t>Suárez-Méndez R, García-García I, Fernández-Olivera N, Valdés-Quintana M, Milanés-Virelles MT, Carbonell D et al. Adjuvant interferon gamma in patients with drug-resistant pulmonary tuberculosis: a pilot study. BMC Infect Dis. 2004;4(1)(https://bmcinfectdis.biomedcentral.com/articles/10.1186/1471–2334–4-44, accessed 18 June 2018).</w:t>
      </w:r>
    </w:p>
    <w:p w:rsidR="005225B5" w:rsidRPr="00C451C7" w:rsidRDefault="005225B5" w:rsidP="006263CF">
      <w:pPr>
        <w:numPr>
          <w:ilvl w:val="0"/>
          <w:numId w:val="17"/>
        </w:numPr>
        <w:tabs>
          <w:tab w:val="left" w:pos="360"/>
        </w:tabs>
        <w:spacing w:before="82"/>
        <w:ind w:left="360" w:hanging="360"/>
        <w:jc w:val="both"/>
        <w:rPr>
          <w:rFonts w:asciiTheme="minorHAnsi" w:hAnsiTheme="minorHAnsi" w:cstheme="minorHAnsi"/>
          <w:spacing w:val="-9"/>
        </w:rPr>
      </w:pPr>
      <w:r w:rsidRPr="00C451C7">
        <w:rPr>
          <w:rFonts w:asciiTheme="minorHAnsi" w:hAnsiTheme="minorHAnsi" w:cstheme="minorHAnsi"/>
        </w:rPr>
        <w:t>Yang Z, Wang L, Guo L, Lin M, Chen X. A short term efficacy of aerosolising inhalation recombinant human gamma interferon in multidrug resistant pulmonary tuberculosis. Journal of the Chinese Anti-Tuberculosis Association. 2009;3(11):600–3.</w:t>
      </w:r>
    </w:p>
    <w:p w:rsidR="005225B5" w:rsidRPr="00C451C7" w:rsidRDefault="005225B5" w:rsidP="006263CF">
      <w:pPr>
        <w:numPr>
          <w:ilvl w:val="0"/>
          <w:numId w:val="17"/>
        </w:numPr>
        <w:tabs>
          <w:tab w:val="left" w:pos="360"/>
        </w:tabs>
        <w:spacing w:before="77"/>
        <w:ind w:left="360" w:right="5" w:hanging="360"/>
        <w:jc w:val="both"/>
        <w:rPr>
          <w:rFonts w:asciiTheme="minorHAnsi" w:hAnsiTheme="minorHAnsi" w:cstheme="minorHAnsi"/>
          <w:spacing w:val="-11"/>
        </w:rPr>
      </w:pPr>
      <w:r w:rsidRPr="00C451C7">
        <w:rPr>
          <w:rFonts w:asciiTheme="minorHAnsi" w:hAnsiTheme="minorHAnsi" w:cstheme="minorHAnsi"/>
        </w:rPr>
        <w:t>Wallis RS. Lack of a therapeutic role for interferon γ in patients with tuberculosis. Int J Infect Dis. 2014;209(4):627–8.</w:t>
      </w:r>
    </w:p>
    <w:p w:rsidR="005225B5" w:rsidRPr="00C451C7" w:rsidRDefault="005225B5" w:rsidP="006263CF">
      <w:pPr>
        <w:numPr>
          <w:ilvl w:val="0"/>
          <w:numId w:val="17"/>
        </w:numPr>
        <w:tabs>
          <w:tab w:val="left" w:pos="360"/>
        </w:tabs>
        <w:spacing w:before="82"/>
        <w:ind w:left="360" w:right="5" w:hanging="360"/>
        <w:jc w:val="both"/>
        <w:rPr>
          <w:rFonts w:asciiTheme="minorHAnsi" w:hAnsiTheme="minorHAnsi" w:cstheme="minorHAnsi"/>
          <w:spacing w:val="-12"/>
        </w:rPr>
      </w:pPr>
      <w:r w:rsidRPr="00C451C7">
        <w:rPr>
          <w:rFonts w:asciiTheme="minorHAnsi" w:hAnsiTheme="minorHAnsi" w:cstheme="minorHAnsi"/>
        </w:rPr>
        <w:t>Alipanah N, Jarlsberg L, Miller C, Linh NN, Falzon D, Jaramillo E et al. Adherence interventions and outcomes of tuberculosis treatment: A systematic review and meta-analysis of trials and observational studies. PLoS medicine. 2018;15(7):e1002595.</w:t>
      </w:r>
    </w:p>
    <w:p w:rsidR="005225B5" w:rsidRPr="00C451C7" w:rsidRDefault="005225B5" w:rsidP="006263CF">
      <w:pPr>
        <w:numPr>
          <w:ilvl w:val="0"/>
          <w:numId w:val="17"/>
        </w:numPr>
        <w:tabs>
          <w:tab w:val="left" w:pos="360"/>
        </w:tabs>
        <w:spacing w:before="77"/>
        <w:ind w:left="360" w:right="5" w:hanging="360"/>
        <w:jc w:val="both"/>
        <w:rPr>
          <w:rFonts w:asciiTheme="minorHAnsi" w:hAnsiTheme="minorHAnsi" w:cstheme="minorHAnsi"/>
          <w:spacing w:val="-11"/>
        </w:rPr>
      </w:pPr>
      <w:r w:rsidRPr="00C451C7">
        <w:rPr>
          <w:rFonts w:asciiTheme="minorHAnsi" w:hAnsiTheme="minorHAnsi" w:cstheme="minorHAnsi"/>
        </w:rPr>
        <w:t>Ho J, Byrne AL, Linh NN, Jaramillo E, Fox GJ. Decentralized care for multidrug-resistant tuberculosis: a systematic review and meta-analysis. Bull World Health Organ. 2017;95(8):584–93.</w:t>
      </w:r>
    </w:p>
    <w:p w:rsidR="005225B5" w:rsidRPr="00C451C7" w:rsidRDefault="005225B5" w:rsidP="006263CF">
      <w:pPr>
        <w:numPr>
          <w:ilvl w:val="0"/>
          <w:numId w:val="17"/>
        </w:numPr>
        <w:tabs>
          <w:tab w:val="left" w:pos="360"/>
        </w:tabs>
        <w:spacing w:before="82"/>
        <w:ind w:left="360" w:right="5" w:hanging="360"/>
        <w:jc w:val="both"/>
        <w:rPr>
          <w:rFonts w:asciiTheme="minorHAnsi" w:hAnsiTheme="minorHAnsi" w:cstheme="minorHAnsi"/>
          <w:spacing w:val="-9"/>
        </w:rPr>
      </w:pPr>
      <w:r w:rsidRPr="00C451C7">
        <w:rPr>
          <w:rFonts w:asciiTheme="minorHAnsi" w:hAnsiTheme="minorHAnsi" w:cstheme="minorHAnsi"/>
        </w:rPr>
        <w:t>Cocozza A, Linh N, Jaramillo E. Is effective patient support missing in the global response to multidrug-resistant tuberculosis? Int J Tuberc Lung Dis. 2020;24(6).</w:t>
      </w:r>
    </w:p>
    <w:p w:rsidR="005225B5" w:rsidRPr="00C451C7" w:rsidRDefault="005225B5" w:rsidP="006263CF">
      <w:pPr>
        <w:numPr>
          <w:ilvl w:val="0"/>
          <w:numId w:val="17"/>
        </w:numPr>
        <w:tabs>
          <w:tab w:val="left" w:pos="360"/>
        </w:tabs>
        <w:spacing w:before="82"/>
        <w:ind w:left="360" w:right="10" w:hanging="360"/>
        <w:jc w:val="both"/>
        <w:rPr>
          <w:rFonts w:asciiTheme="minorHAnsi" w:hAnsiTheme="minorHAnsi" w:cstheme="minorHAnsi"/>
          <w:spacing w:val="-11"/>
        </w:rPr>
      </w:pPr>
      <w:r w:rsidRPr="00C451C7">
        <w:rPr>
          <w:rFonts w:asciiTheme="minorHAnsi" w:hAnsiTheme="minorHAnsi" w:cstheme="minorHAnsi"/>
        </w:rPr>
        <w:t>Delivering comprehensive supportive care to people with drug-resistant tuberculosis. Washington, DC: United States Agency for International Development; 2019 (https://pdf.usaid.gov/pdf_docs/PA00TNZK.pdf, accessed 1 June 2020).</w:t>
      </w:r>
    </w:p>
    <w:p w:rsidR="005225B5" w:rsidRPr="00C451C7" w:rsidRDefault="005225B5" w:rsidP="006263CF">
      <w:pPr>
        <w:numPr>
          <w:ilvl w:val="0"/>
          <w:numId w:val="17"/>
        </w:numPr>
        <w:tabs>
          <w:tab w:val="left" w:pos="360"/>
        </w:tabs>
        <w:spacing w:before="82"/>
        <w:ind w:left="360" w:right="5" w:hanging="360"/>
        <w:jc w:val="both"/>
        <w:rPr>
          <w:rFonts w:asciiTheme="minorHAnsi" w:hAnsiTheme="minorHAnsi" w:cstheme="minorHAnsi"/>
          <w:spacing w:val="-9"/>
        </w:rPr>
      </w:pPr>
      <w:r w:rsidRPr="00C451C7">
        <w:rPr>
          <w:rFonts w:asciiTheme="minorHAnsi" w:hAnsiTheme="minorHAnsi" w:cstheme="minorHAnsi"/>
        </w:rPr>
        <w:t>Campbell J, Falzon D, Mirzayev F, Jaramillo E, Migliori G, Mitnick C et al. Improving quality of patient data for treatment of multidrug- or rifampin-resistant tuberculosis. Emerg Infect Dis. 2020;26(3).</w:t>
      </w:r>
    </w:p>
    <w:p w:rsidR="005225B5" w:rsidRPr="00C451C7" w:rsidRDefault="005225B5" w:rsidP="006263CF">
      <w:pPr>
        <w:numPr>
          <w:ilvl w:val="0"/>
          <w:numId w:val="17"/>
        </w:numPr>
        <w:tabs>
          <w:tab w:val="left" w:pos="360"/>
        </w:tabs>
        <w:spacing w:before="82"/>
        <w:ind w:left="360" w:hanging="360"/>
        <w:jc w:val="both"/>
        <w:rPr>
          <w:rFonts w:asciiTheme="minorHAnsi" w:hAnsiTheme="minorHAnsi" w:cstheme="minorHAnsi"/>
          <w:spacing w:val="-9"/>
        </w:rPr>
      </w:pPr>
      <w:r w:rsidRPr="00C451C7">
        <w:rPr>
          <w:rFonts w:asciiTheme="minorHAnsi" w:hAnsiTheme="minorHAnsi" w:cstheme="minorHAnsi"/>
        </w:rPr>
        <w:t>World Health Organization, Management Sciences for Health, KNCV Tuberculosis Foundation. Electronic recording and reporting for tuberculosis care and control (WHO/HTM/TB/2011.22). Geneva: World Health Organization; 2012 (https://www.who.int/tb/publications/electronic_recording_reporting/en/, accessed 20 March 2020).</w:t>
      </w:r>
    </w:p>
    <w:p w:rsidR="005225B5" w:rsidRPr="00C451C7" w:rsidRDefault="005225B5" w:rsidP="006263CF">
      <w:pPr>
        <w:numPr>
          <w:ilvl w:val="0"/>
          <w:numId w:val="17"/>
        </w:numPr>
        <w:tabs>
          <w:tab w:val="left" w:pos="360"/>
        </w:tabs>
        <w:spacing w:before="77"/>
        <w:ind w:left="360" w:right="5" w:hanging="360"/>
        <w:jc w:val="both"/>
        <w:rPr>
          <w:rFonts w:asciiTheme="minorHAnsi" w:hAnsiTheme="minorHAnsi" w:cstheme="minorHAnsi"/>
          <w:spacing w:val="-9"/>
        </w:rPr>
      </w:pPr>
      <w:r w:rsidRPr="00C451C7">
        <w:rPr>
          <w:rFonts w:asciiTheme="minorHAnsi" w:hAnsiTheme="minorHAnsi" w:cstheme="minorHAnsi"/>
        </w:rPr>
        <w:t>International standards for tuberculosis care. 3rd edition [website]. The Hague: TB CARE 1; (https://www. who.int/tb/publications/ISTC_3rdEd.pdf, accessed 22 March 2020).</w:t>
      </w:r>
    </w:p>
    <w:p w:rsidR="005225B5" w:rsidRPr="006263CF" w:rsidRDefault="005225B5" w:rsidP="006263CF">
      <w:pPr>
        <w:numPr>
          <w:ilvl w:val="0"/>
          <w:numId w:val="17"/>
        </w:numPr>
        <w:tabs>
          <w:tab w:val="left" w:pos="360"/>
        </w:tabs>
        <w:spacing w:before="77"/>
        <w:ind w:left="360" w:right="5" w:hanging="360"/>
        <w:jc w:val="both"/>
        <w:rPr>
          <w:rFonts w:asciiTheme="minorHAnsi" w:hAnsiTheme="minorHAnsi" w:cstheme="minorHAnsi"/>
          <w:color w:val="000000"/>
          <w:spacing w:val="-9"/>
          <w:sz w:val="18"/>
          <w:lang w:val="en-US"/>
        </w:rPr>
        <w:sectPr w:rsidR="005225B5" w:rsidRPr="006263CF">
          <w:pgSz w:w="11904" w:h="16838"/>
          <w:pgMar w:top="1339" w:right="1411" w:bottom="3106" w:left="1416"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181"/>
        <w:gridCol w:w="1464"/>
        <w:gridCol w:w="1440"/>
        <w:gridCol w:w="1411"/>
        <w:gridCol w:w="1133"/>
        <w:gridCol w:w="1373"/>
        <w:gridCol w:w="1118"/>
        <w:gridCol w:w="1291"/>
        <w:gridCol w:w="845"/>
        <w:gridCol w:w="1008"/>
        <w:gridCol w:w="1805"/>
      </w:tblGrid>
      <w:tr w:rsidR="005225B5" w:rsidRPr="006263CF" w:rsidTr="00C451C7">
        <w:trPr>
          <w:trHeight w:hRule="exact" w:val="2832"/>
        </w:trPr>
        <w:tc>
          <w:tcPr>
            <w:tcW w:w="14069" w:type="dxa"/>
            <w:gridSpan w:val="11"/>
            <w:tcBorders>
              <w:top w:val="nil"/>
              <w:left w:val="nil"/>
              <w:bottom w:val="nil"/>
              <w:right w:val="nil"/>
            </w:tcBorders>
            <w:shd w:val="clear" w:color="auto" w:fill="FFFFFF"/>
          </w:tcPr>
          <w:p w:rsidR="005225B5" w:rsidRPr="000344A4" w:rsidRDefault="005225B5" w:rsidP="006263CF">
            <w:pPr>
              <w:ind w:right="619"/>
              <w:rPr>
                <w:rFonts w:asciiTheme="minorHAnsi" w:hAnsiTheme="minorHAnsi" w:cstheme="minorHAnsi"/>
                <w:b/>
                <w:sz w:val="18"/>
              </w:rPr>
            </w:pPr>
            <w:bookmarkStart w:id="48" w:name="bookmark47"/>
            <w:r w:rsidRPr="000344A4">
              <w:rPr>
                <w:rFonts w:asciiTheme="minorHAnsi" w:hAnsiTheme="minorHAnsi" w:cstheme="minorHAnsi"/>
                <w:b/>
                <w:color w:val="1F61AA"/>
                <w:sz w:val="52"/>
                <w:szCs w:val="56"/>
              </w:rPr>
              <w:lastRenderedPageBreak/>
              <w:t>Д</w:t>
            </w:r>
            <w:bookmarkEnd w:id="48"/>
            <w:r w:rsidRPr="000344A4">
              <w:rPr>
                <w:rFonts w:asciiTheme="minorHAnsi" w:hAnsiTheme="minorHAnsi" w:cstheme="minorHAnsi"/>
                <w:b/>
                <w:color w:val="1F61AA"/>
                <w:sz w:val="52"/>
                <w:szCs w:val="56"/>
              </w:rPr>
              <w:t>одаток I: Дозування за ваговою категорією для лікарських препаратів, що застосовуються у схемах лікування мультирезистентного ТБ, для дорослих та дітей</w:t>
            </w:r>
          </w:p>
          <w:p w:rsidR="005225B5" w:rsidRPr="002A03C7" w:rsidRDefault="005225B5" w:rsidP="00C451C7">
            <w:pPr>
              <w:spacing w:before="120"/>
              <w:ind w:right="619"/>
              <w:rPr>
                <w:rFonts w:asciiTheme="minorHAnsi" w:hAnsiTheme="minorHAnsi" w:cstheme="minorHAnsi"/>
                <w:sz w:val="18"/>
              </w:rPr>
            </w:pPr>
            <w:r w:rsidRPr="006263CF">
              <w:rPr>
                <w:rFonts w:asciiTheme="minorHAnsi" w:hAnsiTheme="minorHAnsi" w:cstheme="minorHAnsi"/>
                <w:b/>
                <w:bCs/>
                <w:color w:val="1F61AA"/>
                <w:sz w:val="28"/>
                <w:szCs w:val="32"/>
              </w:rPr>
              <w:t>А. Дозування лікарських препаратів, які використовуються у схемах лікування МР-ТБ 2-ого ряду, згідно вагової категорії (пацієнти у віці 15 років і старше)</w:t>
            </w:r>
          </w:p>
        </w:tc>
      </w:tr>
      <w:tr w:rsidR="005225B5" w:rsidRPr="006263CF" w:rsidTr="00C451C7">
        <w:trPr>
          <w:trHeight w:hRule="exact" w:val="432"/>
        </w:trPr>
        <w:tc>
          <w:tcPr>
            <w:tcW w:w="1181" w:type="dxa"/>
            <w:vMerge w:val="restart"/>
            <w:tcBorders>
              <w:top w:val="nil"/>
              <w:left w:val="nil"/>
              <w:bottom w:val="nil"/>
              <w:right w:val="nil"/>
            </w:tcBorders>
            <w:shd w:val="clear" w:color="auto" w:fill="C1C8E4"/>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b/>
                <w:bCs/>
                <w:color w:val="000000"/>
                <w:sz w:val="18"/>
              </w:rPr>
              <w:t>Група</w:t>
            </w:r>
          </w:p>
        </w:tc>
        <w:tc>
          <w:tcPr>
            <w:tcW w:w="1464" w:type="dxa"/>
            <w:vMerge w:val="restart"/>
            <w:tcBorders>
              <w:top w:val="nil"/>
              <w:left w:val="nil"/>
              <w:bottom w:val="nil"/>
              <w:right w:val="nil"/>
            </w:tcBorders>
            <w:shd w:val="clear" w:color="auto" w:fill="C1C8E4"/>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b/>
                <w:bCs/>
                <w:color w:val="000000"/>
                <w:sz w:val="18"/>
              </w:rPr>
              <w:t>Лікарський препарат</w:t>
            </w:r>
          </w:p>
        </w:tc>
        <w:tc>
          <w:tcPr>
            <w:tcW w:w="1440" w:type="dxa"/>
            <w:vMerge w:val="restart"/>
            <w:tcBorders>
              <w:top w:val="nil"/>
              <w:left w:val="nil"/>
              <w:bottom w:val="nil"/>
              <w:right w:val="nil"/>
            </w:tcBorders>
            <w:shd w:val="clear" w:color="auto" w:fill="C1C8E4"/>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b/>
                <w:bCs/>
                <w:color w:val="000000"/>
                <w:sz w:val="18"/>
              </w:rPr>
              <w:t>Добова доза основана на вазі</w:t>
            </w:r>
          </w:p>
        </w:tc>
        <w:tc>
          <w:tcPr>
            <w:tcW w:w="1411" w:type="dxa"/>
            <w:vMerge w:val="restart"/>
            <w:tcBorders>
              <w:top w:val="nil"/>
              <w:left w:val="nil"/>
              <w:bottom w:val="nil"/>
              <w:right w:val="nil"/>
            </w:tcBorders>
            <w:shd w:val="clear" w:color="auto" w:fill="C1C8E4"/>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b/>
                <w:bCs/>
                <w:color w:val="000000"/>
                <w:sz w:val="18"/>
              </w:rPr>
              <w:t>Формулювання</w:t>
            </w:r>
          </w:p>
        </w:tc>
        <w:tc>
          <w:tcPr>
            <w:tcW w:w="5760" w:type="dxa"/>
            <w:gridSpan w:val="5"/>
            <w:tcBorders>
              <w:top w:val="nil"/>
              <w:left w:val="nil"/>
              <w:bottom w:val="nil"/>
              <w:right w:val="nil"/>
            </w:tcBorders>
            <w:shd w:val="clear" w:color="auto" w:fill="C1C8E4"/>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b/>
                <w:bCs/>
                <w:color w:val="000000"/>
                <w:sz w:val="18"/>
              </w:rPr>
              <w:t>Вагові категорії для пацієнтів старше 14 років</w:t>
            </w:r>
            <w:r w:rsidRPr="006263CF">
              <w:rPr>
                <w:rFonts w:asciiTheme="minorHAnsi" w:hAnsiTheme="minorHAnsi" w:cstheme="minorHAnsi"/>
                <w:b/>
                <w:bCs/>
                <w:color w:val="000000"/>
                <w:sz w:val="18"/>
                <w:vertAlign w:val="superscript"/>
              </w:rPr>
              <w:t>3</w:t>
            </w:r>
          </w:p>
        </w:tc>
        <w:tc>
          <w:tcPr>
            <w:tcW w:w="1008" w:type="dxa"/>
            <w:vMerge w:val="restart"/>
            <w:tcBorders>
              <w:top w:val="nil"/>
              <w:left w:val="nil"/>
              <w:bottom w:val="nil"/>
              <w:right w:val="nil"/>
            </w:tcBorders>
            <w:shd w:val="clear" w:color="auto" w:fill="C1C8E4"/>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b/>
                <w:bCs/>
                <w:color w:val="000000"/>
                <w:sz w:val="18"/>
              </w:rPr>
              <w:t>Звичні добові дози</w:t>
            </w:r>
            <w:r w:rsidRPr="006263CF">
              <w:rPr>
                <w:rFonts w:asciiTheme="minorHAnsi" w:hAnsiTheme="minorHAnsi" w:cstheme="minorHAnsi"/>
                <w:b/>
                <w:bCs/>
                <w:color w:val="000000"/>
                <w:sz w:val="18"/>
                <w:vertAlign w:val="superscript"/>
              </w:rPr>
              <w:t>b</w:t>
            </w:r>
          </w:p>
        </w:tc>
        <w:tc>
          <w:tcPr>
            <w:tcW w:w="1805" w:type="dxa"/>
            <w:vMerge w:val="restart"/>
            <w:tcBorders>
              <w:top w:val="nil"/>
              <w:left w:val="nil"/>
              <w:bottom w:val="nil"/>
              <w:right w:val="nil"/>
            </w:tcBorders>
            <w:shd w:val="clear" w:color="auto" w:fill="C1C8E4"/>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b/>
                <w:bCs/>
                <w:color w:val="000000"/>
                <w:sz w:val="18"/>
              </w:rPr>
              <w:t>Коментарі</w:t>
            </w:r>
          </w:p>
        </w:tc>
      </w:tr>
      <w:tr w:rsidR="005225B5" w:rsidRPr="006263CF" w:rsidTr="00C451C7">
        <w:trPr>
          <w:trHeight w:hRule="exact" w:val="590"/>
        </w:trPr>
        <w:tc>
          <w:tcPr>
            <w:tcW w:w="1181" w:type="dxa"/>
            <w:vMerge/>
            <w:tcBorders>
              <w:top w:val="nil"/>
              <w:left w:val="nil"/>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p>
          <w:p w:rsidR="005225B5" w:rsidRPr="006263CF" w:rsidRDefault="005225B5" w:rsidP="00C451C7">
            <w:pPr>
              <w:jc w:val="center"/>
              <w:rPr>
                <w:rFonts w:asciiTheme="minorHAnsi" w:hAnsiTheme="minorHAnsi" w:cstheme="minorHAnsi"/>
                <w:sz w:val="18"/>
              </w:rPr>
            </w:pPr>
          </w:p>
        </w:tc>
        <w:tc>
          <w:tcPr>
            <w:tcW w:w="1464" w:type="dxa"/>
            <w:vMerge/>
            <w:tcBorders>
              <w:top w:val="nil"/>
              <w:left w:val="nil"/>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p>
          <w:p w:rsidR="005225B5" w:rsidRPr="006263CF" w:rsidRDefault="005225B5" w:rsidP="00C451C7">
            <w:pPr>
              <w:jc w:val="center"/>
              <w:rPr>
                <w:rFonts w:asciiTheme="minorHAnsi" w:hAnsiTheme="minorHAnsi" w:cstheme="minorHAnsi"/>
                <w:sz w:val="18"/>
              </w:rPr>
            </w:pPr>
          </w:p>
        </w:tc>
        <w:tc>
          <w:tcPr>
            <w:tcW w:w="1440" w:type="dxa"/>
            <w:vMerge/>
            <w:tcBorders>
              <w:top w:val="nil"/>
              <w:left w:val="nil"/>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p>
          <w:p w:rsidR="005225B5" w:rsidRPr="006263CF" w:rsidRDefault="005225B5" w:rsidP="00C451C7">
            <w:pPr>
              <w:jc w:val="center"/>
              <w:rPr>
                <w:rFonts w:asciiTheme="minorHAnsi" w:hAnsiTheme="minorHAnsi" w:cstheme="minorHAnsi"/>
                <w:sz w:val="18"/>
              </w:rPr>
            </w:pPr>
          </w:p>
        </w:tc>
        <w:tc>
          <w:tcPr>
            <w:tcW w:w="1411" w:type="dxa"/>
            <w:vMerge/>
            <w:tcBorders>
              <w:top w:val="nil"/>
              <w:left w:val="nil"/>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p>
          <w:p w:rsidR="005225B5" w:rsidRPr="006263CF" w:rsidRDefault="005225B5" w:rsidP="00C451C7">
            <w:pPr>
              <w:jc w:val="center"/>
              <w:rPr>
                <w:rFonts w:asciiTheme="minorHAnsi" w:hAnsiTheme="minorHAnsi" w:cstheme="minorHAnsi"/>
                <w:sz w:val="18"/>
              </w:rPr>
            </w:pPr>
          </w:p>
        </w:tc>
        <w:tc>
          <w:tcPr>
            <w:tcW w:w="1133" w:type="dxa"/>
            <w:tcBorders>
              <w:top w:val="nil"/>
              <w:left w:val="nil"/>
              <w:right w:val="nil"/>
            </w:tcBorders>
            <w:shd w:val="clear" w:color="auto" w:fill="C1C8E4"/>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b/>
                <w:bCs/>
                <w:color w:val="000000"/>
                <w:sz w:val="18"/>
              </w:rPr>
              <w:t>30-35 кг</w:t>
            </w:r>
          </w:p>
        </w:tc>
        <w:tc>
          <w:tcPr>
            <w:tcW w:w="1373" w:type="dxa"/>
            <w:tcBorders>
              <w:top w:val="nil"/>
              <w:left w:val="nil"/>
              <w:right w:val="nil"/>
            </w:tcBorders>
            <w:shd w:val="clear" w:color="auto" w:fill="C1C8E4"/>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b/>
                <w:bCs/>
                <w:color w:val="000000"/>
                <w:sz w:val="18"/>
              </w:rPr>
              <w:t>36-45 кг</w:t>
            </w:r>
          </w:p>
        </w:tc>
        <w:tc>
          <w:tcPr>
            <w:tcW w:w="1118" w:type="dxa"/>
            <w:tcBorders>
              <w:top w:val="nil"/>
              <w:left w:val="nil"/>
              <w:right w:val="nil"/>
            </w:tcBorders>
            <w:shd w:val="clear" w:color="auto" w:fill="C1C8E4"/>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b/>
                <w:bCs/>
                <w:color w:val="000000"/>
                <w:sz w:val="18"/>
              </w:rPr>
              <w:t>46-55 кг</w:t>
            </w:r>
          </w:p>
        </w:tc>
        <w:tc>
          <w:tcPr>
            <w:tcW w:w="1291" w:type="dxa"/>
            <w:tcBorders>
              <w:top w:val="nil"/>
              <w:left w:val="nil"/>
              <w:right w:val="nil"/>
            </w:tcBorders>
            <w:shd w:val="clear" w:color="auto" w:fill="C1C8E4"/>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b/>
                <w:bCs/>
                <w:color w:val="000000"/>
                <w:sz w:val="18"/>
              </w:rPr>
              <w:t>56-70 кг</w:t>
            </w:r>
          </w:p>
        </w:tc>
        <w:tc>
          <w:tcPr>
            <w:tcW w:w="845" w:type="dxa"/>
            <w:tcBorders>
              <w:top w:val="nil"/>
              <w:left w:val="nil"/>
              <w:right w:val="nil"/>
            </w:tcBorders>
            <w:shd w:val="clear" w:color="auto" w:fill="C1C8E4"/>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b/>
                <w:bCs/>
                <w:color w:val="000000"/>
                <w:sz w:val="18"/>
              </w:rPr>
              <w:t>&gt;70 кг</w:t>
            </w:r>
          </w:p>
        </w:tc>
        <w:tc>
          <w:tcPr>
            <w:tcW w:w="1008" w:type="dxa"/>
            <w:vMerge/>
            <w:tcBorders>
              <w:top w:val="nil"/>
              <w:left w:val="nil"/>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p>
          <w:p w:rsidR="005225B5" w:rsidRPr="006263CF" w:rsidRDefault="005225B5" w:rsidP="00C451C7">
            <w:pPr>
              <w:jc w:val="center"/>
              <w:rPr>
                <w:rFonts w:asciiTheme="minorHAnsi" w:hAnsiTheme="minorHAnsi" w:cstheme="minorHAnsi"/>
                <w:sz w:val="18"/>
              </w:rPr>
            </w:pPr>
          </w:p>
        </w:tc>
        <w:tc>
          <w:tcPr>
            <w:tcW w:w="1805" w:type="dxa"/>
            <w:vMerge/>
            <w:tcBorders>
              <w:top w:val="nil"/>
              <w:left w:val="nil"/>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p>
          <w:p w:rsidR="005225B5" w:rsidRPr="006263CF" w:rsidRDefault="005225B5" w:rsidP="00C451C7">
            <w:pPr>
              <w:jc w:val="center"/>
              <w:rPr>
                <w:rFonts w:asciiTheme="minorHAnsi" w:hAnsiTheme="minorHAnsi" w:cstheme="minorHAnsi"/>
                <w:sz w:val="18"/>
              </w:rPr>
            </w:pPr>
          </w:p>
        </w:tc>
      </w:tr>
      <w:tr w:rsidR="005225B5" w:rsidRPr="006263CF" w:rsidTr="00C451C7">
        <w:trPr>
          <w:trHeight w:hRule="exact" w:val="365"/>
        </w:trPr>
        <w:tc>
          <w:tcPr>
            <w:tcW w:w="1181" w:type="dxa"/>
            <w:tcBorders>
              <w:left w:val="nil"/>
              <w:bottom w:val="nil"/>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p>
        </w:tc>
        <w:tc>
          <w:tcPr>
            <w:tcW w:w="1464" w:type="dxa"/>
            <w:vMerge w:val="restart"/>
            <w:tcBorders>
              <w:left w:val="nil"/>
              <w:bottom w:val="nil"/>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Левофлоксацин</w:t>
            </w:r>
          </w:p>
        </w:tc>
        <w:tc>
          <w:tcPr>
            <w:tcW w:w="1440" w:type="dxa"/>
            <w:vMerge w:val="restart"/>
            <w:tcBorders>
              <w:left w:val="nil"/>
              <w:bottom w:val="nil"/>
              <w:right w:val="nil"/>
            </w:tcBorders>
            <w:shd w:val="clear" w:color="auto" w:fill="FFFFFF"/>
            <w:vAlign w:val="center"/>
          </w:tcPr>
          <w:p w:rsidR="005225B5" w:rsidRPr="006263CF" w:rsidRDefault="005225B5" w:rsidP="00C451C7">
            <w:pPr>
              <w:tabs>
                <w:tab w:val="left" w:leader="underscore" w:pos="739"/>
              </w:tabs>
              <w:jc w:val="center"/>
              <w:rPr>
                <w:rFonts w:asciiTheme="minorHAnsi" w:hAnsiTheme="minorHAnsi" w:cstheme="minorHAnsi"/>
                <w:sz w:val="18"/>
              </w:rPr>
            </w:pPr>
            <w:r w:rsidRPr="006263CF">
              <w:rPr>
                <w:rFonts w:asciiTheme="minorHAnsi" w:hAnsiTheme="minorHAnsi" w:cstheme="minorHAnsi"/>
                <w:color w:val="000000"/>
                <w:sz w:val="18"/>
                <w:vertAlign w:val="superscript"/>
              </w:rPr>
              <w:t>c</w:t>
            </w:r>
          </w:p>
        </w:tc>
        <w:tc>
          <w:tcPr>
            <w:tcW w:w="1411" w:type="dxa"/>
            <w:tcBorders>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250 мг таб</w:t>
            </w:r>
          </w:p>
        </w:tc>
        <w:tc>
          <w:tcPr>
            <w:tcW w:w="1133" w:type="dxa"/>
            <w:tcBorders>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3</w:t>
            </w:r>
          </w:p>
        </w:tc>
        <w:tc>
          <w:tcPr>
            <w:tcW w:w="1373" w:type="dxa"/>
            <w:tcBorders>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3</w:t>
            </w:r>
          </w:p>
        </w:tc>
        <w:tc>
          <w:tcPr>
            <w:tcW w:w="1118" w:type="dxa"/>
            <w:tcBorders>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4</w:t>
            </w:r>
          </w:p>
        </w:tc>
        <w:tc>
          <w:tcPr>
            <w:tcW w:w="1291" w:type="dxa"/>
            <w:tcBorders>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4</w:t>
            </w:r>
          </w:p>
        </w:tc>
        <w:tc>
          <w:tcPr>
            <w:tcW w:w="845" w:type="dxa"/>
            <w:tcBorders>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4</w:t>
            </w:r>
          </w:p>
        </w:tc>
        <w:tc>
          <w:tcPr>
            <w:tcW w:w="1008" w:type="dxa"/>
            <w:tcBorders>
              <w:left w:val="nil"/>
              <w:bottom w:val="nil"/>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p>
        </w:tc>
        <w:tc>
          <w:tcPr>
            <w:tcW w:w="1805" w:type="dxa"/>
            <w:tcBorders>
              <w:left w:val="nil"/>
              <w:bottom w:val="nil"/>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p>
        </w:tc>
      </w:tr>
      <w:tr w:rsidR="005225B5" w:rsidRPr="006263CF" w:rsidTr="00C451C7">
        <w:trPr>
          <w:trHeight w:hRule="exact" w:val="374"/>
        </w:trPr>
        <w:tc>
          <w:tcPr>
            <w:tcW w:w="1181" w:type="dxa"/>
            <w:tcBorders>
              <w:top w:val="nil"/>
              <w:left w:val="nil"/>
              <w:bottom w:val="nil"/>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p>
        </w:tc>
        <w:tc>
          <w:tcPr>
            <w:tcW w:w="1464" w:type="dxa"/>
            <w:vMerge/>
            <w:tcBorders>
              <w:top w:val="nil"/>
              <w:left w:val="nil"/>
              <w:bottom w:val="nil"/>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p>
          <w:p w:rsidR="005225B5" w:rsidRPr="006263CF" w:rsidRDefault="005225B5" w:rsidP="00C451C7">
            <w:pPr>
              <w:jc w:val="center"/>
              <w:rPr>
                <w:rFonts w:asciiTheme="minorHAnsi" w:hAnsiTheme="minorHAnsi" w:cstheme="minorHAnsi"/>
                <w:sz w:val="18"/>
              </w:rPr>
            </w:pPr>
          </w:p>
        </w:tc>
        <w:tc>
          <w:tcPr>
            <w:tcW w:w="1440" w:type="dxa"/>
            <w:vMerge/>
            <w:tcBorders>
              <w:top w:val="nil"/>
              <w:left w:val="nil"/>
              <w:bottom w:val="nil"/>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p>
          <w:p w:rsidR="005225B5" w:rsidRPr="006263CF" w:rsidRDefault="005225B5" w:rsidP="00C451C7">
            <w:pPr>
              <w:jc w:val="center"/>
              <w:rPr>
                <w:rFonts w:asciiTheme="minorHAnsi" w:hAnsiTheme="minorHAnsi" w:cstheme="minorHAnsi"/>
                <w:sz w:val="18"/>
              </w:rPr>
            </w:pPr>
          </w:p>
        </w:tc>
        <w:tc>
          <w:tcPr>
            <w:tcW w:w="1411"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500 мг таб</w:t>
            </w:r>
          </w:p>
        </w:tc>
        <w:tc>
          <w:tcPr>
            <w:tcW w:w="1133"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1,5</w:t>
            </w:r>
          </w:p>
        </w:tc>
        <w:tc>
          <w:tcPr>
            <w:tcW w:w="1373"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1,5</w:t>
            </w:r>
          </w:p>
        </w:tc>
        <w:tc>
          <w:tcPr>
            <w:tcW w:w="1118"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2</w:t>
            </w:r>
          </w:p>
        </w:tc>
        <w:tc>
          <w:tcPr>
            <w:tcW w:w="1291"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2</w:t>
            </w:r>
          </w:p>
        </w:tc>
        <w:tc>
          <w:tcPr>
            <w:tcW w:w="845"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2</w:t>
            </w:r>
          </w:p>
        </w:tc>
        <w:tc>
          <w:tcPr>
            <w:tcW w:w="1008" w:type="dxa"/>
            <w:tcBorders>
              <w:top w:val="nil"/>
              <w:left w:val="nil"/>
              <w:bottom w:val="nil"/>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1.5 г</w:t>
            </w:r>
          </w:p>
        </w:tc>
        <w:tc>
          <w:tcPr>
            <w:tcW w:w="1805" w:type="dxa"/>
            <w:tcBorders>
              <w:top w:val="nil"/>
              <w:left w:val="nil"/>
              <w:bottom w:val="nil"/>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p>
        </w:tc>
      </w:tr>
      <w:tr w:rsidR="005225B5" w:rsidRPr="006263CF" w:rsidTr="00C451C7">
        <w:trPr>
          <w:trHeight w:hRule="exact" w:val="370"/>
        </w:trPr>
        <w:tc>
          <w:tcPr>
            <w:tcW w:w="1181" w:type="dxa"/>
            <w:tcBorders>
              <w:top w:val="nil"/>
              <w:left w:val="nil"/>
              <w:bottom w:val="nil"/>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p>
        </w:tc>
        <w:tc>
          <w:tcPr>
            <w:tcW w:w="1464" w:type="dxa"/>
            <w:vMerge/>
            <w:tcBorders>
              <w:top w:val="nil"/>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p>
          <w:p w:rsidR="005225B5" w:rsidRPr="006263CF" w:rsidRDefault="005225B5" w:rsidP="00C451C7">
            <w:pPr>
              <w:jc w:val="center"/>
              <w:rPr>
                <w:rFonts w:asciiTheme="minorHAnsi" w:hAnsiTheme="minorHAnsi" w:cstheme="minorHAnsi"/>
                <w:sz w:val="18"/>
              </w:rPr>
            </w:pPr>
          </w:p>
        </w:tc>
        <w:tc>
          <w:tcPr>
            <w:tcW w:w="1440" w:type="dxa"/>
            <w:vMerge/>
            <w:tcBorders>
              <w:top w:val="nil"/>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p>
          <w:p w:rsidR="005225B5" w:rsidRPr="006263CF" w:rsidRDefault="005225B5" w:rsidP="00C451C7">
            <w:pPr>
              <w:jc w:val="center"/>
              <w:rPr>
                <w:rFonts w:asciiTheme="minorHAnsi" w:hAnsiTheme="minorHAnsi" w:cstheme="minorHAnsi"/>
                <w:sz w:val="18"/>
              </w:rPr>
            </w:pPr>
          </w:p>
        </w:tc>
        <w:tc>
          <w:tcPr>
            <w:tcW w:w="1411"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750 мг таб</w:t>
            </w:r>
          </w:p>
        </w:tc>
        <w:tc>
          <w:tcPr>
            <w:tcW w:w="1133"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1</w:t>
            </w:r>
          </w:p>
        </w:tc>
        <w:tc>
          <w:tcPr>
            <w:tcW w:w="1373"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1</w:t>
            </w:r>
          </w:p>
        </w:tc>
        <w:tc>
          <w:tcPr>
            <w:tcW w:w="1118"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1,5</w:t>
            </w:r>
          </w:p>
        </w:tc>
        <w:tc>
          <w:tcPr>
            <w:tcW w:w="1291"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1,5</w:t>
            </w:r>
          </w:p>
        </w:tc>
        <w:tc>
          <w:tcPr>
            <w:tcW w:w="845"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1,5</w:t>
            </w:r>
          </w:p>
        </w:tc>
        <w:tc>
          <w:tcPr>
            <w:tcW w:w="1008" w:type="dxa"/>
            <w:tcBorders>
              <w:top w:val="nil"/>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p>
        </w:tc>
        <w:tc>
          <w:tcPr>
            <w:tcW w:w="1805" w:type="dxa"/>
            <w:tcBorders>
              <w:top w:val="nil"/>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p>
        </w:tc>
      </w:tr>
      <w:tr w:rsidR="005225B5" w:rsidRPr="006263CF" w:rsidTr="00C451C7">
        <w:trPr>
          <w:trHeight w:hRule="exact" w:val="595"/>
        </w:trPr>
        <w:tc>
          <w:tcPr>
            <w:tcW w:w="1181" w:type="dxa"/>
            <w:tcBorders>
              <w:top w:val="nil"/>
              <w:left w:val="nil"/>
              <w:bottom w:val="nil"/>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b/>
                <w:bCs/>
                <w:color w:val="000000"/>
                <w:sz w:val="28"/>
                <w:szCs w:val="32"/>
              </w:rPr>
              <w:t>A</w:t>
            </w:r>
          </w:p>
        </w:tc>
        <w:tc>
          <w:tcPr>
            <w:tcW w:w="1464" w:type="dxa"/>
            <w:vMerge w:val="restart"/>
            <w:tcBorders>
              <w:top w:val="single" w:sz="4" w:space="0" w:color="1F61AA"/>
              <w:left w:val="nil"/>
              <w:bottom w:val="nil"/>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Моксифлоксацин</w:t>
            </w:r>
          </w:p>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Бедаквілін Лінезолід</w:t>
            </w:r>
          </w:p>
        </w:tc>
        <w:tc>
          <w:tcPr>
            <w:tcW w:w="1440"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Стандартна</w:t>
            </w:r>
          </w:p>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 xml:space="preserve">доза </w:t>
            </w:r>
            <w:r w:rsidRPr="006263CF">
              <w:rPr>
                <w:rFonts w:asciiTheme="minorHAnsi" w:hAnsiTheme="minorHAnsi" w:cstheme="minorHAnsi"/>
                <w:color w:val="000000"/>
                <w:sz w:val="18"/>
                <w:vertAlign w:val="superscript"/>
              </w:rPr>
              <w:t>c,d</w:t>
            </w:r>
          </w:p>
        </w:tc>
        <w:tc>
          <w:tcPr>
            <w:tcW w:w="1411"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400 мг таб</w:t>
            </w:r>
          </w:p>
        </w:tc>
        <w:tc>
          <w:tcPr>
            <w:tcW w:w="1133"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1</w:t>
            </w:r>
          </w:p>
        </w:tc>
        <w:tc>
          <w:tcPr>
            <w:tcW w:w="1373"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1</w:t>
            </w:r>
          </w:p>
        </w:tc>
        <w:tc>
          <w:tcPr>
            <w:tcW w:w="1118"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1</w:t>
            </w:r>
          </w:p>
        </w:tc>
        <w:tc>
          <w:tcPr>
            <w:tcW w:w="1291"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1</w:t>
            </w:r>
          </w:p>
        </w:tc>
        <w:tc>
          <w:tcPr>
            <w:tcW w:w="845"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1</w:t>
            </w:r>
          </w:p>
        </w:tc>
        <w:tc>
          <w:tcPr>
            <w:tcW w:w="1008"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400 мг</w:t>
            </w:r>
          </w:p>
        </w:tc>
        <w:tc>
          <w:tcPr>
            <w:tcW w:w="1805" w:type="dxa"/>
            <w:tcBorders>
              <w:top w:val="single" w:sz="4" w:space="0" w:color="1F61AA"/>
              <w:left w:val="nil"/>
              <w:bottom w:val="nil"/>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p>
        </w:tc>
      </w:tr>
      <w:tr w:rsidR="005225B5" w:rsidRPr="006263CF" w:rsidTr="00C451C7">
        <w:trPr>
          <w:trHeight w:hRule="exact" w:val="370"/>
        </w:trPr>
        <w:tc>
          <w:tcPr>
            <w:tcW w:w="1181" w:type="dxa"/>
            <w:tcBorders>
              <w:top w:val="nil"/>
              <w:left w:val="nil"/>
              <w:bottom w:val="nil"/>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p>
        </w:tc>
        <w:tc>
          <w:tcPr>
            <w:tcW w:w="1464" w:type="dxa"/>
            <w:vMerge/>
            <w:tcBorders>
              <w:top w:val="nil"/>
              <w:left w:val="nil"/>
              <w:bottom w:val="nil"/>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p>
          <w:p w:rsidR="005225B5" w:rsidRPr="006263CF" w:rsidRDefault="005225B5" w:rsidP="00C451C7">
            <w:pPr>
              <w:jc w:val="center"/>
              <w:rPr>
                <w:rFonts w:asciiTheme="minorHAnsi" w:hAnsiTheme="minorHAnsi" w:cstheme="minorHAnsi"/>
                <w:sz w:val="18"/>
              </w:rPr>
            </w:pPr>
          </w:p>
        </w:tc>
        <w:tc>
          <w:tcPr>
            <w:tcW w:w="1440"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Висока доза</w:t>
            </w:r>
            <w:r w:rsidRPr="006263CF">
              <w:rPr>
                <w:rFonts w:asciiTheme="minorHAnsi" w:hAnsiTheme="minorHAnsi" w:cstheme="minorHAnsi"/>
                <w:color w:val="000000"/>
                <w:sz w:val="18"/>
                <w:vertAlign w:val="superscript"/>
              </w:rPr>
              <w:t>c,d</w:t>
            </w:r>
          </w:p>
        </w:tc>
        <w:tc>
          <w:tcPr>
            <w:tcW w:w="1411"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400 мг таб</w:t>
            </w:r>
          </w:p>
        </w:tc>
        <w:tc>
          <w:tcPr>
            <w:tcW w:w="1133"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1 або 1.5</w:t>
            </w:r>
          </w:p>
        </w:tc>
        <w:tc>
          <w:tcPr>
            <w:tcW w:w="1373"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1,5</w:t>
            </w:r>
          </w:p>
        </w:tc>
        <w:tc>
          <w:tcPr>
            <w:tcW w:w="1118"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1.5 або 2</w:t>
            </w:r>
          </w:p>
        </w:tc>
        <w:tc>
          <w:tcPr>
            <w:tcW w:w="1291"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2</w:t>
            </w:r>
          </w:p>
        </w:tc>
        <w:tc>
          <w:tcPr>
            <w:tcW w:w="845"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2</w:t>
            </w:r>
          </w:p>
        </w:tc>
        <w:tc>
          <w:tcPr>
            <w:tcW w:w="1008"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800 мг</w:t>
            </w:r>
          </w:p>
        </w:tc>
        <w:tc>
          <w:tcPr>
            <w:tcW w:w="1805" w:type="dxa"/>
            <w:tcBorders>
              <w:top w:val="nil"/>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p>
        </w:tc>
      </w:tr>
      <w:tr w:rsidR="005225B5" w:rsidRPr="006263CF" w:rsidTr="00C451C7">
        <w:trPr>
          <w:trHeight w:hRule="exact" w:val="588"/>
        </w:trPr>
        <w:tc>
          <w:tcPr>
            <w:tcW w:w="1181" w:type="dxa"/>
            <w:tcBorders>
              <w:top w:val="nil"/>
              <w:left w:val="nil"/>
              <w:bottom w:val="nil"/>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p>
        </w:tc>
        <w:tc>
          <w:tcPr>
            <w:tcW w:w="1464" w:type="dxa"/>
            <w:vMerge/>
            <w:tcBorders>
              <w:top w:val="nil"/>
              <w:left w:val="nil"/>
              <w:bottom w:val="nil"/>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p>
          <w:p w:rsidR="005225B5" w:rsidRPr="006263CF" w:rsidRDefault="005225B5" w:rsidP="00C451C7">
            <w:pPr>
              <w:jc w:val="center"/>
              <w:rPr>
                <w:rFonts w:asciiTheme="minorHAnsi" w:hAnsiTheme="minorHAnsi" w:cstheme="minorHAnsi"/>
                <w:sz w:val="18"/>
              </w:rPr>
            </w:pPr>
          </w:p>
        </w:tc>
        <w:tc>
          <w:tcPr>
            <w:tcW w:w="1440"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tabs>
                <w:tab w:val="left" w:leader="underscore" w:pos="739"/>
              </w:tabs>
              <w:jc w:val="center"/>
              <w:rPr>
                <w:rFonts w:asciiTheme="minorHAnsi" w:hAnsiTheme="minorHAnsi" w:cstheme="minorHAnsi"/>
                <w:sz w:val="18"/>
              </w:rPr>
            </w:pPr>
            <w:r w:rsidRPr="006263CF">
              <w:rPr>
                <w:rFonts w:asciiTheme="minorHAnsi" w:hAnsiTheme="minorHAnsi" w:cstheme="minorHAnsi"/>
                <w:color w:val="000000"/>
                <w:sz w:val="18"/>
                <w:vertAlign w:val="superscript"/>
              </w:rPr>
              <w:t>c</w:t>
            </w:r>
          </w:p>
        </w:tc>
        <w:tc>
          <w:tcPr>
            <w:tcW w:w="1411"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100 мг таб</w:t>
            </w:r>
          </w:p>
        </w:tc>
        <w:tc>
          <w:tcPr>
            <w:tcW w:w="5760" w:type="dxa"/>
            <w:gridSpan w:val="5"/>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4 таблетки у перші 2 тижні; потім 2 таблетки у Пн/Ср/Пт протягом 22 тижнів</w:t>
            </w:r>
          </w:p>
        </w:tc>
        <w:tc>
          <w:tcPr>
            <w:tcW w:w="1008"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400 мг</w:t>
            </w:r>
          </w:p>
        </w:tc>
        <w:tc>
          <w:tcPr>
            <w:tcW w:w="1805"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p>
        </w:tc>
      </w:tr>
      <w:tr w:rsidR="005225B5" w:rsidRPr="006263CF" w:rsidTr="00C451C7">
        <w:trPr>
          <w:trHeight w:hRule="exact" w:val="374"/>
        </w:trPr>
        <w:tc>
          <w:tcPr>
            <w:tcW w:w="1181" w:type="dxa"/>
            <w:tcBorders>
              <w:top w:val="nil"/>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p>
        </w:tc>
        <w:tc>
          <w:tcPr>
            <w:tcW w:w="1464" w:type="dxa"/>
            <w:vMerge/>
            <w:tcBorders>
              <w:top w:val="nil"/>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p>
          <w:p w:rsidR="005225B5" w:rsidRPr="006263CF" w:rsidRDefault="005225B5" w:rsidP="00C451C7">
            <w:pPr>
              <w:jc w:val="center"/>
              <w:rPr>
                <w:rFonts w:asciiTheme="minorHAnsi" w:hAnsiTheme="minorHAnsi" w:cstheme="minorHAnsi"/>
                <w:sz w:val="18"/>
              </w:rPr>
            </w:pPr>
          </w:p>
        </w:tc>
        <w:tc>
          <w:tcPr>
            <w:tcW w:w="1440"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tabs>
                <w:tab w:val="left" w:leader="underscore" w:pos="739"/>
              </w:tabs>
              <w:jc w:val="center"/>
              <w:rPr>
                <w:rFonts w:asciiTheme="minorHAnsi" w:hAnsiTheme="minorHAnsi" w:cstheme="minorHAnsi"/>
                <w:sz w:val="18"/>
              </w:rPr>
            </w:pPr>
            <w:r w:rsidRPr="006263CF">
              <w:rPr>
                <w:rFonts w:asciiTheme="minorHAnsi" w:hAnsiTheme="minorHAnsi" w:cstheme="minorHAnsi"/>
                <w:color w:val="000000"/>
                <w:sz w:val="18"/>
                <w:vertAlign w:val="superscript"/>
              </w:rPr>
              <w:t>c</w:t>
            </w:r>
          </w:p>
        </w:tc>
        <w:tc>
          <w:tcPr>
            <w:tcW w:w="1411"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600 мг таб</w:t>
            </w:r>
          </w:p>
        </w:tc>
        <w:tc>
          <w:tcPr>
            <w:tcW w:w="1133"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(&lt;15 р)</w:t>
            </w:r>
          </w:p>
        </w:tc>
        <w:tc>
          <w:tcPr>
            <w:tcW w:w="1373"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(&lt;15 р)</w:t>
            </w:r>
          </w:p>
        </w:tc>
        <w:tc>
          <w:tcPr>
            <w:tcW w:w="1118"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1</w:t>
            </w:r>
          </w:p>
        </w:tc>
        <w:tc>
          <w:tcPr>
            <w:tcW w:w="1291"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1</w:t>
            </w:r>
          </w:p>
        </w:tc>
        <w:tc>
          <w:tcPr>
            <w:tcW w:w="845"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1</w:t>
            </w:r>
          </w:p>
        </w:tc>
        <w:tc>
          <w:tcPr>
            <w:tcW w:w="1008"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1.2 г</w:t>
            </w:r>
          </w:p>
        </w:tc>
        <w:tc>
          <w:tcPr>
            <w:tcW w:w="1805"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p>
        </w:tc>
      </w:tr>
      <w:tr w:rsidR="005225B5" w:rsidRPr="006263CF" w:rsidTr="00C451C7">
        <w:trPr>
          <w:trHeight w:hRule="exact" w:val="590"/>
        </w:trPr>
        <w:tc>
          <w:tcPr>
            <w:tcW w:w="1181" w:type="dxa"/>
            <w:tcBorders>
              <w:top w:val="single" w:sz="4" w:space="0" w:color="1F61AA"/>
              <w:left w:val="nil"/>
              <w:bottom w:val="nil"/>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p>
        </w:tc>
        <w:tc>
          <w:tcPr>
            <w:tcW w:w="1464" w:type="dxa"/>
            <w:vMerge w:val="restart"/>
            <w:tcBorders>
              <w:top w:val="single" w:sz="4" w:space="0" w:color="1F61AA"/>
              <w:left w:val="nil"/>
              <w:bottom w:val="nil"/>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Клофазимін</w:t>
            </w:r>
          </w:p>
        </w:tc>
        <w:tc>
          <w:tcPr>
            <w:tcW w:w="1440" w:type="dxa"/>
            <w:vMerge w:val="restart"/>
            <w:tcBorders>
              <w:top w:val="single" w:sz="4" w:space="0" w:color="1F61AA"/>
              <w:left w:val="nil"/>
              <w:bottom w:val="nil"/>
              <w:right w:val="nil"/>
            </w:tcBorders>
            <w:shd w:val="clear" w:color="auto" w:fill="FFFFFF"/>
            <w:vAlign w:val="center"/>
          </w:tcPr>
          <w:p w:rsidR="005225B5" w:rsidRPr="006263CF" w:rsidRDefault="005225B5" w:rsidP="00C451C7">
            <w:pPr>
              <w:tabs>
                <w:tab w:val="left" w:leader="underscore" w:pos="739"/>
              </w:tabs>
              <w:jc w:val="center"/>
              <w:rPr>
                <w:rFonts w:asciiTheme="minorHAnsi" w:hAnsiTheme="minorHAnsi" w:cstheme="minorHAnsi"/>
                <w:sz w:val="18"/>
              </w:rPr>
            </w:pPr>
            <w:r w:rsidRPr="006263CF">
              <w:rPr>
                <w:rFonts w:asciiTheme="minorHAnsi" w:hAnsiTheme="minorHAnsi" w:cstheme="minorHAnsi"/>
                <w:color w:val="000000"/>
                <w:sz w:val="18"/>
                <w:vertAlign w:val="superscript"/>
              </w:rPr>
              <w:t>c</w:t>
            </w:r>
          </w:p>
        </w:tc>
        <w:tc>
          <w:tcPr>
            <w:tcW w:w="1411"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50 мг капсула</w:t>
            </w:r>
          </w:p>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або таблетки</w:t>
            </w:r>
            <w:r w:rsidRPr="006263CF">
              <w:rPr>
                <w:rFonts w:asciiTheme="minorHAnsi" w:hAnsiTheme="minorHAnsi" w:cstheme="minorHAnsi"/>
                <w:color w:val="000000"/>
                <w:sz w:val="18"/>
                <w:vertAlign w:val="superscript"/>
              </w:rPr>
              <w:t>e</w:t>
            </w:r>
          </w:p>
        </w:tc>
        <w:tc>
          <w:tcPr>
            <w:tcW w:w="1133"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2</w:t>
            </w:r>
          </w:p>
        </w:tc>
        <w:tc>
          <w:tcPr>
            <w:tcW w:w="1373"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2</w:t>
            </w:r>
          </w:p>
        </w:tc>
        <w:tc>
          <w:tcPr>
            <w:tcW w:w="1118"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2</w:t>
            </w:r>
          </w:p>
        </w:tc>
        <w:tc>
          <w:tcPr>
            <w:tcW w:w="1291"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2</w:t>
            </w:r>
          </w:p>
        </w:tc>
        <w:tc>
          <w:tcPr>
            <w:tcW w:w="845"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2</w:t>
            </w:r>
          </w:p>
        </w:tc>
        <w:tc>
          <w:tcPr>
            <w:tcW w:w="1008"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100 мг</w:t>
            </w:r>
          </w:p>
        </w:tc>
        <w:tc>
          <w:tcPr>
            <w:tcW w:w="1805" w:type="dxa"/>
            <w:tcBorders>
              <w:top w:val="single" w:sz="4" w:space="0" w:color="1F61AA"/>
              <w:left w:val="nil"/>
              <w:bottom w:val="nil"/>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p>
        </w:tc>
      </w:tr>
      <w:tr w:rsidR="005225B5" w:rsidRPr="006263CF" w:rsidTr="00C451C7">
        <w:trPr>
          <w:trHeight w:hRule="exact" w:val="590"/>
        </w:trPr>
        <w:tc>
          <w:tcPr>
            <w:tcW w:w="1181" w:type="dxa"/>
            <w:tcBorders>
              <w:top w:val="nil"/>
              <w:left w:val="nil"/>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b/>
                <w:bCs/>
                <w:color w:val="000000"/>
                <w:sz w:val="24"/>
                <w:szCs w:val="28"/>
              </w:rPr>
              <w:t>В</w:t>
            </w:r>
          </w:p>
        </w:tc>
        <w:tc>
          <w:tcPr>
            <w:tcW w:w="1464" w:type="dxa"/>
            <w:vMerge/>
            <w:tcBorders>
              <w:top w:val="nil"/>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p>
          <w:p w:rsidR="005225B5" w:rsidRPr="006263CF" w:rsidRDefault="005225B5" w:rsidP="00C451C7">
            <w:pPr>
              <w:jc w:val="center"/>
              <w:rPr>
                <w:rFonts w:asciiTheme="minorHAnsi" w:hAnsiTheme="minorHAnsi" w:cstheme="minorHAnsi"/>
                <w:sz w:val="18"/>
              </w:rPr>
            </w:pPr>
          </w:p>
        </w:tc>
        <w:tc>
          <w:tcPr>
            <w:tcW w:w="1440" w:type="dxa"/>
            <w:vMerge/>
            <w:tcBorders>
              <w:top w:val="nil"/>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p>
          <w:p w:rsidR="005225B5" w:rsidRPr="006263CF" w:rsidRDefault="005225B5" w:rsidP="00C451C7">
            <w:pPr>
              <w:jc w:val="center"/>
              <w:rPr>
                <w:rFonts w:asciiTheme="minorHAnsi" w:hAnsiTheme="minorHAnsi" w:cstheme="minorHAnsi"/>
                <w:sz w:val="18"/>
              </w:rPr>
            </w:pPr>
          </w:p>
        </w:tc>
        <w:tc>
          <w:tcPr>
            <w:tcW w:w="1411"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100 мг капсула</w:t>
            </w:r>
          </w:p>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або таблетки</w:t>
            </w:r>
            <w:r w:rsidRPr="006263CF">
              <w:rPr>
                <w:rFonts w:asciiTheme="minorHAnsi" w:hAnsiTheme="minorHAnsi" w:cstheme="minorHAnsi"/>
                <w:color w:val="000000"/>
                <w:sz w:val="18"/>
                <w:vertAlign w:val="superscript"/>
              </w:rPr>
              <w:t>e</w:t>
            </w:r>
          </w:p>
        </w:tc>
        <w:tc>
          <w:tcPr>
            <w:tcW w:w="1133"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1</w:t>
            </w:r>
          </w:p>
        </w:tc>
        <w:tc>
          <w:tcPr>
            <w:tcW w:w="1373"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1</w:t>
            </w:r>
          </w:p>
        </w:tc>
        <w:tc>
          <w:tcPr>
            <w:tcW w:w="1118"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1</w:t>
            </w:r>
          </w:p>
        </w:tc>
        <w:tc>
          <w:tcPr>
            <w:tcW w:w="1291"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1</w:t>
            </w:r>
          </w:p>
        </w:tc>
        <w:tc>
          <w:tcPr>
            <w:tcW w:w="845"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1</w:t>
            </w:r>
          </w:p>
        </w:tc>
        <w:tc>
          <w:tcPr>
            <w:tcW w:w="1008"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100 мг</w:t>
            </w:r>
          </w:p>
        </w:tc>
        <w:tc>
          <w:tcPr>
            <w:tcW w:w="1805" w:type="dxa"/>
            <w:tcBorders>
              <w:top w:val="nil"/>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p>
        </w:tc>
      </w:tr>
      <w:tr w:rsidR="005225B5" w:rsidRPr="006263CF" w:rsidTr="00C451C7">
        <w:trPr>
          <w:trHeight w:hRule="exact" w:val="610"/>
        </w:trPr>
        <w:tc>
          <w:tcPr>
            <w:tcW w:w="1181" w:type="dxa"/>
            <w:tcBorders>
              <w:top w:val="nil"/>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p>
        </w:tc>
        <w:tc>
          <w:tcPr>
            <w:tcW w:w="1464"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Циклосерин або теризідон</w:t>
            </w:r>
          </w:p>
        </w:tc>
        <w:tc>
          <w:tcPr>
            <w:tcW w:w="1440"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10-15 мг/кг</w:t>
            </w:r>
          </w:p>
        </w:tc>
        <w:tc>
          <w:tcPr>
            <w:tcW w:w="1411"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250 мг капсула</w:t>
            </w:r>
          </w:p>
        </w:tc>
        <w:tc>
          <w:tcPr>
            <w:tcW w:w="1133"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2</w:t>
            </w:r>
          </w:p>
        </w:tc>
        <w:tc>
          <w:tcPr>
            <w:tcW w:w="1373"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2</w:t>
            </w:r>
          </w:p>
        </w:tc>
        <w:tc>
          <w:tcPr>
            <w:tcW w:w="1118"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3</w:t>
            </w:r>
          </w:p>
        </w:tc>
        <w:tc>
          <w:tcPr>
            <w:tcW w:w="1291"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3</w:t>
            </w:r>
          </w:p>
        </w:tc>
        <w:tc>
          <w:tcPr>
            <w:tcW w:w="845"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3</w:t>
            </w:r>
          </w:p>
        </w:tc>
        <w:tc>
          <w:tcPr>
            <w:tcW w:w="1008"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1 г</w:t>
            </w:r>
          </w:p>
        </w:tc>
        <w:tc>
          <w:tcPr>
            <w:tcW w:w="1805"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p>
        </w:tc>
      </w:tr>
    </w:tbl>
    <w:p w:rsidR="005225B5" w:rsidRPr="006263CF" w:rsidRDefault="005225B5" w:rsidP="006263CF">
      <w:pPr>
        <w:rPr>
          <w:rFonts w:asciiTheme="minorHAnsi" w:hAnsiTheme="minorHAnsi" w:cstheme="minorHAnsi"/>
          <w:sz w:val="18"/>
        </w:rPr>
        <w:sectPr w:rsidR="005225B5" w:rsidRPr="006263CF" w:rsidSect="00445738">
          <w:headerReference w:type="default" r:id="rId46"/>
          <w:footerReference w:type="default" r:id="rId47"/>
          <w:pgSz w:w="16838" w:h="11904" w:orient="landscape"/>
          <w:pgMar w:top="1373" w:right="1382" w:bottom="426" w:left="1387"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075"/>
        <w:gridCol w:w="1560"/>
        <w:gridCol w:w="1402"/>
        <w:gridCol w:w="1512"/>
        <w:gridCol w:w="1085"/>
        <w:gridCol w:w="1267"/>
        <w:gridCol w:w="1253"/>
        <w:gridCol w:w="1267"/>
        <w:gridCol w:w="854"/>
        <w:gridCol w:w="869"/>
        <w:gridCol w:w="1906"/>
      </w:tblGrid>
      <w:tr w:rsidR="00C451C7" w:rsidRPr="006263CF" w:rsidTr="00080638">
        <w:trPr>
          <w:trHeight w:hRule="exact" w:val="466"/>
        </w:trPr>
        <w:tc>
          <w:tcPr>
            <w:tcW w:w="1075" w:type="dxa"/>
            <w:vMerge w:val="restart"/>
            <w:tcBorders>
              <w:left w:val="nil"/>
              <w:right w:val="nil"/>
            </w:tcBorders>
            <w:shd w:val="clear" w:color="auto" w:fill="C1C8E4"/>
            <w:vAlign w:val="center"/>
          </w:tcPr>
          <w:p w:rsidR="00C451C7" w:rsidRPr="006263CF" w:rsidRDefault="00C451C7" w:rsidP="00C451C7">
            <w:pPr>
              <w:jc w:val="center"/>
              <w:rPr>
                <w:rFonts w:asciiTheme="minorHAnsi" w:hAnsiTheme="minorHAnsi" w:cstheme="minorHAnsi"/>
                <w:sz w:val="18"/>
              </w:rPr>
            </w:pPr>
            <w:r w:rsidRPr="006263CF">
              <w:rPr>
                <w:rFonts w:asciiTheme="minorHAnsi" w:hAnsiTheme="minorHAnsi" w:cstheme="minorHAnsi"/>
                <w:b/>
                <w:bCs/>
                <w:color w:val="000000"/>
                <w:sz w:val="18"/>
              </w:rPr>
              <w:lastRenderedPageBreak/>
              <w:t>Група</w:t>
            </w:r>
          </w:p>
        </w:tc>
        <w:tc>
          <w:tcPr>
            <w:tcW w:w="1560" w:type="dxa"/>
            <w:vMerge w:val="restart"/>
            <w:tcBorders>
              <w:left w:val="nil"/>
              <w:right w:val="nil"/>
            </w:tcBorders>
            <w:shd w:val="clear" w:color="auto" w:fill="C1C8E4"/>
            <w:vAlign w:val="center"/>
          </w:tcPr>
          <w:p w:rsidR="00C451C7" w:rsidRPr="006263CF" w:rsidRDefault="00C451C7" w:rsidP="00C451C7">
            <w:pPr>
              <w:jc w:val="center"/>
              <w:rPr>
                <w:rFonts w:asciiTheme="minorHAnsi" w:hAnsiTheme="minorHAnsi" w:cstheme="minorHAnsi"/>
                <w:sz w:val="18"/>
              </w:rPr>
            </w:pPr>
            <w:r w:rsidRPr="006263CF">
              <w:rPr>
                <w:rFonts w:asciiTheme="minorHAnsi" w:hAnsiTheme="minorHAnsi" w:cstheme="minorHAnsi"/>
                <w:b/>
                <w:bCs/>
                <w:color w:val="000000"/>
                <w:sz w:val="18"/>
              </w:rPr>
              <w:t>Лікарський препарат</w:t>
            </w:r>
          </w:p>
        </w:tc>
        <w:tc>
          <w:tcPr>
            <w:tcW w:w="1402" w:type="dxa"/>
            <w:vMerge w:val="restart"/>
            <w:tcBorders>
              <w:left w:val="nil"/>
              <w:right w:val="nil"/>
            </w:tcBorders>
            <w:shd w:val="clear" w:color="auto" w:fill="C1C8E4"/>
            <w:vAlign w:val="center"/>
          </w:tcPr>
          <w:p w:rsidR="00C451C7" w:rsidRPr="006263CF" w:rsidRDefault="00C451C7" w:rsidP="00C451C7">
            <w:pPr>
              <w:jc w:val="center"/>
              <w:rPr>
                <w:rFonts w:asciiTheme="minorHAnsi" w:hAnsiTheme="minorHAnsi" w:cstheme="minorHAnsi"/>
                <w:sz w:val="18"/>
              </w:rPr>
            </w:pPr>
            <w:r w:rsidRPr="006263CF">
              <w:rPr>
                <w:rFonts w:asciiTheme="minorHAnsi" w:hAnsiTheme="minorHAnsi" w:cstheme="minorHAnsi"/>
                <w:b/>
                <w:bCs/>
                <w:color w:val="000000"/>
                <w:sz w:val="18"/>
              </w:rPr>
              <w:t>Добова доза основана на вазі</w:t>
            </w:r>
          </w:p>
        </w:tc>
        <w:tc>
          <w:tcPr>
            <w:tcW w:w="1512" w:type="dxa"/>
            <w:vMerge w:val="restart"/>
            <w:tcBorders>
              <w:left w:val="nil"/>
              <w:right w:val="nil"/>
            </w:tcBorders>
            <w:shd w:val="clear" w:color="auto" w:fill="C1C8E4"/>
            <w:vAlign w:val="center"/>
          </w:tcPr>
          <w:p w:rsidR="00C451C7" w:rsidRPr="006263CF" w:rsidRDefault="00C451C7" w:rsidP="00C451C7">
            <w:pPr>
              <w:jc w:val="center"/>
              <w:rPr>
                <w:rFonts w:asciiTheme="minorHAnsi" w:hAnsiTheme="minorHAnsi" w:cstheme="minorHAnsi"/>
                <w:sz w:val="18"/>
              </w:rPr>
            </w:pPr>
            <w:r w:rsidRPr="006263CF">
              <w:rPr>
                <w:rFonts w:asciiTheme="minorHAnsi" w:hAnsiTheme="minorHAnsi" w:cstheme="minorHAnsi"/>
                <w:b/>
                <w:bCs/>
                <w:color w:val="000000"/>
                <w:sz w:val="18"/>
              </w:rPr>
              <w:t>Формулювання</w:t>
            </w:r>
          </w:p>
        </w:tc>
        <w:tc>
          <w:tcPr>
            <w:tcW w:w="5726" w:type="dxa"/>
            <w:gridSpan w:val="5"/>
            <w:tcBorders>
              <w:left w:val="nil"/>
              <w:bottom w:val="nil"/>
              <w:right w:val="nil"/>
            </w:tcBorders>
            <w:shd w:val="clear" w:color="auto" w:fill="C1C8E4"/>
            <w:vAlign w:val="center"/>
          </w:tcPr>
          <w:p w:rsidR="00C451C7" w:rsidRPr="006263CF" w:rsidRDefault="00C451C7" w:rsidP="00C451C7">
            <w:pPr>
              <w:jc w:val="center"/>
              <w:rPr>
                <w:rFonts w:asciiTheme="minorHAnsi" w:hAnsiTheme="minorHAnsi" w:cstheme="minorHAnsi"/>
                <w:sz w:val="18"/>
              </w:rPr>
            </w:pPr>
            <w:r w:rsidRPr="006263CF">
              <w:rPr>
                <w:rFonts w:asciiTheme="minorHAnsi" w:hAnsiTheme="minorHAnsi" w:cstheme="minorHAnsi"/>
                <w:b/>
                <w:bCs/>
                <w:color w:val="000000"/>
                <w:sz w:val="18"/>
              </w:rPr>
              <w:t>Вагові категорії для пацієнтів старше 14 років</w:t>
            </w:r>
            <w:r w:rsidRPr="006263CF">
              <w:rPr>
                <w:rFonts w:asciiTheme="minorHAnsi" w:hAnsiTheme="minorHAnsi" w:cstheme="minorHAnsi"/>
                <w:b/>
                <w:bCs/>
                <w:color w:val="000000"/>
                <w:sz w:val="18"/>
                <w:vertAlign w:val="superscript"/>
              </w:rPr>
              <w:t>3</w:t>
            </w:r>
          </w:p>
        </w:tc>
        <w:tc>
          <w:tcPr>
            <w:tcW w:w="869" w:type="dxa"/>
            <w:vMerge w:val="restart"/>
            <w:tcBorders>
              <w:left w:val="nil"/>
              <w:right w:val="nil"/>
            </w:tcBorders>
            <w:shd w:val="clear" w:color="auto" w:fill="C1C8E4"/>
            <w:vAlign w:val="center"/>
          </w:tcPr>
          <w:p w:rsidR="00C451C7" w:rsidRPr="006263CF" w:rsidRDefault="00C451C7" w:rsidP="00C451C7">
            <w:pPr>
              <w:jc w:val="center"/>
              <w:rPr>
                <w:rFonts w:asciiTheme="minorHAnsi" w:hAnsiTheme="minorHAnsi" w:cstheme="minorHAnsi"/>
                <w:sz w:val="18"/>
              </w:rPr>
            </w:pPr>
            <w:r w:rsidRPr="006263CF">
              <w:rPr>
                <w:rFonts w:asciiTheme="minorHAnsi" w:hAnsiTheme="minorHAnsi" w:cstheme="minorHAnsi"/>
                <w:b/>
                <w:bCs/>
                <w:color w:val="000000"/>
                <w:sz w:val="18"/>
              </w:rPr>
              <w:t>Звичні добові дози</w:t>
            </w:r>
            <w:r w:rsidRPr="006263CF">
              <w:rPr>
                <w:rFonts w:asciiTheme="minorHAnsi" w:hAnsiTheme="minorHAnsi" w:cstheme="minorHAnsi"/>
                <w:b/>
                <w:bCs/>
                <w:color w:val="000000"/>
                <w:sz w:val="18"/>
                <w:vertAlign w:val="superscript"/>
              </w:rPr>
              <w:t>b</w:t>
            </w:r>
          </w:p>
        </w:tc>
        <w:tc>
          <w:tcPr>
            <w:tcW w:w="1906" w:type="dxa"/>
            <w:vMerge w:val="restart"/>
            <w:tcBorders>
              <w:left w:val="nil"/>
              <w:right w:val="nil"/>
            </w:tcBorders>
            <w:shd w:val="clear" w:color="auto" w:fill="C1C8E4"/>
            <w:vAlign w:val="center"/>
          </w:tcPr>
          <w:p w:rsidR="00C451C7" w:rsidRPr="006263CF" w:rsidRDefault="00C451C7" w:rsidP="00C451C7">
            <w:pPr>
              <w:jc w:val="center"/>
              <w:rPr>
                <w:rFonts w:asciiTheme="minorHAnsi" w:hAnsiTheme="minorHAnsi" w:cstheme="minorHAnsi"/>
                <w:sz w:val="18"/>
              </w:rPr>
            </w:pPr>
            <w:r w:rsidRPr="006263CF">
              <w:rPr>
                <w:rFonts w:asciiTheme="minorHAnsi" w:hAnsiTheme="minorHAnsi" w:cstheme="minorHAnsi"/>
                <w:b/>
                <w:bCs/>
                <w:color w:val="000000"/>
                <w:sz w:val="18"/>
              </w:rPr>
              <w:t>Коментарі</w:t>
            </w:r>
          </w:p>
        </w:tc>
      </w:tr>
      <w:tr w:rsidR="00C451C7" w:rsidRPr="006263CF" w:rsidTr="00080638">
        <w:trPr>
          <w:trHeight w:hRule="exact" w:val="571"/>
        </w:trPr>
        <w:tc>
          <w:tcPr>
            <w:tcW w:w="1075" w:type="dxa"/>
            <w:vMerge/>
            <w:tcBorders>
              <w:left w:val="nil"/>
              <w:bottom w:val="nil"/>
              <w:right w:val="nil"/>
            </w:tcBorders>
            <w:shd w:val="clear" w:color="auto" w:fill="FFFFFF"/>
            <w:vAlign w:val="center"/>
          </w:tcPr>
          <w:p w:rsidR="00C451C7" w:rsidRPr="006263CF" w:rsidRDefault="00C451C7" w:rsidP="00C451C7">
            <w:pPr>
              <w:jc w:val="center"/>
              <w:rPr>
                <w:rFonts w:asciiTheme="minorHAnsi" w:hAnsiTheme="minorHAnsi" w:cstheme="minorHAnsi"/>
                <w:sz w:val="18"/>
              </w:rPr>
            </w:pPr>
          </w:p>
        </w:tc>
        <w:tc>
          <w:tcPr>
            <w:tcW w:w="1560" w:type="dxa"/>
            <w:vMerge/>
            <w:tcBorders>
              <w:left w:val="nil"/>
              <w:bottom w:val="nil"/>
              <w:right w:val="nil"/>
            </w:tcBorders>
            <w:shd w:val="clear" w:color="auto" w:fill="FFFFFF"/>
            <w:vAlign w:val="center"/>
          </w:tcPr>
          <w:p w:rsidR="00C451C7" w:rsidRPr="006263CF" w:rsidRDefault="00C451C7" w:rsidP="00C451C7">
            <w:pPr>
              <w:jc w:val="center"/>
              <w:rPr>
                <w:rFonts w:asciiTheme="minorHAnsi" w:hAnsiTheme="minorHAnsi" w:cstheme="minorHAnsi"/>
                <w:sz w:val="18"/>
              </w:rPr>
            </w:pPr>
          </w:p>
        </w:tc>
        <w:tc>
          <w:tcPr>
            <w:tcW w:w="1402" w:type="dxa"/>
            <w:vMerge/>
            <w:tcBorders>
              <w:left w:val="nil"/>
              <w:bottom w:val="nil"/>
              <w:right w:val="nil"/>
            </w:tcBorders>
            <w:shd w:val="clear" w:color="auto" w:fill="FFFFFF"/>
            <w:vAlign w:val="center"/>
          </w:tcPr>
          <w:p w:rsidR="00C451C7" w:rsidRPr="006263CF" w:rsidRDefault="00C451C7" w:rsidP="00C451C7">
            <w:pPr>
              <w:jc w:val="center"/>
              <w:rPr>
                <w:rFonts w:asciiTheme="minorHAnsi" w:hAnsiTheme="minorHAnsi" w:cstheme="minorHAnsi"/>
                <w:sz w:val="18"/>
              </w:rPr>
            </w:pPr>
          </w:p>
        </w:tc>
        <w:tc>
          <w:tcPr>
            <w:tcW w:w="1512" w:type="dxa"/>
            <w:vMerge/>
            <w:tcBorders>
              <w:left w:val="nil"/>
              <w:bottom w:val="nil"/>
              <w:right w:val="nil"/>
            </w:tcBorders>
            <w:shd w:val="clear" w:color="auto" w:fill="FFFFFF"/>
            <w:vAlign w:val="center"/>
          </w:tcPr>
          <w:p w:rsidR="00C451C7" w:rsidRPr="006263CF" w:rsidRDefault="00C451C7" w:rsidP="00C451C7">
            <w:pPr>
              <w:jc w:val="center"/>
              <w:rPr>
                <w:rFonts w:asciiTheme="minorHAnsi" w:hAnsiTheme="minorHAnsi" w:cstheme="minorHAnsi"/>
                <w:sz w:val="18"/>
              </w:rPr>
            </w:pPr>
          </w:p>
        </w:tc>
        <w:tc>
          <w:tcPr>
            <w:tcW w:w="1085" w:type="dxa"/>
            <w:tcBorders>
              <w:top w:val="nil"/>
              <w:left w:val="nil"/>
              <w:bottom w:val="nil"/>
              <w:right w:val="nil"/>
            </w:tcBorders>
            <w:shd w:val="clear" w:color="auto" w:fill="C1C8E4"/>
            <w:vAlign w:val="center"/>
          </w:tcPr>
          <w:p w:rsidR="00C451C7" w:rsidRPr="006263CF" w:rsidRDefault="00C451C7" w:rsidP="00C451C7">
            <w:pPr>
              <w:jc w:val="center"/>
              <w:rPr>
                <w:rFonts w:asciiTheme="minorHAnsi" w:hAnsiTheme="minorHAnsi" w:cstheme="minorHAnsi"/>
                <w:sz w:val="18"/>
              </w:rPr>
            </w:pPr>
            <w:r w:rsidRPr="006263CF">
              <w:rPr>
                <w:rFonts w:asciiTheme="minorHAnsi" w:hAnsiTheme="minorHAnsi" w:cstheme="minorHAnsi"/>
                <w:b/>
                <w:bCs/>
                <w:color w:val="000000"/>
                <w:sz w:val="18"/>
              </w:rPr>
              <w:t>30-35 кг</w:t>
            </w:r>
          </w:p>
        </w:tc>
        <w:tc>
          <w:tcPr>
            <w:tcW w:w="1267" w:type="dxa"/>
            <w:tcBorders>
              <w:top w:val="nil"/>
              <w:left w:val="nil"/>
              <w:bottom w:val="nil"/>
              <w:right w:val="nil"/>
            </w:tcBorders>
            <w:shd w:val="clear" w:color="auto" w:fill="C1C8E4"/>
            <w:vAlign w:val="center"/>
          </w:tcPr>
          <w:p w:rsidR="00C451C7" w:rsidRPr="006263CF" w:rsidRDefault="00C451C7" w:rsidP="00C451C7">
            <w:pPr>
              <w:jc w:val="center"/>
              <w:rPr>
                <w:rFonts w:asciiTheme="minorHAnsi" w:hAnsiTheme="minorHAnsi" w:cstheme="minorHAnsi"/>
                <w:sz w:val="18"/>
              </w:rPr>
            </w:pPr>
            <w:r w:rsidRPr="006263CF">
              <w:rPr>
                <w:rFonts w:asciiTheme="minorHAnsi" w:hAnsiTheme="minorHAnsi" w:cstheme="minorHAnsi"/>
                <w:b/>
                <w:bCs/>
                <w:color w:val="000000"/>
                <w:sz w:val="18"/>
              </w:rPr>
              <w:t>36-45 кг</w:t>
            </w:r>
          </w:p>
        </w:tc>
        <w:tc>
          <w:tcPr>
            <w:tcW w:w="1253" w:type="dxa"/>
            <w:tcBorders>
              <w:top w:val="nil"/>
              <w:left w:val="nil"/>
              <w:bottom w:val="nil"/>
              <w:right w:val="nil"/>
            </w:tcBorders>
            <w:shd w:val="clear" w:color="auto" w:fill="C1C8E4"/>
            <w:vAlign w:val="center"/>
          </w:tcPr>
          <w:p w:rsidR="00C451C7" w:rsidRPr="006263CF" w:rsidRDefault="00C451C7" w:rsidP="00C451C7">
            <w:pPr>
              <w:jc w:val="center"/>
              <w:rPr>
                <w:rFonts w:asciiTheme="minorHAnsi" w:hAnsiTheme="minorHAnsi" w:cstheme="minorHAnsi"/>
                <w:sz w:val="18"/>
              </w:rPr>
            </w:pPr>
            <w:r w:rsidRPr="006263CF">
              <w:rPr>
                <w:rFonts w:asciiTheme="minorHAnsi" w:hAnsiTheme="minorHAnsi" w:cstheme="minorHAnsi"/>
                <w:b/>
                <w:bCs/>
                <w:color w:val="000000"/>
                <w:sz w:val="18"/>
              </w:rPr>
              <w:t>46-55 кг</w:t>
            </w:r>
          </w:p>
        </w:tc>
        <w:tc>
          <w:tcPr>
            <w:tcW w:w="1267" w:type="dxa"/>
            <w:tcBorders>
              <w:top w:val="nil"/>
              <w:left w:val="nil"/>
              <w:bottom w:val="nil"/>
              <w:right w:val="nil"/>
            </w:tcBorders>
            <w:shd w:val="clear" w:color="auto" w:fill="C1C8E4"/>
            <w:vAlign w:val="center"/>
          </w:tcPr>
          <w:p w:rsidR="00C451C7" w:rsidRPr="006263CF" w:rsidRDefault="00C451C7" w:rsidP="00C451C7">
            <w:pPr>
              <w:jc w:val="center"/>
              <w:rPr>
                <w:rFonts w:asciiTheme="minorHAnsi" w:hAnsiTheme="minorHAnsi" w:cstheme="minorHAnsi"/>
                <w:sz w:val="18"/>
              </w:rPr>
            </w:pPr>
            <w:r w:rsidRPr="006263CF">
              <w:rPr>
                <w:rFonts w:asciiTheme="minorHAnsi" w:hAnsiTheme="minorHAnsi" w:cstheme="minorHAnsi"/>
                <w:b/>
                <w:bCs/>
                <w:color w:val="000000"/>
                <w:sz w:val="18"/>
              </w:rPr>
              <w:t>56-70 кг</w:t>
            </w:r>
          </w:p>
        </w:tc>
        <w:tc>
          <w:tcPr>
            <w:tcW w:w="854" w:type="dxa"/>
            <w:tcBorders>
              <w:top w:val="nil"/>
              <w:left w:val="nil"/>
              <w:bottom w:val="nil"/>
              <w:right w:val="nil"/>
            </w:tcBorders>
            <w:shd w:val="clear" w:color="auto" w:fill="C1C8E4"/>
            <w:vAlign w:val="center"/>
          </w:tcPr>
          <w:p w:rsidR="00C451C7" w:rsidRPr="006263CF" w:rsidRDefault="00C451C7" w:rsidP="00C451C7">
            <w:pPr>
              <w:jc w:val="center"/>
              <w:rPr>
                <w:rFonts w:asciiTheme="minorHAnsi" w:hAnsiTheme="minorHAnsi" w:cstheme="minorHAnsi"/>
                <w:sz w:val="18"/>
              </w:rPr>
            </w:pPr>
            <w:r w:rsidRPr="006263CF">
              <w:rPr>
                <w:rFonts w:asciiTheme="minorHAnsi" w:hAnsiTheme="minorHAnsi" w:cstheme="minorHAnsi"/>
                <w:b/>
                <w:bCs/>
                <w:color w:val="000000"/>
                <w:sz w:val="18"/>
              </w:rPr>
              <w:t>&gt;70 кг</w:t>
            </w:r>
          </w:p>
        </w:tc>
        <w:tc>
          <w:tcPr>
            <w:tcW w:w="869" w:type="dxa"/>
            <w:vMerge/>
            <w:tcBorders>
              <w:left w:val="nil"/>
              <w:bottom w:val="nil"/>
              <w:right w:val="nil"/>
            </w:tcBorders>
            <w:shd w:val="clear" w:color="auto" w:fill="FFFFFF"/>
            <w:vAlign w:val="center"/>
          </w:tcPr>
          <w:p w:rsidR="00C451C7" w:rsidRPr="006263CF" w:rsidRDefault="00C451C7" w:rsidP="00C451C7">
            <w:pPr>
              <w:jc w:val="center"/>
              <w:rPr>
                <w:rFonts w:asciiTheme="minorHAnsi" w:hAnsiTheme="minorHAnsi" w:cstheme="minorHAnsi"/>
                <w:sz w:val="18"/>
              </w:rPr>
            </w:pPr>
          </w:p>
        </w:tc>
        <w:tc>
          <w:tcPr>
            <w:tcW w:w="1906" w:type="dxa"/>
            <w:vMerge/>
            <w:tcBorders>
              <w:left w:val="nil"/>
              <w:bottom w:val="nil"/>
              <w:right w:val="nil"/>
            </w:tcBorders>
            <w:shd w:val="clear" w:color="auto" w:fill="FFFFFF"/>
            <w:vAlign w:val="center"/>
          </w:tcPr>
          <w:p w:rsidR="00C451C7" w:rsidRPr="006263CF" w:rsidRDefault="00C451C7" w:rsidP="00C451C7">
            <w:pPr>
              <w:jc w:val="center"/>
              <w:rPr>
                <w:rFonts w:asciiTheme="minorHAnsi" w:hAnsiTheme="minorHAnsi" w:cstheme="minorHAnsi"/>
                <w:sz w:val="18"/>
              </w:rPr>
            </w:pPr>
          </w:p>
        </w:tc>
      </w:tr>
      <w:tr w:rsidR="005225B5" w:rsidRPr="006263CF" w:rsidTr="00D15218">
        <w:trPr>
          <w:trHeight w:val="371"/>
        </w:trPr>
        <w:tc>
          <w:tcPr>
            <w:tcW w:w="1075" w:type="dxa"/>
            <w:tcBorders>
              <w:top w:val="nil"/>
              <w:left w:val="nil"/>
              <w:bottom w:val="nil"/>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p>
        </w:tc>
        <w:tc>
          <w:tcPr>
            <w:tcW w:w="1560" w:type="dxa"/>
            <w:tcBorders>
              <w:top w:val="nil"/>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Етамбутол</w:t>
            </w:r>
          </w:p>
        </w:tc>
        <w:tc>
          <w:tcPr>
            <w:tcW w:w="1402" w:type="dxa"/>
            <w:tcBorders>
              <w:top w:val="nil"/>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15-25 мг/кг</w:t>
            </w:r>
          </w:p>
        </w:tc>
        <w:tc>
          <w:tcPr>
            <w:tcW w:w="1512" w:type="dxa"/>
            <w:tcBorders>
              <w:top w:val="nil"/>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400 мг таб</w:t>
            </w:r>
          </w:p>
        </w:tc>
        <w:tc>
          <w:tcPr>
            <w:tcW w:w="1085" w:type="dxa"/>
            <w:tcBorders>
              <w:top w:val="nil"/>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2</w:t>
            </w:r>
          </w:p>
        </w:tc>
        <w:tc>
          <w:tcPr>
            <w:tcW w:w="1267" w:type="dxa"/>
            <w:tcBorders>
              <w:top w:val="nil"/>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2</w:t>
            </w:r>
          </w:p>
        </w:tc>
        <w:tc>
          <w:tcPr>
            <w:tcW w:w="1253" w:type="dxa"/>
            <w:tcBorders>
              <w:top w:val="nil"/>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3</w:t>
            </w:r>
          </w:p>
        </w:tc>
        <w:tc>
          <w:tcPr>
            <w:tcW w:w="1267" w:type="dxa"/>
            <w:tcBorders>
              <w:top w:val="nil"/>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3</w:t>
            </w:r>
          </w:p>
        </w:tc>
        <w:tc>
          <w:tcPr>
            <w:tcW w:w="854" w:type="dxa"/>
            <w:tcBorders>
              <w:top w:val="nil"/>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3</w:t>
            </w:r>
          </w:p>
        </w:tc>
        <w:tc>
          <w:tcPr>
            <w:tcW w:w="869" w:type="dxa"/>
            <w:tcBorders>
              <w:top w:val="nil"/>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w:t>
            </w:r>
          </w:p>
        </w:tc>
        <w:tc>
          <w:tcPr>
            <w:tcW w:w="1906" w:type="dxa"/>
            <w:tcBorders>
              <w:top w:val="nil"/>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p>
        </w:tc>
      </w:tr>
      <w:tr w:rsidR="005225B5" w:rsidRPr="006263CF" w:rsidTr="00C451C7">
        <w:trPr>
          <w:trHeight w:val="20"/>
        </w:trPr>
        <w:tc>
          <w:tcPr>
            <w:tcW w:w="1075" w:type="dxa"/>
            <w:tcBorders>
              <w:top w:val="nil"/>
              <w:left w:val="nil"/>
              <w:bottom w:val="nil"/>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p>
        </w:tc>
        <w:tc>
          <w:tcPr>
            <w:tcW w:w="1560"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Деламанід</w:t>
            </w:r>
          </w:p>
        </w:tc>
        <w:tc>
          <w:tcPr>
            <w:tcW w:w="1402"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tabs>
                <w:tab w:val="left" w:pos="730"/>
              </w:tabs>
              <w:jc w:val="center"/>
              <w:rPr>
                <w:rFonts w:asciiTheme="minorHAnsi" w:hAnsiTheme="minorHAnsi" w:cstheme="minorHAnsi"/>
                <w:sz w:val="18"/>
              </w:rPr>
            </w:pPr>
            <w:r w:rsidRPr="006263CF">
              <w:rPr>
                <w:rFonts w:asciiTheme="minorHAnsi" w:hAnsiTheme="minorHAnsi" w:cstheme="minorHAnsi"/>
                <w:color w:val="000000"/>
                <w:sz w:val="12"/>
                <w:szCs w:val="14"/>
                <w:vertAlign w:val="superscript"/>
              </w:rPr>
              <w:t>c</w:t>
            </w:r>
          </w:p>
        </w:tc>
        <w:tc>
          <w:tcPr>
            <w:tcW w:w="1512"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50 мг таб</w:t>
            </w:r>
          </w:p>
        </w:tc>
        <w:tc>
          <w:tcPr>
            <w:tcW w:w="1085"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2 рази на день</w:t>
            </w:r>
          </w:p>
        </w:tc>
        <w:tc>
          <w:tcPr>
            <w:tcW w:w="1267"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2 рази на день</w:t>
            </w:r>
          </w:p>
        </w:tc>
        <w:tc>
          <w:tcPr>
            <w:tcW w:w="1253"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2 рази на день</w:t>
            </w:r>
          </w:p>
        </w:tc>
        <w:tc>
          <w:tcPr>
            <w:tcW w:w="1267"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2 рази на день</w:t>
            </w:r>
          </w:p>
        </w:tc>
        <w:tc>
          <w:tcPr>
            <w:tcW w:w="854"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2 рази на день</w:t>
            </w:r>
          </w:p>
        </w:tc>
        <w:tc>
          <w:tcPr>
            <w:tcW w:w="869"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200 мг</w:t>
            </w:r>
          </w:p>
        </w:tc>
        <w:tc>
          <w:tcPr>
            <w:tcW w:w="1906"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p>
        </w:tc>
      </w:tr>
      <w:tr w:rsidR="00C451C7" w:rsidRPr="006263CF" w:rsidTr="00C451C7">
        <w:trPr>
          <w:trHeight w:val="398"/>
        </w:trPr>
        <w:tc>
          <w:tcPr>
            <w:tcW w:w="1075" w:type="dxa"/>
            <w:tcBorders>
              <w:top w:val="nil"/>
              <w:left w:val="nil"/>
              <w:bottom w:val="nil"/>
              <w:right w:val="nil"/>
            </w:tcBorders>
            <w:shd w:val="clear" w:color="auto" w:fill="FFFFFF"/>
            <w:vAlign w:val="center"/>
          </w:tcPr>
          <w:p w:rsidR="00C451C7" w:rsidRPr="006263CF" w:rsidRDefault="00C451C7" w:rsidP="00C451C7">
            <w:pPr>
              <w:jc w:val="center"/>
              <w:rPr>
                <w:rFonts w:asciiTheme="minorHAnsi" w:hAnsiTheme="minorHAnsi" w:cstheme="minorHAnsi"/>
                <w:sz w:val="18"/>
              </w:rPr>
            </w:pPr>
          </w:p>
        </w:tc>
        <w:tc>
          <w:tcPr>
            <w:tcW w:w="1560" w:type="dxa"/>
            <w:vMerge w:val="restart"/>
            <w:tcBorders>
              <w:top w:val="single" w:sz="4" w:space="0" w:color="1F61AA"/>
              <w:left w:val="nil"/>
              <w:right w:val="nil"/>
            </w:tcBorders>
            <w:shd w:val="clear" w:color="auto" w:fill="FFFFFF"/>
            <w:vAlign w:val="center"/>
          </w:tcPr>
          <w:p w:rsidR="00C451C7" w:rsidRPr="006263CF" w:rsidRDefault="00C451C7" w:rsidP="00C451C7">
            <w:pPr>
              <w:jc w:val="center"/>
              <w:rPr>
                <w:rFonts w:asciiTheme="minorHAnsi" w:hAnsiTheme="minorHAnsi" w:cstheme="minorHAnsi"/>
                <w:sz w:val="18"/>
              </w:rPr>
            </w:pPr>
            <w:r w:rsidRPr="006263CF">
              <w:rPr>
                <w:rFonts w:asciiTheme="minorHAnsi" w:hAnsiTheme="minorHAnsi" w:cstheme="minorHAnsi"/>
                <w:color w:val="000000"/>
                <w:sz w:val="18"/>
              </w:rPr>
              <w:t>Піразинамід</w:t>
            </w:r>
          </w:p>
        </w:tc>
        <w:tc>
          <w:tcPr>
            <w:tcW w:w="1402" w:type="dxa"/>
            <w:vMerge w:val="restart"/>
            <w:tcBorders>
              <w:top w:val="single" w:sz="4" w:space="0" w:color="1F61AA"/>
              <w:left w:val="nil"/>
              <w:right w:val="nil"/>
            </w:tcBorders>
            <w:shd w:val="clear" w:color="auto" w:fill="FFFFFF"/>
            <w:vAlign w:val="center"/>
          </w:tcPr>
          <w:p w:rsidR="00C451C7" w:rsidRPr="006263CF" w:rsidRDefault="00C451C7" w:rsidP="00C451C7">
            <w:pPr>
              <w:jc w:val="center"/>
              <w:rPr>
                <w:rFonts w:asciiTheme="minorHAnsi" w:hAnsiTheme="minorHAnsi" w:cstheme="minorHAnsi"/>
                <w:sz w:val="18"/>
              </w:rPr>
            </w:pPr>
            <w:r w:rsidRPr="006263CF">
              <w:rPr>
                <w:rFonts w:asciiTheme="minorHAnsi" w:hAnsiTheme="minorHAnsi" w:cstheme="minorHAnsi"/>
                <w:color w:val="000000"/>
                <w:sz w:val="18"/>
              </w:rPr>
              <w:t>20-30 мг/кг</w:t>
            </w:r>
          </w:p>
        </w:tc>
        <w:tc>
          <w:tcPr>
            <w:tcW w:w="1512" w:type="dxa"/>
            <w:tcBorders>
              <w:top w:val="single" w:sz="4" w:space="0" w:color="1F61AA"/>
              <w:left w:val="nil"/>
              <w:bottom w:val="single" w:sz="4" w:space="0" w:color="1F61AA"/>
              <w:right w:val="nil"/>
            </w:tcBorders>
            <w:shd w:val="clear" w:color="auto" w:fill="FFFFFF"/>
            <w:vAlign w:val="center"/>
          </w:tcPr>
          <w:p w:rsidR="00C451C7" w:rsidRPr="006263CF" w:rsidRDefault="00C451C7" w:rsidP="00C451C7">
            <w:pPr>
              <w:jc w:val="center"/>
              <w:rPr>
                <w:rFonts w:asciiTheme="minorHAnsi" w:hAnsiTheme="minorHAnsi" w:cstheme="minorHAnsi"/>
                <w:sz w:val="18"/>
              </w:rPr>
            </w:pPr>
            <w:r w:rsidRPr="006263CF">
              <w:rPr>
                <w:rFonts w:asciiTheme="minorHAnsi" w:hAnsiTheme="minorHAnsi" w:cstheme="minorHAnsi"/>
                <w:color w:val="000000"/>
                <w:sz w:val="18"/>
              </w:rPr>
              <w:t>400 мг таб</w:t>
            </w:r>
          </w:p>
        </w:tc>
        <w:tc>
          <w:tcPr>
            <w:tcW w:w="1085" w:type="dxa"/>
            <w:tcBorders>
              <w:top w:val="single" w:sz="4" w:space="0" w:color="1F61AA"/>
              <w:left w:val="nil"/>
              <w:bottom w:val="single" w:sz="4" w:space="0" w:color="1F61AA"/>
              <w:right w:val="nil"/>
            </w:tcBorders>
            <w:shd w:val="clear" w:color="auto" w:fill="FFFFFF"/>
            <w:vAlign w:val="center"/>
          </w:tcPr>
          <w:p w:rsidR="00C451C7" w:rsidRPr="006263CF" w:rsidRDefault="00C451C7" w:rsidP="00C451C7">
            <w:pPr>
              <w:jc w:val="center"/>
              <w:rPr>
                <w:rFonts w:asciiTheme="minorHAnsi" w:hAnsiTheme="minorHAnsi" w:cstheme="minorHAnsi"/>
                <w:sz w:val="18"/>
              </w:rPr>
            </w:pPr>
            <w:r w:rsidRPr="006263CF">
              <w:rPr>
                <w:rFonts w:asciiTheme="minorHAnsi" w:hAnsiTheme="minorHAnsi" w:cstheme="minorHAnsi"/>
                <w:color w:val="000000"/>
                <w:sz w:val="18"/>
              </w:rPr>
              <w:t>3</w:t>
            </w:r>
          </w:p>
        </w:tc>
        <w:tc>
          <w:tcPr>
            <w:tcW w:w="1267" w:type="dxa"/>
            <w:tcBorders>
              <w:top w:val="single" w:sz="4" w:space="0" w:color="1F61AA"/>
              <w:left w:val="nil"/>
              <w:bottom w:val="single" w:sz="4" w:space="0" w:color="1F61AA"/>
              <w:right w:val="nil"/>
            </w:tcBorders>
            <w:shd w:val="clear" w:color="auto" w:fill="FFFFFF"/>
            <w:vAlign w:val="center"/>
          </w:tcPr>
          <w:p w:rsidR="00C451C7" w:rsidRPr="006263CF" w:rsidRDefault="00C451C7" w:rsidP="00C451C7">
            <w:pPr>
              <w:jc w:val="center"/>
              <w:rPr>
                <w:rFonts w:asciiTheme="minorHAnsi" w:hAnsiTheme="minorHAnsi" w:cstheme="minorHAnsi"/>
                <w:sz w:val="18"/>
              </w:rPr>
            </w:pPr>
            <w:r w:rsidRPr="006263CF">
              <w:rPr>
                <w:rFonts w:asciiTheme="minorHAnsi" w:hAnsiTheme="minorHAnsi" w:cstheme="minorHAnsi"/>
                <w:color w:val="000000"/>
                <w:sz w:val="18"/>
              </w:rPr>
              <w:t>4</w:t>
            </w:r>
          </w:p>
        </w:tc>
        <w:tc>
          <w:tcPr>
            <w:tcW w:w="1253" w:type="dxa"/>
            <w:tcBorders>
              <w:top w:val="single" w:sz="4" w:space="0" w:color="1F61AA"/>
              <w:left w:val="nil"/>
              <w:bottom w:val="single" w:sz="4" w:space="0" w:color="1F61AA"/>
              <w:right w:val="nil"/>
            </w:tcBorders>
            <w:shd w:val="clear" w:color="auto" w:fill="FFFFFF"/>
            <w:vAlign w:val="center"/>
          </w:tcPr>
          <w:p w:rsidR="00C451C7" w:rsidRPr="006263CF" w:rsidRDefault="00C451C7" w:rsidP="00C451C7">
            <w:pPr>
              <w:jc w:val="center"/>
              <w:rPr>
                <w:rFonts w:asciiTheme="minorHAnsi" w:hAnsiTheme="minorHAnsi" w:cstheme="minorHAnsi"/>
                <w:sz w:val="18"/>
              </w:rPr>
            </w:pPr>
            <w:r w:rsidRPr="006263CF">
              <w:rPr>
                <w:rFonts w:asciiTheme="minorHAnsi" w:hAnsiTheme="minorHAnsi" w:cstheme="minorHAnsi"/>
                <w:color w:val="000000"/>
                <w:sz w:val="18"/>
              </w:rPr>
              <w:t>4</w:t>
            </w:r>
          </w:p>
        </w:tc>
        <w:tc>
          <w:tcPr>
            <w:tcW w:w="1267" w:type="dxa"/>
            <w:tcBorders>
              <w:top w:val="single" w:sz="4" w:space="0" w:color="1F61AA"/>
              <w:left w:val="nil"/>
              <w:bottom w:val="single" w:sz="4" w:space="0" w:color="1F61AA"/>
              <w:right w:val="nil"/>
            </w:tcBorders>
            <w:shd w:val="clear" w:color="auto" w:fill="FFFFFF"/>
            <w:vAlign w:val="center"/>
          </w:tcPr>
          <w:p w:rsidR="00C451C7" w:rsidRPr="006263CF" w:rsidRDefault="00C451C7" w:rsidP="00C451C7">
            <w:pPr>
              <w:jc w:val="center"/>
              <w:rPr>
                <w:rFonts w:asciiTheme="minorHAnsi" w:hAnsiTheme="minorHAnsi" w:cstheme="minorHAnsi"/>
                <w:sz w:val="18"/>
              </w:rPr>
            </w:pPr>
            <w:r w:rsidRPr="006263CF">
              <w:rPr>
                <w:rFonts w:asciiTheme="minorHAnsi" w:hAnsiTheme="minorHAnsi" w:cstheme="minorHAnsi"/>
                <w:color w:val="000000"/>
                <w:sz w:val="18"/>
              </w:rPr>
              <w:t>4</w:t>
            </w:r>
          </w:p>
        </w:tc>
        <w:tc>
          <w:tcPr>
            <w:tcW w:w="854" w:type="dxa"/>
            <w:tcBorders>
              <w:top w:val="single" w:sz="4" w:space="0" w:color="1F61AA"/>
              <w:left w:val="nil"/>
              <w:bottom w:val="single" w:sz="4" w:space="0" w:color="1F61AA"/>
              <w:right w:val="nil"/>
            </w:tcBorders>
            <w:shd w:val="clear" w:color="auto" w:fill="FFFFFF"/>
            <w:vAlign w:val="center"/>
          </w:tcPr>
          <w:p w:rsidR="00C451C7" w:rsidRPr="006263CF" w:rsidRDefault="00C451C7" w:rsidP="00C451C7">
            <w:pPr>
              <w:jc w:val="center"/>
              <w:rPr>
                <w:rFonts w:asciiTheme="minorHAnsi" w:hAnsiTheme="minorHAnsi" w:cstheme="minorHAnsi"/>
                <w:sz w:val="18"/>
              </w:rPr>
            </w:pPr>
            <w:r w:rsidRPr="006263CF">
              <w:rPr>
                <w:rFonts w:asciiTheme="minorHAnsi" w:hAnsiTheme="minorHAnsi" w:cstheme="minorHAnsi"/>
                <w:color w:val="000000"/>
                <w:sz w:val="18"/>
              </w:rPr>
              <w:t>5</w:t>
            </w:r>
          </w:p>
        </w:tc>
        <w:tc>
          <w:tcPr>
            <w:tcW w:w="869" w:type="dxa"/>
            <w:vMerge w:val="restart"/>
            <w:tcBorders>
              <w:top w:val="single" w:sz="4" w:space="0" w:color="1F61AA"/>
              <w:left w:val="nil"/>
              <w:bottom w:val="nil"/>
              <w:right w:val="nil"/>
            </w:tcBorders>
            <w:shd w:val="clear" w:color="auto" w:fill="FFFFFF"/>
            <w:vAlign w:val="center"/>
          </w:tcPr>
          <w:p w:rsidR="00C451C7" w:rsidRPr="006263CF" w:rsidRDefault="00C451C7" w:rsidP="00C451C7">
            <w:pPr>
              <w:jc w:val="center"/>
              <w:rPr>
                <w:rFonts w:asciiTheme="minorHAnsi" w:hAnsiTheme="minorHAnsi" w:cstheme="minorHAnsi"/>
                <w:sz w:val="18"/>
              </w:rPr>
            </w:pPr>
          </w:p>
        </w:tc>
        <w:tc>
          <w:tcPr>
            <w:tcW w:w="1906" w:type="dxa"/>
            <w:tcBorders>
              <w:top w:val="single" w:sz="4" w:space="0" w:color="1F61AA"/>
              <w:left w:val="nil"/>
              <w:bottom w:val="nil"/>
              <w:right w:val="nil"/>
            </w:tcBorders>
            <w:shd w:val="clear" w:color="auto" w:fill="FFFFFF"/>
            <w:vAlign w:val="center"/>
          </w:tcPr>
          <w:p w:rsidR="00C451C7" w:rsidRPr="006263CF" w:rsidRDefault="00C451C7" w:rsidP="00C451C7">
            <w:pPr>
              <w:jc w:val="center"/>
              <w:rPr>
                <w:rFonts w:asciiTheme="minorHAnsi" w:hAnsiTheme="minorHAnsi" w:cstheme="minorHAnsi"/>
                <w:sz w:val="18"/>
              </w:rPr>
            </w:pPr>
          </w:p>
        </w:tc>
      </w:tr>
      <w:tr w:rsidR="00C451C7" w:rsidRPr="006263CF" w:rsidTr="00C451C7">
        <w:trPr>
          <w:trHeight w:val="432"/>
        </w:trPr>
        <w:tc>
          <w:tcPr>
            <w:tcW w:w="1075" w:type="dxa"/>
            <w:tcBorders>
              <w:top w:val="nil"/>
              <w:left w:val="nil"/>
              <w:bottom w:val="nil"/>
              <w:right w:val="nil"/>
            </w:tcBorders>
            <w:shd w:val="clear" w:color="auto" w:fill="FFFFFF"/>
            <w:vAlign w:val="center"/>
          </w:tcPr>
          <w:p w:rsidR="00C451C7" w:rsidRPr="006263CF" w:rsidRDefault="00C451C7" w:rsidP="00C451C7">
            <w:pPr>
              <w:jc w:val="center"/>
              <w:rPr>
                <w:rFonts w:asciiTheme="minorHAnsi" w:hAnsiTheme="minorHAnsi" w:cstheme="minorHAnsi"/>
                <w:sz w:val="18"/>
              </w:rPr>
            </w:pPr>
          </w:p>
        </w:tc>
        <w:tc>
          <w:tcPr>
            <w:tcW w:w="1560" w:type="dxa"/>
            <w:vMerge/>
            <w:tcBorders>
              <w:left w:val="nil"/>
              <w:bottom w:val="single" w:sz="4" w:space="0" w:color="1F61AA"/>
              <w:right w:val="nil"/>
            </w:tcBorders>
            <w:shd w:val="clear" w:color="auto" w:fill="FFFFFF"/>
            <w:vAlign w:val="center"/>
          </w:tcPr>
          <w:p w:rsidR="00C451C7" w:rsidRPr="006263CF" w:rsidRDefault="00C451C7" w:rsidP="00C451C7">
            <w:pPr>
              <w:jc w:val="center"/>
              <w:rPr>
                <w:rFonts w:asciiTheme="minorHAnsi" w:hAnsiTheme="minorHAnsi" w:cstheme="minorHAnsi"/>
                <w:sz w:val="18"/>
              </w:rPr>
            </w:pPr>
          </w:p>
        </w:tc>
        <w:tc>
          <w:tcPr>
            <w:tcW w:w="1402" w:type="dxa"/>
            <w:vMerge/>
            <w:tcBorders>
              <w:left w:val="nil"/>
              <w:bottom w:val="single" w:sz="4" w:space="0" w:color="1F61AA"/>
              <w:right w:val="nil"/>
            </w:tcBorders>
            <w:shd w:val="clear" w:color="auto" w:fill="FFFFFF"/>
            <w:vAlign w:val="center"/>
          </w:tcPr>
          <w:p w:rsidR="00C451C7" w:rsidRPr="006263CF" w:rsidRDefault="00C451C7" w:rsidP="00C451C7">
            <w:pPr>
              <w:jc w:val="center"/>
              <w:rPr>
                <w:rFonts w:asciiTheme="minorHAnsi" w:hAnsiTheme="minorHAnsi" w:cstheme="minorHAnsi"/>
                <w:sz w:val="18"/>
              </w:rPr>
            </w:pPr>
          </w:p>
        </w:tc>
        <w:tc>
          <w:tcPr>
            <w:tcW w:w="1512" w:type="dxa"/>
            <w:tcBorders>
              <w:top w:val="single" w:sz="4" w:space="0" w:color="1F61AA"/>
              <w:left w:val="nil"/>
              <w:bottom w:val="single" w:sz="4" w:space="0" w:color="1F61AA"/>
              <w:right w:val="nil"/>
            </w:tcBorders>
            <w:shd w:val="clear" w:color="auto" w:fill="FFFFFF"/>
            <w:vAlign w:val="center"/>
          </w:tcPr>
          <w:p w:rsidR="00C451C7" w:rsidRPr="006263CF" w:rsidRDefault="00C451C7" w:rsidP="00C451C7">
            <w:pPr>
              <w:jc w:val="center"/>
              <w:rPr>
                <w:rFonts w:asciiTheme="minorHAnsi" w:hAnsiTheme="minorHAnsi" w:cstheme="minorHAnsi"/>
                <w:sz w:val="18"/>
              </w:rPr>
            </w:pPr>
            <w:r w:rsidRPr="006263CF">
              <w:rPr>
                <w:rFonts w:asciiTheme="minorHAnsi" w:hAnsiTheme="minorHAnsi" w:cstheme="minorHAnsi"/>
                <w:color w:val="000000"/>
                <w:sz w:val="18"/>
              </w:rPr>
              <w:t>500 мг таб</w:t>
            </w:r>
          </w:p>
        </w:tc>
        <w:tc>
          <w:tcPr>
            <w:tcW w:w="1085" w:type="dxa"/>
            <w:tcBorders>
              <w:top w:val="single" w:sz="4" w:space="0" w:color="1F61AA"/>
              <w:left w:val="nil"/>
              <w:bottom w:val="single" w:sz="4" w:space="0" w:color="1F61AA"/>
              <w:right w:val="nil"/>
            </w:tcBorders>
            <w:shd w:val="clear" w:color="auto" w:fill="FFFFFF"/>
            <w:vAlign w:val="center"/>
          </w:tcPr>
          <w:p w:rsidR="00C451C7" w:rsidRPr="006263CF" w:rsidRDefault="00C451C7" w:rsidP="00C451C7">
            <w:pPr>
              <w:jc w:val="center"/>
              <w:rPr>
                <w:rFonts w:asciiTheme="minorHAnsi" w:hAnsiTheme="minorHAnsi" w:cstheme="minorHAnsi"/>
                <w:sz w:val="18"/>
              </w:rPr>
            </w:pPr>
            <w:r w:rsidRPr="006263CF">
              <w:rPr>
                <w:rFonts w:asciiTheme="minorHAnsi" w:hAnsiTheme="minorHAnsi" w:cstheme="minorHAnsi"/>
                <w:color w:val="000000"/>
                <w:sz w:val="18"/>
              </w:rPr>
              <w:t>2</w:t>
            </w:r>
          </w:p>
        </w:tc>
        <w:tc>
          <w:tcPr>
            <w:tcW w:w="1267" w:type="dxa"/>
            <w:tcBorders>
              <w:top w:val="single" w:sz="4" w:space="0" w:color="1F61AA"/>
              <w:left w:val="nil"/>
              <w:bottom w:val="single" w:sz="4" w:space="0" w:color="1F61AA"/>
              <w:right w:val="nil"/>
            </w:tcBorders>
            <w:shd w:val="clear" w:color="auto" w:fill="FFFFFF"/>
            <w:vAlign w:val="center"/>
          </w:tcPr>
          <w:p w:rsidR="00C451C7" w:rsidRPr="006263CF" w:rsidRDefault="00C451C7" w:rsidP="00C451C7">
            <w:pPr>
              <w:jc w:val="center"/>
              <w:rPr>
                <w:rFonts w:asciiTheme="minorHAnsi" w:hAnsiTheme="minorHAnsi" w:cstheme="minorHAnsi"/>
                <w:sz w:val="18"/>
              </w:rPr>
            </w:pPr>
            <w:r w:rsidRPr="006263CF">
              <w:rPr>
                <w:rFonts w:asciiTheme="minorHAnsi" w:hAnsiTheme="minorHAnsi" w:cstheme="minorHAnsi"/>
                <w:color w:val="000000"/>
                <w:sz w:val="18"/>
              </w:rPr>
              <w:t>3</w:t>
            </w:r>
          </w:p>
        </w:tc>
        <w:tc>
          <w:tcPr>
            <w:tcW w:w="1253" w:type="dxa"/>
            <w:tcBorders>
              <w:top w:val="single" w:sz="4" w:space="0" w:color="1F61AA"/>
              <w:left w:val="nil"/>
              <w:bottom w:val="single" w:sz="4" w:space="0" w:color="1F61AA"/>
              <w:right w:val="nil"/>
            </w:tcBorders>
            <w:shd w:val="clear" w:color="auto" w:fill="FFFFFF"/>
            <w:vAlign w:val="center"/>
          </w:tcPr>
          <w:p w:rsidR="00C451C7" w:rsidRPr="006263CF" w:rsidRDefault="00C451C7" w:rsidP="00C451C7">
            <w:pPr>
              <w:jc w:val="center"/>
              <w:rPr>
                <w:rFonts w:asciiTheme="minorHAnsi" w:hAnsiTheme="minorHAnsi" w:cstheme="minorHAnsi"/>
                <w:sz w:val="18"/>
              </w:rPr>
            </w:pPr>
            <w:r w:rsidRPr="006263CF">
              <w:rPr>
                <w:rFonts w:asciiTheme="minorHAnsi" w:hAnsiTheme="minorHAnsi" w:cstheme="minorHAnsi"/>
                <w:color w:val="000000"/>
                <w:sz w:val="18"/>
              </w:rPr>
              <w:t>3</w:t>
            </w:r>
          </w:p>
        </w:tc>
        <w:tc>
          <w:tcPr>
            <w:tcW w:w="1267" w:type="dxa"/>
            <w:tcBorders>
              <w:top w:val="single" w:sz="4" w:space="0" w:color="1F61AA"/>
              <w:left w:val="nil"/>
              <w:bottom w:val="single" w:sz="4" w:space="0" w:color="1F61AA"/>
              <w:right w:val="nil"/>
            </w:tcBorders>
            <w:shd w:val="clear" w:color="auto" w:fill="FFFFFF"/>
            <w:vAlign w:val="center"/>
          </w:tcPr>
          <w:p w:rsidR="00C451C7" w:rsidRPr="006263CF" w:rsidRDefault="00C451C7" w:rsidP="00C451C7">
            <w:pPr>
              <w:jc w:val="center"/>
              <w:rPr>
                <w:rFonts w:asciiTheme="minorHAnsi" w:hAnsiTheme="minorHAnsi" w:cstheme="minorHAnsi"/>
                <w:sz w:val="18"/>
              </w:rPr>
            </w:pPr>
            <w:r w:rsidRPr="006263CF">
              <w:rPr>
                <w:rFonts w:asciiTheme="minorHAnsi" w:hAnsiTheme="minorHAnsi" w:cstheme="minorHAnsi"/>
                <w:color w:val="000000"/>
                <w:sz w:val="18"/>
              </w:rPr>
              <w:t>3</w:t>
            </w:r>
          </w:p>
        </w:tc>
        <w:tc>
          <w:tcPr>
            <w:tcW w:w="854" w:type="dxa"/>
            <w:tcBorders>
              <w:top w:val="single" w:sz="4" w:space="0" w:color="1F61AA"/>
              <w:left w:val="nil"/>
              <w:bottom w:val="single" w:sz="4" w:space="0" w:color="1F61AA"/>
              <w:right w:val="nil"/>
            </w:tcBorders>
            <w:shd w:val="clear" w:color="auto" w:fill="FFFFFF"/>
            <w:vAlign w:val="center"/>
          </w:tcPr>
          <w:p w:rsidR="00C451C7" w:rsidRPr="006263CF" w:rsidRDefault="00C451C7" w:rsidP="00C451C7">
            <w:pPr>
              <w:jc w:val="center"/>
              <w:rPr>
                <w:rFonts w:asciiTheme="minorHAnsi" w:hAnsiTheme="minorHAnsi" w:cstheme="minorHAnsi"/>
                <w:sz w:val="18"/>
              </w:rPr>
            </w:pPr>
            <w:r w:rsidRPr="006263CF">
              <w:rPr>
                <w:rFonts w:asciiTheme="minorHAnsi" w:hAnsiTheme="minorHAnsi" w:cstheme="minorHAnsi"/>
                <w:color w:val="000000"/>
                <w:sz w:val="18"/>
              </w:rPr>
              <w:t>4</w:t>
            </w:r>
          </w:p>
        </w:tc>
        <w:tc>
          <w:tcPr>
            <w:tcW w:w="869" w:type="dxa"/>
            <w:tcBorders>
              <w:top w:val="nil"/>
              <w:left w:val="nil"/>
              <w:bottom w:val="single" w:sz="4" w:space="0" w:color="1F61AA"/>
              <w:right w:val="nil"/>
            </w:tcBorders>
            <w:shd w:val="clear" w:color="auto" w:fill="FFFFFF"/>
            <w:vAlign w:val="center"/>
          </w:tcPr>
          <w:p w:rsidR="00C451C7" w:rsidRPr="006263CF" w:rsidRDefault="00C451C7" w:rsidP="00C451C7">
            <w:pPr>
              <w:jc w:val="center"/>
              <w:rPr>
                <w:rFonts w:asciiTheme="minorHAnsi" w:hAnsiTheme="minorHAnsi" w:cstheme="minorHAnsi"/>
                <w:sz w:val="18"/>
              </w:rPr>
            </w:pPr>
          </w:p>
        </w:tc>
        <w:tc>
          <w:tcPr>
            <w:tcW w:w="1906" w:type="dxa"/>
            <w:tcBorders>
              <w:top w:val="nil"/>
              <w:left w:val="nil"/>
              <w:bottom w:val="single" w:sz="4" w:space="0" w:color="1F61AA"/>
              <w:right w:val="nil"/>
            </w:tcBorders>
            <w:shd w:val="clear" w:color="auto" w:fill="FFFFFF"/>
            <w:vAlign w:val="center"/>
          </w:tcPr>
          <w:p w:rsidR="00C451C7" w:rsidRPr="006263CF" w:rsidRDefault="00C451C7" w:rsidP="00C451C7">
            <w:pPr>
              <w:jc w:val="center"/>
              <w:rPr>
                <w:rFonts w:asciiTheme="minorHAnsi" w:hAnsiTheme="minorHAnsi" w:cstheme="minorHAnsi"/>
                <w:sz w:val="18"/>
              </w:rPr>
            </w:pPr>
          </w:p>
        </w:tc>
      </w:tr>
      <w:tr w:rsidR="005225B5" w:rsidRPr="006263CF" w:rsidTr="00C451C7">
        <w:trPr>
          <w:trHeight w:val="20"/>
        </w:trPr>
        <w:tc>
          <w:tcPr>
            <w:tcW w:w="1075" w:type="dxa"/>
            <w:tcBorders>
              <w:top w:val="nil"/>
              <w:left w:val="nil"/>
              <w:bottom w:val="nil"/>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p>
        </w:tc>
        <w:tc>
          <w:tcPr>
            <w:tcW w:w="1560"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Іміпенем-циластатин</w:t>
            </w:r>
          </w:p>
        </w:tc>
        <w:tc>
          <w:tcPr>
            <w:tcW w:w="1402"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tabs>
                <w:tab w:val="left" w:pos="730"/>
              </w:tabs>
              <w:jc w:val="center"/>
              <w:rPr>
                <w:rFonts w:asciiTheme="minorHAnsi" w:hAnsiTheme="minorHAnsi" w:cstheme="minorHAnsi"/>
                <w:sz w:val="18"/>
              </w:rPr>
            </w:pPr>
            <w:r w:rsidRPr="006263CF">
              <w:rPr>
                <w:rFonts w:asciiTheme="minorHAnsi" w:hAnsiTheme="minorHAnsi" w:cstheme="minorHAnsi"/>
                <w:color w:val="000000"/>
                <w:sz w:val="12"/>
                <w:szCs w:val="14"/>
                <w:vertAlign w:val="superscript"/>
              </w:rPr>
              <w:t>c</w:t>
            </w:r>
          </w:p>
        </w:tc>
        <w:tc>
          <w:tcPr>
            <w:tcW w:w="1512"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500 мг +</w:t>
            </w:r>
          </w:p>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500 мг</w:t>
            </w:r>
          </w:p>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порошок для</w:t>
            </w:r>
          </w:p>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ін’єкцій, флакон</w:t>
            </w:r>
          </w:p>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(10 мл)</w:t>
            </w:r>
          </w:p>
        </w:tc>
        <w:tc>
          <w:tcPr>
            <w:tcW w:w="5726" w:type="dxa"/>
            <w:gridSpan w:val="5"/>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2 флакони (1 г + 1 г) 2 рази на день</w:t>
            </w:r>
          </w:p>
        </w:tc>
        <w:tc>
          <w:tcPr>
            <w:tcW w:w="869"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w:t>
            </w:r>
          </w:p>
        </w:tc>
        <w:tc>
          <w:tcPr>
            <w:tcW w:w="1906"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Вживати з клавулановою кислотою.</w:t>
            </w:r>
          </w:p>
        </w:tc>
      </w:tr>
      <w:tr w:rsidR="005225B5" w:rsidRPr="006263CF" w:rsidTr="00C451C7">
        <w:trPr>
          <w:trHeight w:val="20"/>
        </w:trPr>
        <w:tc>
          <w:tcPr>
            <w:tcW w:w="1075" w:type="dxa"/>
            <w:tcBorders>
              <w:top w:val="nil"/>
              <w:left w:val="nil"/>
              <w:bottom w:val="nil"/>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p>
        </w:tc>
        <w:tc>
          <w:tcPr>
            <w:tcW w:w="1560"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Меропенем</w:t>
            </w:r>
          </w:p>
        </w:tc>
        <w:tc>
          <w:tcPr>
            <w:tcW w:w="1402"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tabs>
                <w:tab w:val="left" w:pos="730"/>
              </w:tabs>
              <w:jc w:val="center"/>
              <w:rPr>
                <w:rFonts w:asciiTheme="minorHAnsi" w:hAnsiTheme="minorHAnsi" w:cstheme="minorHAnsi"/>
                <w:sz w:val="18"/>
              </w:rPr>
            </w:pPr>
            <w:r w:rsidRPr="006263CF">
              <w:rPr>
                <w:rFonts w:asciiTheme="minorHAnsi" w:hAnsiTheme="minorHAnsi" w:cstheme="minorHAnsi"/>
                <w:color w:val="000000"/>
                <w:sz w:val="12"/>
                <w:szCs w:val="14"/>
                <w:vertAlign w:val="superscript"/>
              </w:rPr>
              <w:t>c</w:t>
            </w:r>
          </w:p>
        </w:tc>
        <w:tc>
          <w:tcPr>
            <w:tcW w:w="1512"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1 г порошку для ін’єкцій, флакон (20 мл)</w:t>
            </w:r>
          </w:p>
        </w:tc>
        <w:tc>
          <w:tcPr>
            <w:tcW w:w="5726" w:type="dxa"/>
            <w:gridSpan w:val="5"/>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По 1 флакону 3 рази на день або по 2 флакони 2 рази на день</w:t>
            </w:r>
          </w:p>
        </w:tc>
        <w:tc>
          <w:tcPr>
            <w:tcW w:w="869"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w:t>
            </w:r>
          </w:p>
        </w:tc>
        <w:tc>
          <w:tcPr>
            <w:tcW w:w="1906"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Вживати з клавулановою кислотою.</w:t>
            </w:r>
          </w:p>
        </w:tc>
      </w:tr>
      <w:tr w:rsidR="005225B5" w:rsidRPr="006263CF" w:rsidTr="00C451C7">
        <w:trPr>
          <w:trHeight w:val="20"/>
        </w:trPr>
        <w:tc>
          <w:tcPr>
            <w:tcW w:w="1075" w:type="dxa"/>
            <w:tcBorders>
              <w:top w:val="nil"/>
              <w:left w:val="nil"/>
              <w:bottom w:val="nil"/>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b/>
                <w:bCs/>
                <w:color w:val="000000"/>
                <w:sz w:val="24"/>
                <w:szCs w:val="28"/>
              </w:rPr>
              <w:t>С</w:t>
            </w:r>
          </w:p>
        </w:tc>
        <w:tc>
          <w:tcPr>
            <w:tcW w:w="1560"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Амікацин</w:t>
            </w:r>
          </w:p>
        </w:tc>
        <w:tc>
          <w:tcPr>
            <w:tcW w:w="1402"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15-20 мг/кг</w:t>
            </w:r>
          </w:p>
        </w:tc>
        <w:tc>
          <w:tcPr>
            <w:tcW w:w="1512"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500 мг/2 мл</w:t>
            </w:r>
          </w:p>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розчин для</w:t>
            </w:r>
          </w:p>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ін'єкцій,</w:t>
            </w:r>
          </w:p>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ампула</w:t>
            </w:r>
            <w:r w:rsidRPr="006263CF">
              <w:rPr>
                <w:rFonts w:asciiTheme="minorHAnsi" w:hAnsiTheme="minorHAnsi" w:cstheme="minorHAnsi"/>
                <w:color w:val="000000"/>
                <w:sz w:val="18"/>
                <w:vertAlign w:val="superscript"/>
              </w:rPr>
              <w:t>f</w:t>
            </w:r>
          </w:p>
        </w:tc>
        <w:tc>
          <w:tcPr>
            <w:tcW w:w="1085"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2,5 мл</w:t>
            </w:r>
          </w:p>
        </w:tc>
        <w:tc>
          <w:tcPr>
            <w:tcW w:w="1267"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3 мл</w:t>
            </w:r>
          </w:p>
        </w:tc>
        <w:tc>
          <w:tcPr>
            <w:tcW w:w="1253"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3-4 мл</w:t>
            </w:r>
          </w:p>
        </w:tc>
        <w:tc>
          <w:tcPr>
            <w:tcW w:w="1267"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4 мл</w:t>
            </w:r>
          </w:p>
        </w:tc>
        <w:tc>
          <w:tcPr>
            <w:tcW w:w="854"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4 мл</w:t>
            </w:r>
          </w:p>
        </w:tc>
        <w:tc>
          <w:tcPr>
            <w:tcW w:w="869"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1 г</w:t>
            </w:r>
          </w:p>
        </w:tc>
        <w:tc>
          <w:tcPr>
            <w:tcW w:w="1906"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p>
        </w:tc>
      </w:tr>
      <w:tr w:rsidR="005225B5" w:rsidRPr="006263CF" w:rsidTr="00C451C7">
        <w:trPr>
          <w:trHeight w:val="20"/>
        </w:trPr>
        <w:tc>
          <w:tcPr>
            <w:tcW w:w="1075" w:type="dxa"/>
            <w:tcBorders>
              <w:top w:val="nil"/>
              <w:left w:val="nil"/>
              <w:bottom w:val="nil"/>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p>
        </w:tc>
        <w:tc>
          <w:tcPr>
            <w:tcW w:w="1560"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Стрептоміцин</w:t>
            </w:r>
          </w:p>
        </w:tc>
        <w:tc>
          <w:tcPr>
            <w:tcW w:w="1402"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12-18 мг/кг</w:t>
            </w:r>
          </w:p>
        </w:tc>
        <w:tc>
          <w:tcPr>
            <w:tcW w:w="1512"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1 г порошку для ін'єкцій,</w:t>
            </w:r>
          </w:p>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флакон</w:t>
            </w:r>
            <w:r w:rsidRPr="006263CF">
              <w:rPr>
                <w:rFonts w:asciiTheme="minorHAnsi" w:hAnsiTheme="minorHAnsi" w:cstheme="minorHAnsi"/>
                <w:color w:val="000000"/>
                <w:sz w:val="18"/>
                <w:vertAlign w:val="superscript"/>
              </w:rPr>
              <w:t>f</w:t>
            </w:r>
          </w:p>
        </w:tc>
        <w:tc>
          <w:tcPr>
            <w:tcW w:w="5726" w:type="dxa"/>
            <w:gridSpan w:val="5"/>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Розрахуйте відповідно до використовуваного розведення</w:t>
            </w:r>
          </w:p>
        </w:tc>
        <w:tc>
          <w:tcPr>
            <w:tcW w:w="869"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1 г</w:t>
            </w:r>
          </w:p>
        </w:tc>
        <w:tc>
          <w:tcPr>
            <w:tcW w:w="1906"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p>
        </w:tc>
      </w:tr>
      <w:tr w:rsidR="005225B5" w:rsidRPr="006263CF" w:rsidTr="00C451C7">
        <w:trPr>
          <w:trHeight w:val="20"/>
        </w:trPr>
        <w:tc>
          <w:tcPr>
            <w:tcW w:w="1075" w:type="dxa"/>
            <w:tcBorders>
              <w:top w:val="nil"/>
              <w:left w:val="nil"/>
              <w:bottom w:val="nil"/>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p>
        </w:tc>
        <w:tc>
          <w:tcPr>
            <w:tcW w:w="1560"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Етіонамід</w:t>
            </w:r>
          </w:p>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або</w:t>
            </w:r>
          </w:p>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Протіонамід</w:t>
            </w:r>
          </w:p>
        </w:tc>
        <w:tc>
          <w:tcPr>
            <w:tcW w:w="1402"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15-20 мг/кг</w:t>
            </w:r>
          </w:p>
        </w:tc>
        <w:tc>
          <w:tcPr>
            <w:tcW w:w="1512"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250 мг таб</w:t>
            </w:r>
          </w:p>
        </w:tc>
        <w:tc>
          <w:tcPr>
            <w:tcW w:w="1085"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2</w:t>
            </w:r>
          </w:p>
        </w:tc>
        <w:tc>
          <w:tcPr>
            <w:tcW w:w="1267"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2</w:t>
            </w:r>
          </w:p>
        </w:tc>
        <w:tc>
          <w:tcPr>
            <w:tcW w:w="1253"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3</w:t>
            </w:r>
          </w:p>
        </w:tc>
        <w:tc>
          <w:tcPr>
            <w:tcW w:w="1267"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3</w:t>
            </w:r>
          </w:p>
        </w:tc>
        <w:tc>
          <w:tcPr>
            <w:tcW w:w="854"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4</w:t>
            </w:r>
          </w:p>
        </w:tc>
        <w:tc>
          <w:tcPr>
            <w:tcW w:w="869"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1 г</w:t>
            </w:r>
          </w:p>
        </w:tc>
        <w:tc>
          <w:tcPr>
            <w:tcW w:w="1906" w:type="dxa"/>
            <w:tcBorders>
              <w:top w:val="single" w:sz="4" w:space="0" w:color="1F61AA"/>
              <w:left w:val="nil"/>
              <w:bottom w:val="single" w:sz="4" w:space="0" w:color="1F61AA"/>
              <w:right w:val="nil"/>
            </w:tcBorders>
            <w:shd w:val="clear" w:color="auto" w:fill="FFFFFF"/>
            <w:vAlign w:val="center"/>
          </w:tcPr>
          <w:p w:rsidR="005225B5" w:rsidRPr="006263CF" w:rsidRDefault="005225B5" w:rsidP="00C451C7">
            <w:pPr>
              <w:jc w:val="center"/>
              <w:rPr>
                <w:rFonts w:asciiTheme="minorHAnsi" w:hAnsiTheme="minorHAnsi" w:cstheme="minorHAnsi"/>
                <w:sz w:val="18"/>
              </w:rPr>
            </w:pPr>
            <w:r w:rsidRPr="006263CF">
              <w:rPr>
                <w:rFonts w:asciiTheme="minorHAnsi" w:hAnsiTheme="minorHAnsi" w:cstheme="minorHAnsi"/>
                <w:color w:val="000000"/>
                <w:sz w:val="18"/>
              </w:rPr>
              <w:t>Рекомендується приймати дозу одноразово, але можна починати з 2-х розділених доз, поки не покращиться толерантність.</w:t>
            </w:r>
          </w:p>
        </w:tc>
      </w:tr>
      <w:tr w:rsidR="00C451C7" w:rsidRPr="006263CF" w:rsidTr="00080638">
        <w:trPr>
          <w:trHeight w:val="20"/>
        </w:trPr>
        <w:tc>
          <w:tcPr>
            <w:tcW w:w="1075" w:type="dxa"/>
            <w:tcBorders>
              <w:top w:val="nil"/>
              <w:left w:val="nil"/>
              <w:bottom w:val="nil"/>
              <w:right w:val="nil"/>
            </w:tcBorders>
            <w:shd w:val="clear" w:color="auto" w:fill="FFFFFF"/>
            <w:vAlign w:val="center"/>
          </w:tcPr>
          <w:p w:rsidR="00C451C7" w:rsidRPr="006263CF" w:rsidRDefault="00C451C7" w:rsidP="00C451C7">
            <w:pPr>
              <w:jc w:val="center"/>
              <w:rPr>
                <w:rFonts w:asciiTheme="minorHAnsi" w:hAnsiTheme="minorHAnsi" w:cstheme="minorHAnsi"/>
                <w:sz w:val="18"/>
              </w:rPr>
            </w:pPr>
          </w:p>
        </w:tc>
        <w:tc>
          <w:tcPr>
            <w:tcW w:w="1560" w:type="dxa"/>
            <w:vMerge w:val="restart"/>
            <w:tcBorders>
              <w:top w:val="single" w:sz="4" w:space="0" w:color="1F61AA"/>
              <w:left w:val="nil"/>
              <w:right w:val="nil"/>
            </w:tcBorders>
            <w:shd w:val="clear" w:color="auto" w:fill="FFFFFF"/>
            <w:vAlign w:val="center"/>
          </w:tcPr>
          <w:p w:rsidR="00C451C7" w:rsidRPr="006263CF" w:rsidRDefault="00C451C7" w:rsidP="00C451C7">
            <w:pPr>
              <w:jc w:val="center"/>
              <w:rPr>
                <w:rFonts w:asciiTheme="minorHAnsi" w:hAnsiTheme="minorHAnsi" w:cstheme="minorHAnsi"/>
                <w:sz w:val="18"/>
              </w:rPr>
            </w:pPr>
            <w:r w:rsidRPr="006263CF">
              <w:rPr>
                <w:rFonts w:asciiTheme="minorHAnsi" w:hAnsiTheme="minorHAnsi" w:cstheme="minorHAnsi"/>
                <w:i/>
                <w:iCs/>
                <w:color w:val="000000"/>
                <w:sz w:val="18"/>
              </w:rPr>
              <w:t>P</w:t>
            </w:r>
            <w:r w:rsidRPr="006263CF">
              <w:rPr>
                <w:rFonts w:asciiTheme="minorHAnsi" w:hAnsiTheme="minorHAnsi" w:cstheme="minorHAnsi"/>
                <w:color w:val="000000"/>
                <w:sz w:val="18"/>
              </w:rPr>
              <w:t>-аміносаліцилова кислота</w:t>
            </w:r>
          </w:p>
        </w:tc>
        <w:tc>
          <w:tcPr>
            <w:tcW w:w="1402" w:type="dxa"/>
            <w:vMerge w:val="restart"/>
            <w:tcBorders>
              <w:top w:val="single" w:sz="4" w:space="0" w:color="1F61AA"/>
              <w:left w:val="nil"/>
              <w:right w:val="nil"/>
            </w:tcBorders>
            <w:shd w:val="clear" w:color="auto" w:fill="FFFFFF"/>
            <w:vAlign w:val="center"/>
          </w:tcPr>
          <w:p w:rsidR="00C451C7" w:rsidRPr="006263CF" w:rsidRDefault="00C451C7" w:rsidP="00C451C7">
            <w:pPr>
              <w:jc w:val="center"/>
              <w:rPr>
                <w:rFonts w:asciiTheme="minorHAnsi" w:hAnsiTheme="minorHAnsi" w:cstheme="minorHAnsi"/>
                <w:sz w:val="18"/>
              </w:rPr>
            </w:pPr>
            <w:r w:rsidRPr="006263CF">
              <w:rPr>
                <w:rFonts w:asciiTheme="minorHAnsi" w:hAnsiTheme="minorHAnsi" w:cstheme="minorHAnsi"/>
                <w:color w:val="000000"/>
                <w:sz w:val="18"/>
              </w:rPr>
              <w:t>8-12 г/день у</w:t>
            </w:r>
          </w:p>
          <w:p w:rsidR="00C451C7" w:rsidRPr="006263CF" w:rsidRDefault="00C451C7" w:rsidP="00C451C7">
            <w:pPr>
              <w:jc w:val="center"/>
              <w:rPr>
                <w:rFonts w:asciiTheme="minorHAnsi" w:hAnsiTheme="minorHAnsi" w:cstheme="minorHAnsi"/>
                <w:sz w:val="18"/>
              </w:rPr>
            </w:pPr>
            <w:r w:rsidRPr="006263CF">
              <w:rPr>
                <w:rFonts w:asciiTheme="minorHAnsi" w:hAnsiTheme="minorHAnsi" w:cstheme="minorHAnsi"/>
                <w:color w:val="000000"/>
                <w:sz w:val="18"/>
              </w:rPr>
              <w:t>2-3 розділені</w:t>
            </w:r>
          </w:p>
          <w:p w:rsidR="00C451C7" w:rsidRPr="006263CF" w:rsidRDefault="00C451C7" w:rsidP="00C451C7">
            <w:pPr>
              <w:jc w:val="center"/>
              <w:rPr>
                <w:rFonts w:asciiTheme="minorHAnsi" w:hAnsiTheme="minorHAnsi" w:cstheme="minorHAnsi"/>
                <w:sz w:val="18"/>
              </w:rPr>
            </w:pPr>
            <w:r w:rsidRPr="006263CF">
              <w:rPr>
                <w:rFonts w:asciiTheme="minorHAnsi" w:hAnsiTheme="minorHAnsi" w:cstheme="minorHAnsi"/>
                <w:color w:val="000000"/>
                <w:sz w:val="18"/>
              </w:rPr>
              <w:t>дози</w:t>
            </w:r>
          </w:p>
        </w:tc>
        <w:tc>
          <w:tcPr>
            <w:tcW w:w="1512" w:type="dxa"/>
            <w:tcBorders>
              <w:top w:val="single" w:sz="4" w:space="0" w:color="1F61AA"/>
              <w:left w:val="nil"/>
              <w:bottom w:val="single" w:sz="4" w:space="0" w:color="1F61AA"/>
              <w:right w:val="nil"/>
            </w:tcBorders>
            <w:shd w:val="clear" w:color="auto" w:fill="FFFFFF"/>
            <w:vAlign w:val="center"/>
          </w:tcPr>
          <w:p w:rsidR="00C451C7" w:rsidRPr="006263CF" w:rsidRDefault="00C451C7" w:rsidP="00C451C7">
            <w:pPr>
              <w:jc w:val="center"/>
              <w:rPr>
                <w:rFonts w:asciiTheme="minorHAnsi" w:hAnsiTheme="minorHAnsi" w:cstheme="minorHAnsi"/>
                <w:sz w:val="18"/>
              </w:rPr>
            </w:pPr>
            <w:r w:rsidRPr="006263CF">
              <w:rPr>
                <w:rFonts w:asciiTheme="minorHAnsi" w:hAnsiTheme="minorHAnsi" w:cstheme="minorHAnsi"/>
                <w:color w:val="000000"/>
                <w:sz w:val="18"/>
              </w:rPr>
              <w:t>ПАС(П-аміносаліцилова кислота) та натрієва</w:t>
            </w:r>
          </w:p>
          <w:p w:rsidR="00C451C7" w:rsidRPr="006263CF" w:rsidRDefault="00C451C7" w:rsidP="00C451C7">
            <w:pPr>
              <w:jc w:val="center"/>
              <w:rPr>
                <w:rFonts w:asciiTheme="minorHAnsi" w:hAnsiTheme="minorHAnsi" w:cstheme="minorHAnsi"/>
                <w:sz w:val="18"/>
              </w:rPr>
            </w:pPr>
            <w:r w:rsidRPr="006263CF">
              <w:rPr>
                <w:rFonts w:asciiTheme="minorHAnsi" w:hAnsiTheme="minorHAnsi" w:cstheme="minorHAnsi"/>
                <w:color w:val="000000"/>
                <w:sz w:val="18"/>
              </w:rPr>
              <w:t>сіль (еквівалент</w:t>
            </w:r>
          </w:p>
          <w:p w:rsidR="00C451C7" w:rsidRPr="006263CF" w:rsidRDefault="00C451C7" w:rsidP="00C451C7">
            <w:pPr>
              <w:jc w:val="center"/>
              <w:rPr>
                <w:rFonts w:asciiTheme="minorHAnsi" w:hAnsiTheme="minorHAnsi" w:cstheme="minorHAnsi"/>
                <w:sz w:val="18"/>
              </w:rPr>
            </w:pPr>
            <w:r w:rsidRPr="006263CF">
              <w:rPr>
                <w:rFonts w:asciiTheme="minorHAnsi" w:hAnsiTheme="minorHAnsi" w:cstheme="minorHAnsi"/>
                <w:color w:val="000000"/>
                <w:sz w:val="18"/>
              </w:rPr>
              <w:t>- 4 г ПАС</w:t>
            </w:r>
          </w:p>
          <w:p w:rsidR="00C451C7" w:rsidRPr="006263CF" w:rsidRDefault="00C451C7" w:rsidP="00C451C7">
            <w:pPr>
              <w:jc w:val="center"/>
              <w:rPr>
                <w:rFonts w:asciiTheme="minorHAnsi" w:hAnsiTheme="minorHAnsi" w:cstheme="minorHAnsi"/>
                <w:sz w:val="18"/>
              </w:rPr>
            </w:pPr>
            <w:r w:rsidRPr="006263CF">
              <w:rPr>
                <w:rFonts w:asciiTheme="minorHAnsi" w:hAnsiTheme="minorHAnsi" w:cstheme="minorHAnsi"/>
                <w:color w:val="000000"/>
                <w:sz w:val="18"/>
              </w:rPr>
              <w:t>кислоти) саше</w:t>
            </w:r>
          </w:p>
        </w:tc>
        <w:tc>
          <w:tcPr>
            <w:tcW w:w="1085" w:type="dxa"/>
            <w:tcBorders>
              <w:top w:val="single" w:sz="4" w:space="0" w:color="1F61AA"/>
              <w:left w:val="nil"/>
              <w:bottom w:val="single" w:sz="4" w:space="0" w:color="1F61AA"/>
              <w:right w:val="nil"/>
            </w:tcBorders>
            <w:shd w:val="clear" w:color="auto" w:fill="FFFFFF"/>
            <w:vAlign w:val="center"/>
          </w:tcPr>
          <w:p w:rsidR="00C451C7" w:rsidRPr="006263CF" w:rsidRDefault="00C451C7" w:rsidP="00D15218">
            <w:pPr>
              <w:jc w:val="center"/>
              <w:rPr>
                <w:rFonts w:asciiTheme="minorHAnsi" w:hAnsiTheme="minorHAnsi" w:cstheme="minorHAnsi"/>
                <w:sz w:val="18"/>
              </w:rPr>
            </w:pPr>
            <w:r w:rsidRPr="006263CF">
              <w:rPr>
                <w:rFonts w:asciiTheme="minorHAnsi" w:hAnsiTheme="minorHAnsi" w:cstheme="minorHAnsi"/>
                <w:color w:val="000000"/>
                <w:sz w:val="18"/>
              </w:rPr>
              <w:t>1 2 рази на день</w:t>
            </w:r>
          </w:p>
        </w:tc>
        <w:tc>
          <w:tcPr>
            <w:tcW w:w="1267" w:type="dxa"/>
            <w:tcBorders>
              <w:top w:val="single" w:sz="4" w:space="0" w:color="1F61AA"/>
              <w:left w:val="nil"/>
              <w:bottom w:val="single" w:sz="4" w:space="0" w:color="1F61AA"/>
              <w:right w:val="nil"/>
            </w:tcBorders>
            <w:shd w:val="clear" w:color="auto" w:fill="FFFFFF"/>
            <w:vAlign w:val="center"/>
          </w:tcPr>
          <w:p w:rsidR="00C451C7" w:rsidRPr="006263CF" w:rsidRDefault="00C451C7" w:rsidP="00C451C7">
            <w:pPr>
              <w:jc w:val="center"/>
              <w:rPr>
                <w:rFonts w:asciiTheme="minorHAnsi" w:hAnsiTheme="minorHAnsi" w:cstheme="minorHAnsi"/>
                <w:sz w:val="18"/>
              </w:rPr>
            </w:pPr>
            <w:r w:rsidRPr="006263CF">
              <w:rPr>
                <w:rFonts w:asciiTheme="minorHAnsi" w:hAnsiTheme="minorHAnsi" w:cstheme="minorHAnsi"/>
                <w:color w:val="000000"/>
                <w:sz w:val="18"/>
              </w:rPr>
              <w:t>1 2 рази на день</w:t>
            </w:r>
          </w:p>
        </w:tc>
        <w:tc>
          <w:tcPr>
            <w:tcW w:w="1253" w:type="dxa"/>
            <w:tcBorders>
              <w:top w:val="single" w:sz="4" w:space="0" w:color="1F61AA"/>
              <w:left w:val="nil"/>
              <w:bottom w:val="single" w:sz="4" w:space="0" w:color="1F61AA"/>
              <w:right w:val="nil"/>
            </w:tcBorders>
            <w:shd w:val="clear" w:color="auto" w:fill="FFFFFF"/>
            <w:vAlign w:val="center"/>
          </w:tcPr>
          <w:p w:rsidR="00C451C7" w:rsidRPr="006263CF" w:rsidRDefault="00C451C7" w:rsidP="00C451C7">
            <w:pPr>
              <w:jc w:val="center"/>
              <w:rPr>
                <w:rFonts w:asciiTheme="minorHAnsi" w:hAnsiTheme="minorHAnsi" w:cstheme="minorHAnsi"/>
                <w:sz w:val="18"/>
              </w:rPr>
            </w:pPr>
            <w:r w:rsidRPr="006263CF">
              <w:rPr>
                <w:rFonts w:asciiTheme="minorHAnsi" w:hAnsiTheme="minorHAnsi" w:cstheme="minorHAnsi"/>
                <w:color w:val="000000"/>
                <w:sz w:val="18"/>
              </w:rPr>
              <w:t>1 2 рази на день</w:t>
            </w:r>
          </w:p>
        </w:tc>
        <w:tc>
          <w:tcPr>
            <w:tcW w:w="1267" w:type="dxa"/>
            <w:tcBorders>
              <w:top w:val="single" w:sz="4" w:space="0" w:color="1F61AA"/>
              <w:left w:val="nil"/>
              <w:bottom w:val="single" w:sz="4" w:space="0" w:color="1F61AA"/>
              <w:right w:val="nil"/>
            </w:tcBorders>
            <w:shd w:val="clear" w:color="auto" w:fill="FFFFFF"/>
            <w:vAlign w:val="center"/>
          </w:tcPr>
          <w:p w:rsidR="00C451C7" w:rsidRPr="006263CF" w:rsidRDefault="00C451C7" w:rsidP="00C451C7">
            <w:pPr>
              <w:jc w:val="center"/>
              <w:rPr>
                <w:rFonts w:asciiTheme="minorHAnsi" w:hAnsiTheme="minorHAnsi" w:cstheme="minorHAnsi"/>
                <w:sz w:val="18"/>
              </w:rPr>
            </w:pPr>
            <w:r w:rsidRPr="006263CF">
              <w:rPr>
                <w:rFonts w:asciiTheme="minorHAnsi" w:hAnsiTheme="minorHAnsi" w:cstheme="minorHAnsi"/>
                <w:color w:val="000000"/>
                <w:sz w:val="18"/>
              </w:rPr>
              <w:t>1 2 рази на день</w:t>
            </w:r>
          </w:p>
        </w:tc>
        <w:tc>
          <w:tcPr>
            <w:tcW w:w="854" w:type="dxa"/>
            <w:tcBorders>
              <w:top w:val="single" w:sz="4" w:space="0" w:color="1F61AA"/>
              <w:left w:val="nil"/>
              <w:bottom w:val="single" w:sz="4" w:space="0" w:color="1F61AA"/>
              <w:right w:val="nil"/>
            </w:tcBorders>
            <w:shd w:val="clear" w:color="auto" w:fill="FFFFFF"/>
            <w:vAlign w:val="center"/>
          </w:tcPr>
          <w:p w:rsidR="00D15218" w:rsidRDefault="00C451C7" w:rsidP="00C451C7">
            <w:pPr>
              <w:jc w:val="center"/>
              <w:rPr>
                <w:rFonts w:asciiTheme="minorHAnsi" w:hAnsiTheme="minorHAnsi" w:cstheme="minorHAnsi"/>
                <w:color w:val="000000"/>
                <w:sz w:val="18"/>
              </w:rPr>
            </w:pPr>
            <w:r w:rsidRPr="006263CF">
              <w:rPr>
                <w:rFonts w:asciiTheme="minorHAnsi" w:hAnsiTheme="minorHAnsi" w:cstheme="minorHAnsi"/>
                <w:color w:val="000000"/>
                <w:sz w:val="18"/>
              </w:rPr>
              <w:t xml:space="preserve">1-1,5 </w:t>
            </w:r>
          </w:p>
          <w:p w:rsidR="00C451C7" w:rsidRPr="006263CF" w:rsidRDefault="00C451C7" w:rsidP="00C451C7">
            <w:pPr>
              <w:jc w:val="center"/>
              <w:rPr>
                <w:rFonts w:asciiTheme="minorHAnsi" w:hAnsiTheme="minorHAnsi" w:cstheme="minorHAnsi"/>
                <w:sz w:val="18"/>
              </w:rPr>
            </w:pPr>
            <w:r w:rsidRPr="006263CF">
              <w:rPr>
                <w:rFonts w:asciiTheme="minorHAnsi" w:hAnsiTheme="minorHAnsi" w:cstheme="minorHAnsi"/>
                <w:color w:val="000000"/>
                <w:sz w:val="18"/>
              </w:rPr>
              <w:t>2 рази на день</w:t>
            </w:r>
          </w:p>
        </w:tc>
        <w:tc>
          <w:tcPr>
            <w:tcW w:w="869" w:type="dxa"/>
            <w:vMerge w:val="restart"/>
            <w:tcBorders>
              <w:top w:val="single" w:sz="4" w:space="0" w:color="1F61AA"/>
              <w:left w:val="nil"/>
              <w:right w:val="nil"/>
            </w:tcBorders>
            <w:shd w:val="clear" w:color="auto" w:fill="FFFFFF"/>
            <w:vAlign w:val="center"/>
          </w:tcPr>
          <w:p w:rsidR="00C451C7" w:rsidRPr="006263CF" w:rsidRDefault="00C451C7" w:rsidP="00C451C7">
            <w:pPr>
              <w:jc w:val="center"/>
              <w:rPr>
                <w:rFonts w:asciiTheme="minorHAnsi" w:hAnsiTheme="minorHAnsi" w:cstheme="minorHAnsi"/>
                <w:sz w:val="18"/>
              </w:rPr>
            </w:pPr>
            <w:r w:rsidRPr="006263CF">
              <w:rPr>
                <w:rFonts w:asciiTheme="minorHAnsi" w:hAnsiTheme="minorHAnsi" w:cstheme="minorHAnsi"/>
                <w:color w:val="000000"/>
                <w:sz w:val="18"/>
              </w:rPr>
              <w:t>12 г</w:t>
            </w:r>
          </w:p>
        </w:tc>
        <w:tc>
          <w:tcPr>
            <w:tcW w:w="1906" w:type="dxa"/>
            <w:vMerge w:val="restart"/>
            <w:tcBorders>
              <w:top w:val="single" w:sz="4" w:space="0" w:color="1F61AA"/>
              <w:left w:val="nil"/>
              <w:bottom w:val="nil"/>
              <w:right w:val="nil"/>
            </w:tcBorders>
            <w:shd w:val="clear" w:color="auto" w:fill="FFFFFF"/>
            <w:vAlign w:val="center"/>
          </w:tcPr>
          <w:p w:rsidR="00C451C7" w:rsidRPr="006263CF" w:rsidRDefault="00C451C7" w:rsidP="00C451C7">
            <w:pPr>
              <w:jc w:val="center"/>
              <w:rPr>
                <w:rFonts w:asciiTheme="minorHAnsi" w:hAnsiTheme="minorHAnsi" w:cstheme="minorHAnsi"/>
                <w:sz w:val="18"/>
              </w:rPr>
            </w:pPr>
          </w:p>
        </w:tc>
      </w:tr>
      <w:tr w:rsidR="00C451C7" w:rsidRPr="006263CF" w:rsidTr="00D15218">
        <w:trPr>
          <w:trHeight w:val="20"/>
        </w:trPr>
        <w:tc>
          <w:tcPr>
            <w:tcW w:w="1075" w:type="dxa"/>
            <w:tcBorders>
              <w:top w:val="nil"/>
              <w:left w:val="nil"/>
              <w:bottom w:val="single" w:sz="4" w:space="0" w:color="1F61AA"/>
              <w:right w:val="nil"/>
            </w:tcBorders>
            <w:shd w:val="clear" w:color="auto" w:fill="FFFFFF"/>
            <w:vAlign w:val="center"/>
          </w:tcPr>
          <w:p w:rsidR="00C451C7" w:rsidRPr="006263CF" w:rsidRDefault="00C451C7" w:rsidP="00C451C7">
            <w:pPr>
              <w:jc w:val="center"/>
              <w:rPr>
                <w:rFonts w:asciiTheme="minorHAnsi" w:hAnsiTheme="minorHAnsi" w:cstheme="minorHAnsi"/>
                <w:sz w:val="18"/>
              </w:rPr>
            </w:pPr>
          </w:p>
        </w:tc>
        <w:tc>
          <w:tcPr>
            <w:tcW w:w="1560" w:type="dxa"/>
            <w:vMerge/>
            <w:tcBorders>
              <w:left w:val="nil"/>
              <w:bottom w:val="single" w:sz="4" w:space="0" w:color="1F61AA"/>
              <w:right w:val="nil"/>
            </w:tcBorders>
            <w:shd w:val="clear" w:color="auto" w:fill="FFFFFF"/>
            <w:vAlign w:val="center"/>
          </w:tcPr>
          <w:p w:rsidR="00C451C7" w:rsidRPr="006263CF" w:rsidRDefault="00C451C7" w:rsidP="00C451C7">
            <w:pPr>
              <w:jc w:val="center"/>
              <w:rPr>
                <w:rFonts w:asciiTheme="minorHAnsi" w:hAnsiTheme="minorHAnsi" w:cstheme="minorHAnsi"/>
                <w:sz w:val="18"/>
              </w:rPr>
            </w:pPr>
          </w:p>
        </w:tc>
        <w:tc>
          <w:tcPr>
            <w:tcW w:w="1402" w:type="dxa"/>
            <w:vMerge/>
            <w:tcBorders>
              <w:left w:val="nil"/>
              <w:bottom w:val="single" w:sz="4" w:space="0" w:color="1F61AA"/>
              <w:right w:val="nil"/>
            </w:tcBorders>
            <w:shd w:val="clear" w:color="auto" w:fill="FFFFFF"/>
            <w:vAlign w:val="center"/>
          </w:tcPr>
          <w:p w:rsidR="00C451C7" w:rsidRPr="006263CF" w:rsidRDefault="00C451C7" w:rsidP="00C451C7">
            <w:pPr>
              <w:jc w:val="center"/>
              <w:rPr>
                <w:rFonts w:asciiTheme="minorHAnsi" w:hAnsiTheme="minorHAnsi" w:cstheme="minorHAnsi"/>
                <w:sz w:val="18"/>
              </w:rPr>
            </w:pPr>
          </w:p>
        </w:tc>
        <w:tc>
          <w:tcPr>
            <w:tcW w:w="1512" w:type="dxa"/>
            <w:tcBorders>
              <w:top w:val="single" w:sz="4" w:space="0" w:color="1F61AA"/>
              <w:left w:val="nil"/>
              <w:bottom w:val="single" w:sz="4" w:space="0" w:color="1F61AA"/>
              <w:right w:val="nil"/>
            </w:tcBorders>
            <w:shd w:val="clear" w:color="auto" w:fill="FFFFFF"/>
            <w:vAlign w:val="center"/>
          </w:tcPr>
          <w:p w:rsidR="00C451C7" w:rsidRPr="006263CF" w:rsidRDefault="00C451C7" w:rsidP="00C451C7">
            <w:pPr>
              <w:jc w:val="center"/>
              <w:rPr>
                <w:rFonts w:asciiTheme="minorHAnsi" w:hAnsiTheme="minorHAnsi" w:cstheme="minorHAnsi"/>
                <w:sz w:val="18"/>
              </w:rPr>
            </w:pPr>
            <w:r w:rsidRPr="006263CF">
              <w:rPr>
                <w:rFonts w:asciiTheme="minorHAnsi" w:hAnsiTheme="minorHAnsi" w:cstheme="minorHAnsi"/>
                <w:color w:val="000000"/>
                <w:sz w:val="18"/>
              </w:rPr>
              <w:t>ПАС кислота (4г) саше</w:t>
            </w:r>
          </w:p>
        </w:tc>
        <w:tc>
          <w:tcPr>
            <w:tcW w:w="1085" w:type="dxa"/>
            <w:tcBorders>
              <w:top w:val="single" w:sz="4" w:space="0" w:color="1F61AA"/>
              <w:left w:val="nil"/>
              <w:bottom w:val="single" w:sz="4" w:space="0" w:color="1F61AA"/>
              <w:right w:val="nil"/>
            </w:tcBorders>
            <w:shd w:val="clear" w:color="auto" w:fill="FFFFFF"/>
            <w:vAlign w:val="center"/>
          </w:tcPr>
          <w:p w:rsidR="00C451C7" w:rsidRPr="006263CF" w:rsidRDefault="00C451C7" w:rsidP="00C451C7">
            <w:pPr>
              <w:jc w:val="center"/>
              <w:rPr>
                <w:rFonts w:asciiTheme="minorHAnsi" w:hAnsiTheme="minorHAnsi" w:cstheme="minorHAnsi"/>
                <w:sz w:val="18"/>
              </w:rPr>
            </w:pPr>
            <w:r w:rsidRPr="006263CF">
              <w:rPr>
                <w:rFonts w:asciiTheme="minorHAnsi" w:hAnsiTheme="minorHAnsi" w:cstheme="minorHAnsi"/>
                <w:color w:val="000000"/>
                <w:sz w:val="18"/>
              </w:rPr>
              <w:t>1 2 рази на день</w:t>
            </w:r>
          </w:p>
        </w:tc>
        <w:tc>
          <w:tcPr>
            <w:tcW w:w="1267" w:type="dxa"/>
            <w:tcBorders>
              <w:top w:val="single" w:sz="4" w:space="0" w:color="1F61AA"/>
              <w:left w:val="nil"/>
              <w:bottom w:val="single" w:sz="4" w:space="0" w:color="1F61AA"/>
              <w:right w:val="nil"/>
            </w:tcBorders>
            <w:shd w:val="clear" w:color="auto" w:fill="FFFFFF"/>
            <w:vAlign w:val="center"/>
          </w:tcPr>
          <w:p w:rsidR="00C451C7" w:rsidRPr="006263CF" w:rsidRDefault="00C451C7" w:rsidP="00C451C7">
            <w:pPr>
              <w:jc w:val="center"/>
              <w:rPr>
                <w:rFonts w:asciiTheme="minorHAnsi" w:hAnsiTheme="minorHAnsi" w:cstheme="minorHAnsi"/>
                <w:sz w:val="18"/>
              </w:rPr>
            </w:pPr>
            <w:r w:rsidRPr="006263CF">
              <w:rPr>
                <w:rFonts w:asciiTheme="minorHAnsi" w:hAnsiTheme="minorHAnsi" w:cstheme="minorHAnsi"/>
                <w:color w:val="000000"/>
                <w:sz w:val="18"/>
              </w:rPr>
              <w:t>1 2 рази на день</w:t>
            </w:r>
          </w:p>
        </w:tc>
        <w:tc>
          <w:tcPr>
            <w:tcW w:w="1253" w:type="dxa"/>
            <w:tcBorders>
              <w:top w:val="single" w:sz="4" w:space="0" w:color="1F61AA"/>
              <w:left w:val="nil"/>
              <w:bottom w:val="single" w:sz="4" w:space="0" w:color="1F61AA"/>
              <w:right w:val="nil"/>
            </w:tcBorders>
            <w:shd w:val="clear" w:color="auto" w:fill="FFFFFF"/>
            <w:vAlign w:val="center"/>
          </w:tcPr>
          <w:p w:rsidR="00C451C7" w:rsidRPr="006263CF" w:rsidRDefault="00C451C7" w:rsidP="00C451C7">
            <w:pPr>
              <w:jc w:val="center"/>
              <w:rPr>
                <w:rFonts w:asciiTheme="minorHAnsi" w:hAnsiTheme="minorHAnsi" w:cstheme="minorHAnsi"/>
                <w:sz w:val="18"/>
              </w:rPr>
            </w:pPr>
            <w:r w:rsidRPr="006263CF">
              <w:rPr>
                <w:rFonts w:asciiTheme="minorHAnsi" w:hAnsiTheme="minorHAnsi" w:cstheme="minorHAnsi"/>
                <w:color w:val="000000"/>
                <w:sz w:val="18"/>
              </w:rPr>
              <w:t>1 2 рази на день</w:t>
            </w:r>
          </w:p>
        </w:tc>
        <w:tc>
          <w:tcPr>
            <w:tcW w:w="1267" w:type="dxa"/>
            <w:tcBorders>
              <w:top w:val="single" w:sz="4" w:space="0" w:color="1F61AA"/>
              <w:left w:val="nil"/>
              <w:bottom w:val="single" w:sz="4" w:space="0" w:color="1F61AA"/>
              <w:right w:val="nil"/>
            </w:tcBorders>
            <w:shd w:val="clear" w:color="auto" w:fill="FFFFFF"/>
            <w:vAlign w:val="center"/>
          </w:tcPr>
          <w:p w:rsidR="00C451C7" w:rsidRPr="006263CF" w:rsidRDefault="00C451C7" w:rsidP="00C451C7">
            <w:pPr>
              <w:jc w:val="center"/>
              <w:rPr>
                <w:rFonts w:asciiTheme="minorHAnsi" w:hAnsiTheme="minorHAnsi" w:cstheme="minorHAnsi"/>
                <w:sz w:val="18"/>
              </w:rPr>
            </w:pPr>
            <w:r w:rsidRPr="006263CF">
              <w:rPr>
                <w:rFonts w:asciiTheme="minorHAnsi" w:hAnsiTheme="minorHAnsi" w:cstheme="minorHAnsi"/>
                <w:color w:val="000000"/>
                <w:sz w:val="18"/>
              </w:rPr>
              <w:t>1 2 рази на день</w:t>
            </w:r>
          </w:p>
        </w:tc>
        <w:tc>
          <w:tcPr>
            <w:tcW w:w="854" w:type="dxa"/>
            <w:tcBorders>
              <w:top w:val="single" w:sz="4" w:space="0" w:color="1F61AA"/>
              <w:left w:val="nil"/>
              <w:bottom w:val="single" w:sz="4" w:space="0" w:color="1F61AA"/>
              <w:right w:val="nil"/>
            </w:tcBorders>
            <w:shd w:val="clear" w:color="auto" w:fill="FFFFFF"/>
            <w:vAlign w:val="center"/>
          </w:tcPr>
          <w:p w:rsidR="00D15218" w:rsidRDefault="00C451C7" w:rsidP="00C451C7">
            <w:pPr>
              <w:jc w:val="center"/>
              <w:rPr>
                <w:rFonts w:asciiTheme="minorHAnsi" w:hAnsiTheme="minorHAnsi" w:cstheme="minorHAnsi"/>
                <w:color w:val="000000"/>
                <w:sz w:val="18"/>
              </w:rPr>
            </w:pPr>
            <w:r w:rsidRPr="006263CF">
              <w:rPr>
                <w:rFonts w:asciiTheme="minorHAnsi" w:hAnsiTheme="minorHAnsi" w:cstheme="minorHAnsi"/>
                <w:color w:val="000000"/>
                <w:sz w:val="18"/>
              </w:rPr>
              <w:t xml:space="preserve">1-1,5 </w:t>
            </w:r>
          </w:p>
          <w:p w:rsidR="00C451C7" w:rsidRPr="006263CF" w:rsidRDefault="00C451C7" w:rsidP="00C451C7">
            <w:pPr>
              <w:jc w:val="center"/>
              <w:rPr>
                <w:rFonts w:asciiTheme="minorHAnsi" w:hAnsiTheme="minorHAnsi" w:cstheme="minorHAnsi"/>
                <w:sz w:val="18"/>
              </w:rPr>
            </w:pPr>
            <w:r w:rsidRPr="006263CF">
              <w:rPr>
                <w:rFonts w:asciiTheme="minorHAnsi" w:hAnsiTheme="minorHAnsi" w:cstheme="minorHAnsi"/>
                <w:color w:val="000000"/>
                <w:sz w:val="18"/>
              </w:rPr>
              <w:t>2 рази на день</w:t>
            </w:r>
          </w:p>
        </w:tc>
        <w:tc>
          <w:tcPr>
            <w:tcW w:w="869" w:type="dxa"/>
            <w:vMerge/>
            <w:tcBorders>
              <w:left w:val="nil"/>
              <w:bottom w:val="single" w:sz="4" w:space="0" w:color="1F61AA"/>
              <w:right w:val="nil"/>
            </w:tcBorders>
            <w:shd w:val="clear" w:color="auto" w:fill="FFFFFF"/>
            <w:vAlign w:val="center"/>
          </w:tcPr>
          <w:p w:rsidR="00C451C7" w:rsidRPr="006263CF" w:rsidRDefault="00C451C7" w:rsidP="00C451C7">
            <w:pPr>
              <w:jc w:val="center"/>
              <w:rPr>
                <w:rFonts w:asciiTheme="minorHAnsi" w:hAnsiTheme="minorHAnsi" w:cstheme="minorHAnsi"/>
                <w:sz w:val="18"/>
              </w:rPr>
            </w:pPr>
          </w:p>
        </w:tc>
        <w:tc>
          <w:tcPr>
            <w:tcW w:w="1906" w:type="dxa"/>
            <w:tcBorders>
              <w:top w:val="nil"/>
              <w:left w:val="nil"/>
              <w:bottom w:val="single" w:sz="4" w:space="0" w:color="1F61AA"/>
              <w:right w:val="nil"/>
            </w:tcBorders>
            <w:shd w:val="clear" w:color="auto" w:fill="FFFFFF"/>
            <w:vAlign w:val="center"/>
          </w:tcPr>
          <w:p w:rsidR="00C451C7" w:rsidRPr="006263CF" w:rsidRDefault="00C451C7" w:rsidP="00C451C7">
            <w:pPr>
              <w:jc w:val="center"/>
              <w:rPr>
                <w:rFonts w:asciiTheme="minorHAnsi" w:hAnsiTheme="minorHAnsi" w:cstheme="minorHAnsi"/>
                <w:sz w:val="18"/>
              </w:rPr>
            </w:pPr>
          </w:p>
        </w:tc>
      </w:tr>
    </w:tbl>
    <w:p w:rsidR="005225B5" w:rsidRPr="006263CF" w:rsidRDefault="005225B5" w:rsidP="006263CF">
      <w:pPr>
        <w:rPr>
          <w:rFonts w:asciiTheme="minorHAnsi" w:hAnsiTheme="minorHAnsi" w:cstheme="minorHAnsi"/>
          <w:sz w:val="18"/>
        </w:rPr>
        <w:sectPr w:rsidR="005225B5" w:rsidRPr="006263CF" w:rsidSect="000344A4">
          <w:headerReference w:type="even" r:id="rId48"/>
          <w:headerReference w:type="default" r:id="rId49"/>
          <w:footerReference w:type="even" r:id="rId50"/>
          <w:footerReference w:type="default" r:id="rId51"/>
          <w:pgSz w:w="16838" w:h="11904" w:orient="landscape"/>
          <w:pgMar w:top="1411" w:right="1382" w:bottom="142" w:left="1406" w:header="708" w:footer="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152"/>
        <w:gridCol w:w="1400"/>
        <w:gridCol w:w="1557"/>
        <w:gridCol w:w="1507"/>
        <w:gridCol w:w="1157"/>
        <w:gridCol w:w="1200"/>
        <w:gridCol w:w="1176"/>
        <w:gridCol w:w="1262"/>
        <w:gridCol w:w="912"/>
        <w:gridCol w:w="859"/>
        <w:gridCol w:w="1886"/>
      </w:tblGrid>
      <w:tr w:rsidR="00D15218" w:rsidRPr="006263CF" w:rsidTr="00D15218">
        <w:trPr>
          <w:trHeight w:hRule="exact" w:val="403"/>
        </w:trPr>
        <w:tc>
          <w:tcPr>
            <w:tcW w:w="1152" w:type="dxa"/>
            <w:vMerge w:val="restart"/>
            <w:tcBorders>
              <w:left w:val="nil"/>
              <w:right w:val="nil"/>
            </w:tcBorders>
            <w:shd w:val="clear" w:color="auto" w:fill="C1C8E4"/>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b/>
                <w:bCs/>
                <w:color w:val="000000"/>
                <w:sz w:val="18"/>
              </w:rPr>
              <w:lastRenderedPageBreak/>
              <w:t>Група</w:t>
            </w:r>
          </w:p>
        </w:tc>
        <w:tc>
          <w:tcPr>
            <w:tcW w:w="1400" w:type="dxa"/>
            <w:vMerge w:val="restart"/>
            <w:tcBorders>
              <w:left w:val="nil"/>
              <w:right w:val="nil"/>
            </w:tcBorders>
            <w:shd w:val="clear" w:color="auto" w:fill="C1C8E4"/>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b/>
                <w:bCs/>
                <w:color w:val="000000"/>
                <w:sz w:val="18"/>
              </w:rPr>
              <w:t>Лікарський препарат</w:t>
            </w:r>
          </w:p>
        </w:tc>
        <w:tc>
          <w:tcPr>
            <w:tcW w:w="1557" w:type="dxa"/>
            <w:vMerge w:val="restart"/>
            <w:tcBorders>
              <w:left w:val="nil"/>
              <w:right w:val="nil"/>
            </w:tcBorders>
            <w:shd w:val="clear" w:color="auto" w:fill="C1C8E4"/>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b/>
                <w:bCs/>
                <w:color w:val="000000"/>
                <w:sz w:val="18"/>
              </w:rPr>
              <w:t>Добова доза основана на вазі</w:t>
            </w:r>
          </w:p>
        </w:tc>
        <w:tc>
          <w:tcPr>
            <w:tcW w:w="1507" w:type="dxa"/>
            <w:vMerge w:val="restart"/>
            <w:tcBorders>
              <w:left w:val="nil"/>
              <w:right w:val="nil"/>
            </w:tcBorders>
            <w:shd w:val="clear" w:color="auto" w:fill="C1C8E4"/>
            <w:vAlign w:val="center"/>
          </w:tcPr>
          <w:p w:rsidR="00D15218" w:rsidRPr="006263CF" w:rsidRDefault="00D15218" w:rsidP="00D15218">
            <w:pPr>
              <w:ind w:left="34"/>
              <w:jc w:val="center"/>
              <w:rPr>
                <w:rFonts w:asciiTheme="minorHAnsi" w:hAnsiTheme="minorHAnsi" w:cstheme="minorHAnsi"/>
                <w:sz w:val="18"/>
              </w:rPr>
            </w:pPr>
            <w:r w:rsidRPr="006263CF">
              <w:rPr>
                <w:rFonts w:asciiTheme="minorHAnsi" w:hAnsiTheme="minorHAnsi" w:cstheme="minorHAnsi"/>
                <w:b/>
                <w:bCs/>
                <w:color w:val="000000"/>
                <w:sz w:val="18"/>
              </w:rPr>
              <w:t>Формулювання</w:t>
            </w:r>
          </w:p>
        </w:tc>
        <w:tc>
          <w:tcPr>
            <w:tcW w:w="5707" w:type="dxa"/>
            <w:gridSpan w:val="5"/>
            <w:tcBorders>
              <w:left w:val="nil"/>
              <w:bottom w:val="nil"/>
              <w:right w:val="nil"/>
            </w:tcBorders>
            <w:shd w:val="clear" w:color="auto" w:fill="C1C8E4"/>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b/>
                <w:bCs/>
                <w:color w:val="000000"/>
                <w:sz w:val="18"/>
              </w:rPr>
              <w:t>Вагові категорії для пацієнтів старше 14 років</w:t>
            </w:r>
            <w:r w:rsidRPr="006263CF">
              <w:rPr>
                <w:rFonts w:asciiTheme="minorHAnsi" w:hAnsiTheme="minorHAnsi" w:cstheme="minorHAnsi"/>
                <w:b/>
                <w:bCs/>
                <w:color w:val="000000"/>
                <w:sz w:val="18"/>
                <w:vertAlign w:val="superscript"/>
              </w:rPr>
              <w:t>3</w:t>
            </w:r>
          </w:p>
        </w:tc>
        <w:tc>
          <w:tcPr>
            <w:tcW w:w="859" w:type="dxa"/>
            <w:vMerge w:val="restart"/>
            <w:tcBorders>
              <w:left w:val="nil"/>
              <w:right w:val="nil"/>
            </w:tcBorders>
            <w:shd w:val="clear" w:color="auto" w:fill="C1C8E4"/>
            <w:vAlign w:val="center"/>
          </w:tcPr>
          <w:p w:rsidR="00D15218" w:rsidRPr="006263CF" w:rsidRDefault="00D15218" w:rsidP="00D15218">
            <w:pPr>
              <w:ind w:left="58" w:right="48"/>
              <w:jc w:val="center"/>
              <w:rPr>
                <w:rFonts w:asciiTheme="minorHAnsi" w:hAnsiTheme="minorHAnsi" w:cstheme="minorHAnsi"/>
                <w:sz w:val="18"/>
              </w:rPr>
            </w:pPr>
            <w:r w:rsidRPr="006263CF">
              <w:rPr>
                <w:rFonts w:asciiTheme="minorHAnsi" w:hAnsiTheme="minorHAnsi" w:cstheme="minorHAnsi"/>
                <w:b/>
                <w:bCs/>
                <w:color w:val="000000"/>
                <w:sz w:val="18"/>
              </w:rPr>
              <w:t>Звичні добові дози</w:t>
            </w:r>
            <w:r w:rsidRPr="006263CF">
              <w:rPr>
                <w:rFonts w:asciiTheme="minorHAnsi" w:hAnsiTheme="minorHAnsi" w:cstheme="minorHAnsi"/>
                <w:b/>
                <w:bCs/>
                <w:color w:val="000000"/>
                <w:sz w:val="18"/>
                <w:vertAlign w:val="superscript"/>
              </w:rPr>
              <w:t>b</w:t>
            </w:r>
          </w:p>
        </w:tc>
        <w:tc>
          <w:tcPr>
            <w:tcW w:w="1886" w:type="dxa"/>
            <w:vMerge w:val="restart"/>
            <w:tcBorders>
              <w:left w:val="nil"/>
              <w:right w:val="nil"/>
            </w:tcBorders>
            <w:shd w:val="clear" w:color="auto" w:fill="C1C8E4"/>
            <w:vAlign w:val="center"/>
          </w:tcPr>
          <w:p w:rsidR="00D15218" w:rsidRPr="006263CF" w:rsidRDefault="00D15218" w:rsidP="00D15218">
            <w:pPr>
              <w:ind w:left="5"/>
              <w:jc w:val="center"/>
              <w:rPr>
                <w:rFonts w:asciiTheme="minorHAnsi" w:hAnsiTheme="minorHAnsi" w:cstheme="minorHAnsi"/>
                <w:sz w:val="18"/>
              </w:rPr>
            </w:pPr>
            <w:r w:rsidRPr="006263CF">
              <w:rPr>
                <w:rFonts w:asciiTheme="minorHAnsi" w:hAnsiTheme="minorHAnsi" w:cstheme="minorHAnsi"/>
                <w:b/>
                <w:bCs/>
                <w:color w:val="000000"/>
                <w:sz w:val="18"/>
              </w:rPr>
              <w:t>Коментарі</w:t>
            </w:r>
          </w:p>
        </w:tc>
      </w:tr>
      <w:tr w:rsidR="00D15218" w:rsidRPr="006263CF" w:rsidTr="00D15218">
        <w:trPr>
          <w:trHeight w:hRule="exact" w:val="634"/>
        </w:trPr>
        <w:tc>
          <w:tcPr>
            <w:tcW w:w="1152" w:type="dxa"/>
            <w:vMerge/>
            <w:tcBorders>
              <w:left w:val="nil"/>
              <w:bottom w:val="nil"/>
              <w:right w:val="nil"/>
            </w:tcBorders>
            <w:shd w:val="clear" w:color="auto" w:fill="FFFFFF"/>
          </w:tcPr>
          <w:p w:rsidR="00D15218" w:rsidRPr="006263CF" w:rsidRDefault="00D15218" w:rsidP="006263CF">
            <w:pPr>
              <w:rPr>
                <w:rFonts w:asciiTheme="minorHAnsi" w:hAnsiTheme="minorHAnsi" w:cstheme="minorHAnsi"/>
                <w:sz w:val="18"/>
              </w:rPr>
            </w:pPr>
          </w:p>
        </w:tc>
        <w:tc>
          <w:tcPr>
            <w:tcW w:w="1400" w:type="dxa"/>
            <w:vMerge/>
            <w:tcBorders>
              <w:left w:val="nil"/>
              <w:bottom w:val="nil"/>
              <w:right w:val="nil"/>
            </w:tcBorders>
            <w:shd w:val="clear" w:color="auto" w:fill="FFFFFF"/>
          </w:tcPr>
          <w:p w:rsidR="00D15218" w:rsidRPr="006263CF" w:rsidRDefault="00D15218" w:rsidP="006263CF">
            <w:pPr>
              <w:rPr>
                <w:rFonts w:asciiTheme="minorHAnsi" w:hAnsiTheme="minorHAnsi" w:cstheme="minorHAnsi"/>
                <w:sz w:val="18"/>
              </w:rPr>
            </w:pPr>
          </w:p>
        </w:tc>
        <w:tc>
          <w:tcPr>
            <w:tcW w:w="1557" w:type="dxa"/>
            <w:vMerge/>
            <w:tcBorders>
              <w:left w:val="nil"/>
              <w:bottom w:val="nil"/>
              <w:right w:val="nil"/>
            </w:tcBorders>
            <w:shd w:val="clear" w:color="auto" w:fill="FFFFFF"/>
          </w:tcPr>
          <w:p w:rsidR="00D15218" w:rsidRPr="006263CF" w:rsidRDefault="00D15218" w:rsidP="00D15218">
            <w:pPr>
              <w:rPr>
                <w:rFonts w:asciiTheme="minorHAnsi" w:hAnsiTheme="minorHAnsi" w:cstheme="minorHAnsi"/>
                <w:sz w:val="18"/>
              </w:rPr>
            </w:pPr>
          </w:p>
        </w:tc>
        <w:tc>
          <w:tcPr>
            <w:tcW w:w="1507" w:type="dxa"/>
            <w:vMerge/>
            <w:tcBorders>
              <w:left w:val="nil"/>
              <w:bottom w:val="nil"/>
              <w:right w:val="nil"/>
            </w:tcBorders>
            <w:shd w:val="clear" w:color="auto" w:fill="FFFFFF"/>
          </w:tcPr>
          <w:p w:rsidR="00D15218" w:rsidRPr="006263CF" w:rsidRDefault="00D15218" w:rsidP="006263CF">
            <w:pPr>
              <w:rPr>
                <w:rFonts w:asciiTheme="minorHAnsi" w:hAnsiTheme="minorHAnsi" w:cstheme="minorHAnsi"/>
                <w:sz w:val="18"/>
              </w:rPr>
            </w:pPr>
          </w:p>
        </w:tc>
        <w:tc>
          <w:tcPr>
            <w:tcW w:w="1157" w:type="dxa"/>
            <w:tcBorders>
              <w:top w:val="nil"/>
              <w:left w:val="nil"/>
              <w:bottom w:val="nil"/>
              <w:right w:val="nil"/>
            </w:tcBorders>
            <w:shd w:val="clear" w:color="auto" w:fill="C1C8E4"/>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b/>
                <w:bCs/>
                <w:color w:val="000000"/>
                <w:sz w:val="18"/>
              </w:rPr>
              <w:t>30-35 кг</w:t>
            </w:r>
          </w:p>
        </w:tc>
        <w:tc>
          <w:tcPr>
            <w:tcW w:w="1200" w:type="dxa"/>
            <w:tcBorders>
              <w:top w:val="nil"/>
              <w:left w:val="nil"/>
              <w:bottom w:val="nil"/>
              <w:right w:val="nil"/>
            </w:tcBorders>
            <w:shd w:val="clear" w:color="auto" w:fill="C1C8E4"/>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b/>
                <w:bCs/>
                <w:color w:val="000000"/>
                <w:sz w:val="18"/>
              </w:rPr>
              <w:t>36-45 кг</w:t>
            </w:r>
          </w:p>
        </w:tc>
        <w:tc>
          <w:tcPr>
            <w:tcW w:w="1176" w:type="dxa"/>
            <w:tcBorders>
              <w:top w:val="nil"/>
              <w:left w:val="nil"/>
              <w:bottom w:val="nil"/>
              <w:right w:val="nil"/>
            </w:tcBorders>
            <w:shd w:val="clear" w:color="auto" w:fill="C1C8E4"/>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b/>
                <w:bCs/>
                <w:color w:val="000000"/>
                <w:sz w:val="18"/>
              </w:rPr>
              <w:t>46-55 кг</w:t>
            </w:r>
          </w:p>
        </w:tc>
        <w:tc>
          <w:tcPr>
            <w:tcW w:w="1262" w:type="dxa"/>
            <w:tcBorders>
              <w:top w:val="nil"/>
              <w:left w:val="nil"/>
              <w:bottom w:val="nil"/>
              <w:right w:val="nil"/>
            </w:tcBorders>
            <w:shd w:val="clear" w:color="auto" w:fill="C1C8E4"/>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b/>
                <w:bCs/>
                <w:color w:val="000000"/>
                <w:sz w:val="18"/>
              </w:rPr>
              <w:t>56-70 кг</w:t>
            </w:r>
          </w:p>
        </w:tc>
        <w:tc>
          <w:tcPr>
            <w:tcW w:w="912" w:type="dxa"/>
            <w:tcBorders>
              <w:top w:val="nil"/>
              <w:left w:val="nil"/>
              <w:bottom w:val="nil"/>
              <w:right w:val="nil"/>
            </w:tcBorders>
            <w:shd w:val="clear" w:color="auto" w:fill="C1C8E4"/>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b/>
                <w:bCs/>
                <w:color w:val="000000"/>
                <w:sz w:val="18"/>
              </w:rPr>
              <w:t>&gt;70 кг</w:t>
            </w:r>
          </w:p>
        </w:tc>
        <w:tc>
          <w:tcPr>
            <w:tcW w:w="859" w:type="dxa"/>
            <w:vMerge/>
            <w:tcBorders>
              <w:left w:val="nil"/>
              <w:bottom w:val="nil"/>
              <w:right w:val="nil"/>
            </w:tcBorders>
            <w:shd w:val="clear" w:color="auto" w:fill="FFFFFF"/>
          </w:tcPr>
          <w:p w:rsidR="00D15218" w:rsidRPr="006263CF" w:rsidRDefault="00D15218" w:rsidP="006263CF">
            <w:pPr>
              <w:jc w:val="center"/>
              <w:rPr>
                <w:rFonts w:asciiTheme="minorHAnsi" w:hAnsiTheme="minorHAnsi" w:cstheme="minorHAnsi"/>
                <w:sz w:val="18"/>
              </w:rPr>
            </w:pPr>
          </w:p>
        </w:tc>
        <w:tc>
          <w:tcPr>
            <w:tcW w:w="1886" w:type="dxa"/>
            <w:vMerge/>
            <w:tcBorders>
              <w:left w:val="nil"/>
              <w:bottom w:val="nil"/>
              <w:right w:val="nil"/>
            </w:tcBorders>
            <w:shd w:val="clear" w:color="auto" w:fill="FFFFFF"/>
          </w:tcPr>
          <w:p w:rsidR="00D15218" w:rsidRPr="006263CF" w:rsidRDefault="00D15218" w:rsidP="006263CF">
            <w:pPr>
              <w:jc w:val="center"/>
              <w:rPr>
                <w:rFonts w:asciiTheme="minorHAnsi" w:hAnsiTheme="minorHAnsi" w:cstheme="minorHAnsi"/>
                <w:sz w:val="18"/>
              </w:rPr>
            </w:pPr>
          </w:p>
        </w:tc>
      </w:tr>
      <w:tr w:rsidR="00D15218" w:rsidRPr="006263CF" w:rsidTr="00D15218">
        <w:trPr>
          <w:trHeight w:val="1094"/>
        </w:trPr>
        <w:tc>
          <w:tcPr>
            <w:tcW w:w="1152" w:type="dxa"/>
            <w:vMerge w:val="restart"/>
            <w:tcBorders>
              <w:top w:val="nil"/>
              <w:left w:val="nil"/>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b/>
                <w:bCs/>
                <w:color w:val="000000"/>
                <w:sz w:val="18"/>
              </w:rPr>
              <w:t>Інші лікарські препарати</w:t>
            </w:r>
            <w:r w:rsidRPr="006263CF">
              <w:rPr>
                <w:rFonts w:asciiTheme="minorHAnsi" w:hAnsiTheme="minorHAnsi" w:cstheme="minorHAnsi"/>
                <w:color w:val="000000"/>
                <w:sz w:val="18"/>
                <w:vertAlign w:val="superscript"/>
              </w:rPr>
              <w:t>гр</w:t>
            </w:r>
          </w:p>
        </w:tc>
        <w:tc>
          <w:tcPr>
            <w:tcW w:w="1400" w:type="dxa"/>
            <w:vMerge w:val="restart"/>
            <w:tcBorders>
              <w:top w:val="nil"/>
              <w:left w:val="nil"/>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8"/>
              </w:rPr>
              <w:t>Ізоніазид</w:t>
            </w:r>
          </w:p>
        </w:tc>
        <w:tc>
          <w:tcPr>
            <w:tcW w:w="1557" w:type="dxa"/>
            <w:tcBorders>
              <w:top w:val="nil"/>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8"/>
              </w:rPr>
              <w:t>4-6 мг/кг (стандартна</w:t>
            </w:r>
          </w:p>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8"/>
              </w:rPr>
              <w:t>доза)</w:t>
            </w:r>
            <w:r w:rsidRPr="006263CF">
              <w:rPr>
                <w:rFonts w:asciiTheme="minorHAnsi" w:hAnsiTheme="minorHAnsi" w:cstheme="minorHAnsi"/>
                <w:color w:val="000000"/>
                <w:sz w:val="18"/>
                <w:vertAlign w:val="superscript"/>
              </w:rPr>
              <w:t>d</w:t>
            </w:r>
          </w:p>
        </w:tc>
        <w:tc>
          <w:tcPr>
            <w:tcW w:w="1507" w:type="dxa"/>
            <w:tcBorders>
              <w:top w:val="nil"/>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8"/>
              </w:rPr>
              <w:t>300 мг таб</w:t>
            </w:r>
          </w:p>
        </w:tc>
        <w:tc>
          <w:tcPr>
            <w:tcW w:w="1157" w:type="dxa"/>
            <w:tcBorders>
              <w:top w:val="nil"/>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8"/>
              </w:rPr>
              <w:t>2/3</w:t>
            </w:r>
          </w:p>
        </w:tc>
        <w:tc>
          <w:tcPr>
            <w:tcW w:w="1200" w:type="dxa"/>
            <w:tcBorders>
              <w:top w:val="nil"/>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8"/>
              </w:rPr>
              <w:t>1</w:t>
            </w:r>
          </w:p>
        </w:tc>
        <w:tc>
          <w:tcPr>
            <w:tcW w:w="1176" w:type="dxa"/>
            <w:tcBorders>
              <w:top w:val="nil"/>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8"/>
              </w:rPr>
              <w:t>1</w:t>
            </w:r>
          </w:p>
        </w:tc>
        <w:tc>
          <w:tcPr>
            <w:tcW w:w="1262" w:type="dxa"/>
            <w:tcBorders>
              <w:top w:val="nil"/>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8"/>
              </w:rPr>
              <w:t>1</w:t>
            </w:r>
          </w:p>
        </w:tc>
        <w:tc>
          <w:tcPr>
            <w:tcW w:w="912" w:type="dxa"/>
            <w:tcBorders>
              <w:top w:val="nil"/>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8"/>
              </w:rPr>
              <w:t>1</w:t>
            </w:r>
          </w:p>
        </w:tc>
        <w:tc>
          <w:tcPr>
            <w:tcW w:w="859" w:type="dxa"/>
            <w:tcBorders>
              <w:top w:val="nil"/>
              <w:left w:val="nil"/>
              <w:bottom w:val="nil"/>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8"/>
              </w:rPr>
              <w:t>-</w:t>
            </w:r>
          </w:p>
        </w:tc>
        <w:tc>
          <w:tcPr>
            <w:tcW w:w="1886" w:type="dxa"/>
            <w:vMerge w:val="restart"/>
            <w:tcBorders>
              <w:top w:val="nil"/>
              <w:left w:val="nil"/>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8"/>
              </w:rPr>
              <w:t>100 мг таблетка ізоніазиду може полегшити введення певних доз. Піридоксин призначають разом із ізоніазидом пацієнтам із ризиком (наприклад, ВІЛ або неправильним харчуванням).</w:t>
            </w:r>
          </w:p>
        </w:tc>
      </w:tr>
      <w:tr w:rsidR="00D15218" w:rsidRPr="006263CF" w:rsidTr="00D15218">
        <w:trPr>
          <w:trHeight w:val="20"/>
        </w:trPr>
        <w:tc>
          <w:tcPr>
            <w:tcW w:w="1152" w:type="dxa"/>
            <w:vMerge/>
            <w:tcBorders>
              <w:left w:val="nil"/>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p>
        </w:tc>
        <w:tc>
          <w:tcPr>
            <w:tcW w:w="1400" w:type="dxa"/>
            <w:vMerge/>
            <w:tcBorders>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p>
        </w:tc>
        <w:tc>
          <w:tcPr>
            <w:tcW w:w="1557"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8"/>
              </w:rPr>
              <w:t>10-15 мг/кг</w:t>
            </w:r>
          </w:p>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8"/>
              </w:rPr>
              <w:t>(Висока доза)</w:t>
            </w:r>
            <w:r w:rsidRPr="006263CF">
              <w:rPr>
                <w:rFonts w:asciiTheme="minorHAnsi" w:hAnsiTheme="minorHAnsi" w:cstheme="minorHAnsi"/>
                <w:color w:val="000000"/>
                <w:sz w:val="18"/>
                <w:vertAlign w:val="superscript"/>
              </w:rPr>
              <w:t>d</w:t>
            </w:r>
          </w:p>
        </w:tc>
        <w:tc>
          <w:tcPr>
            <w:tcW w:w="1507"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8"/>
              </w:rPr>
              <w:t>300 мг таб</w:t>
            </w:r>
          </w:p>
        </w:tc>
        <w:tc>
          <w:tcPr>
            <w:tcW w:w="1157"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8"/>
              </w:rPr>
              <w:t>1,5</w:t>
            </w:r>
          </w:p>
        </w:tc>
        <w:tc>
          <w:tcPr>
            <w:tcW w:w="1200"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8"/>
              </w:rPr>
              <w:t>1,5</w:t>
            </w:r>
          </w:p>
        </w:tc>
        <w:tc>
          <w:tcPr>
            <w:tcW w:w="1176"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8"/>
              </w:rPr>
              <w:t>2</w:t>
            </w:r>
          </w:p>
        </w:tc>
        <w:tc>
          <w:tcPr>
            <w:tcW w:w="1262"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8"/>
              </w:rPr>
              <w:t>2</w:t>
            </w:r>
          </w:p>
        </w:tc>
        <w:tc>
          <w:tcPr>
            <w:tcW w:w="912"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8"/>
              </w:rPr>
              <w:t>2</w:t>
            </w:r>
          </w:p>
        </w:tc>
        <w:tc>
          <w:tcPr>
            <w:tcW w:w="859" w:type="dxa"/>
            <w:tcBorders>
              <w:top w:val="nil"/>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p>
        </w:tc>
        <w:tc>
          <w:tcPr>
            <w:tcW w:w="1886" w:type="dxa"/>
            <w:vMerge/>
            <w:tcBorders>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p>
        </w:tc>
      </w:tr>
      <w:tr w:rsidR="00D15218" w:rsidRPr="006263CF" w:rsidTr="00D15218">
        <w:trPr>
          <w:trHeight w:val="20"/>
        </w:trPr>
        <w:tc>
          <w:tcPr>
            <w:tcW w:w="1152" w:type="dxa"/>
            <w:vMerge/>
            <w:tcBorders>
              <w:left w:val="nil"/>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p>
        </w:tc>
        <w:tc>
          <w:tcPr>
            <w:tcW w:w="1400"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8"/>
              </w:rPr>
              <w:t>Клавуланова кислота</w:t>
            </w:r>
            <w:r w:rsidRPr="006263CF">
              <w:rPr>
                <w:rFonts w:asciiTheme="minorHAnsi" w:hAnsiTheme="minorHAnsi" w:cstheme="minorHAnsi"/>
                <w:color w:val="000000"/>
                <w:sz w:val="18"/>
                <w:vertAlign w:val="superscript"/>
              </w:rPr>
              <w:t>h</w:t>
            </w:r>
          </w:p>
        </w:tc>
        <w:tc>
          <w:tcPr>
            <w:tcW w:w="1557"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tabs>
                <w:tab w:val="left" w:pos="998"/>
              </w:tabs>
              <w:jc w:val="center"/>
              <w:rPr>
                <w:rFonts w:asciiTheme="minorHAnsi" w:hAnsiTheme="minorHAnsi" w:cstheme="minorHAnsi"/>
                <w:sz w:val="18"/>
              </w:rPr>
            </w:pPr>
            <w:r w:rsidRPr="006263CF">
              <w:rPr>
                <w:rFonts w:asciiTheme="minorHAnsi" w:hAnsiTheme="minorHAnsi" w:cstheme="minorHAnsi"/>
                <w:color w:val="000000"/>
                <w:sz w:val="12"/>
                <w:szCs w:val="14"/>
                <w:vertAlign w:val="superscript"/>
              </w:rPr>
              <w:t>c</w:t>
            </w:r>
          </w:p>
        </w:tc>
        <w:tc>
          <w:tcPr>
            <w:tcW w:w="1507"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8"/>
              </w:rPr>
              <w:t>125 мг</w:t>
            </w:r>
          </w:p>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8"/>
              </w:rPr>
              <w:t>Клавуланова кислота</w:t>
            </w:r>
          </w:p>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8"/>
              </w:rPr>
              <w:t>як амоксицилін/</w:t>
            </w:r>
          </w:p>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8"/>
              </w:rPr>
              <w:t>клавуланат,</w:t>
            </w:r>
          </w:p>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8"/>
              </w:rPr>
              <w:t>500 мг/125 мг таб</w:t>
            </w:r>
            <w:r w:rsidRPr="006263CF">
              <w:rPr>
                <w:rFonts w:asciiTheme="minorHAnsi" w:hAnsiTheme="minorHAnsi" w:cstheme="minorHAnsi"/>
                <w:color w:val="000000"/>
                <w:sz w:val="18"/>
                <w:vertAlign w:val="superscript"/>
              </w:rPr>
              <w:t>h</w:t>
            </w:r>
          </w:p>
        </w:tc>
        <w:tc>
          <w:tcPr>
            <w:tcW w:w="1157"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8"/>
              </w:rPr>
              <w:t>1 2 рази на день</w:t>
            </w:r>
          </w:p>
        </w:tc>
        <w:tc>
          <w:tcPr>
            <w:tcW w:w="1200"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8"/>
              </w:rPr>
              <w:t>1 2 рази на день</w:t>
            </w:r>
          </w:p>
        </w:tc>
        <w:tc>
          <w:tcPr>
            <w:tcW w:w="1176"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8"/>
              </w:rPr>
              <w:t>1 2 рази на день</w:t>
            </w:r>
          </w:p>
        </w:tc>
        <w:tc>
          <w:tcPr>
            <w:tcW w:w="1262"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8"/>
              </w:rPr>
              <w:t>1 2 рази на день</w:t>
            </w:r>
          </w:p>
        </w:tc>
        <w:tc>
          <w:tcPr>
            <w:tcW w:w="912"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8"/>
              </w:rPr>
              <w:t>1 2 рази на день</w:t>
            </w:r>
          </w:p>
        </w:tc>
        <w:tc>
          <w:tcPr>
            <w:tcW w:w="859"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8"/>
              </w:rPr>
              <w:t>-</w:t>
            </w:r>
          </w:p>
        </w:tc>
        <w:tc>
          <w:tcPr>
            <w:tcW w:w="1886"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8"/>
              </w:rPr>
              <w:t>Тільки для використання з карбапенемами.</w:t>
            </w:r>
          </w:p>
        </w:tc>
      </w:tr>
      <w:tr w:rsidR="00D15218" w:rsidRPr="006263CF" w:rsidTr="00D15218">
        <w:trPr>
          <w:trHeight w:val="20"/>
        </w:trPr>
        <w:tc>
          <w:tcPr>
            <w:tcW w:w="1152" w:type="dxa"/>
            <w:vMerge/>
            <w:tcBorders>
              <w:left w:val="nil"/>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p>
        </w:tc>
        <w:tc>
          <w:tcPr>
            <w:tcW w:w="1400"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8"/>
              </w:rPr>
              <w:t>Гатифлоксацин</w:t>
            </w:r>
          </w:p>
        </w:tc>
        <w:tc>
          <w:tcPr>
            <w:tcW w:w="1557"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tabs>
                <w:tab w:val="left" w:pos="998"/>
              </w:tabs>
              <w:jc w:val="center"/>
              <w:rPr>
                <w:rFonts w:asciiTheme="minorHAnsi" w:hAnsiTheme="minorHAnsi" w:cstheme="minorHAnsi"/>
                <w:sz w:val="18"/>
              </w:rPr>
            </w:pPr>
            <w:r w:rsidRPr="006263CF">
              <w:rPr>
                <w:rFonts w:asciiTheme="minorHAnsi" w:hAnsiTheme="minorHAnsi" w:cstheme="minorHAnsi"/>
                <w:color w:val="000000"/>
                <w:sz w:val="12"/>
                <w:szCs w:val="14"/>
                <w:vertAlign w:val="superscript"/>
              </w:rPr>
              <w:t>c</w:t>
            </w:r>
          </w:p>
        </w:tc>
        <w:tc>
          <w:tcPr>
            <w:tcW w:w="1507"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8"/>
              </w:rPr>
              <w:t>400 мг таб</w:t>
            </w:r>
          </w:p>
        </w:tc>
        <w:tc>
          <w:tcPr>
            <w:tcW w:w="1157"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8"/>
              </w:rPr>
              <w:t>2</w:t>
            </w:r>
          </w:p>
        </w:tc>
        <w:tc>
          <w:tcPr>
            <w:tcW w:w="1200"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8"/>
              </w:rPr>
              <w:t>2</w:t>
            </w:r>
          </w:p>
        </w:tc>
        <w:tc>
          <w:tcPr>
            <w:tcW w:w="1176"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8"/>
              </w:rPr>
              <w:t>2</w:t>
            </w:r>
          </w:p>
        </w:tc>
        <w:tc>
          <w:tcPr>
            <w:tcW w:w="1262"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8"/>
              </w:rPr>
              <w:t>2</w:t>
            </w:r>
          </w:p>
        </w:tc>
        <w:tc>
          <w:tcPr>
            <w:tcW w:w="912"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8"/>
              </w:rPr>
              <w:t>2</w:t>
            </w:r>
          </w:p>
        </w:tc>
        <w:tc>
          <w:tcPr>
            <w:tcW w:w="859"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8"/>
              </w:rPr>
              <w:t>800 мг</w:t>
            </w:r>
          </w:p>
        </w:tc>
        <w:tc>
          <w:tcPr>
            <w:tcW w:w="1886"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8"/>
              </w:rPr>
              <w:t>В даний час немає на ринку гатифлоксацину. Гатифлоксацин не застосовується особами &lt;18 років.</w:t>
            </w:r>
          </w:p>
        </w:tc>
      </w:tr>
      <w:tr w:rsidR="00D15218" w:rsidRPr="006263CF" w:rsidTr="00D15218">
        <w:trPr>
          <w:trHeight w:val="20"/>
        </w:trPr>
        <w:tc>
          <w:tcPr>
            <w:tcW w:w="1152" w:type="dxa"/>
            <w:vMerge/>
            <w:tcBorders>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p>
        </w:tc>
        <w:tc>
          <w:tcPr>
            <w:tcW w:w="1400"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8"/>
              </w:rPr>
              <w:t>Претоманід</w:t>
            </w:r>
            <w:r w:rsidRPr="006263CF">
              <w:rPr>
                <w:rFonts w:asciiTheme="minorHAnsi" w:hAnsiTheme="minorHAnsi" w:cstheme="minorHAnsi"/>
                <w:color w:val="000000"/>
                <w:sz w:val="18"/>
                <w:vertAlign w:val="superscript"/>
              </w:rPr>
              <w:t>і</w:t>
            </w:r>
          </w:p>
        </w:tc>
        <w:tc>
          <w:tcPr>
            <w:tcW w:w="1557"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tabs>
                <w:tab w:val="left" w:pos="998"/>
              </w:tabs>
              <w:jc w:val="center"/>
              <w:rPr>
                <w:rFonts w:asciiTheme="minorHAnsi" w:hAnsiTheme="minorHAnsi" w:cstheme="minorHAnsi"/>
                <w:sz w:val="18"/>
              </w:rPr>
            </w:pPr>
            <w:r w:rsidRPr="006263CF">
              <w:rPr>
                <w:rFonts w:asciiTheme="minorHAnsi" w:hAnsiTheme="minorHAnsi" w:cstheme="minorHAnsi"/>
                <w:color w:val="000000"/>
                <w:sz w:val="12"/>
                <w:szCs w:val="14"/>
                <w:vertAlign w:val="superscript"/>
              </w:rPr>
              <w:t>c</w:t>
            </w:r>
          </w:p>
        </w:tc>
        <w:tc>
          <w:tcPr>
            <w:tcW w:w="1507"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8"/>
              </w:rPr>
              <w:t>200 мг таб</w:t>
            </w:r>
          </w:p>
        </w:tc>
        <w:tc>
          <w:tcPr>
            <w:tcW w:w="1157"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8"/>
              </w:rPr>
              <w:t>1</w:t>
            </w:r>
          </w:p>
        </w:tc>
        <w:tc>
          <w:tcPr>
            <w:tcW w:w="1200"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8"/>
              </w:rPr>
              <w:t>1</w:t>
            </w:r>
          </w:p>
        </w:tc>
        <w:tc>
          <w:tcPr>
            <w:tcW w:w="1176"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8"/>
              </w:rPr>
              <w:t>1</w:t>
            </w:r>
          </w:p>
        </w:tc>
        <w:tc>
          <w:tcPr>
            <w:tcW w:w="1262"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8"/>
              </w:rPr>
              <w:t>1</w:t>
            </w:r>
          </w:p>
        </w:tc>
        <w:tc>
          <w:tcPr>
            <w:tcW w:w="912"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8"/>
              </w:rPr>
              <w:t>1</w:t>
            </w:r>
          </w:p>
        </w:tc>
        <w:tc>
          <w:tcPr>
            <w:tcW w:w="859"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8"/>
              </w:rPr>
              <w:t>200 мг</w:t>
            </w:r>
          </w:p>
        </w:tc>
        <w:tc>
          <w:tcPr>
            <w:tcW w:w="1886"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8"/>
              </w:rPr>
              <w:t>Використовується лише як частина схеми БПЛ разом з бедаквіліном та лінезолідом.</w:t>
            </w:r>
          </w:p>
        </w:tc>
      </w:tr>
      <w:tr w:rsidR="005225B5" w:rsidRPr="006263CF" w:rsidTr="00D15218">
        <w:trPr>
          <w:trHeight w:hRule="exact" w:val="1982"/>
        </w:trPr>
        <w:tc>
          <w:tcPr>
            <w:tcW w:w="14068" w:type="dxa"/>
            <w:gridSpan w:val="11"/>
            <w:tcBorders>
              <w:top w:val="single" w:sz="4" w:space="0" w:color="1F61AA"/>
              <w:left w:val="nil"/>
              <w:bottom w:val="nil"/>
              <w:right w:val="nil"/>
            </w:tcBorders>
            <w:shd w:val="clear" w:color="auto" w:fill="FFFFFF"/>
          </w:tcPr>
          <w:p w:rsidR="005225B5" w:rsidRPr="006263CF" w:rsidRDefault="005225B5" w:rsidP="00D15218">
            <w:pPr>
              <w:spacing w:before="40"/>
              <w:jc w:val="both"/>
              <w:rPr>
                <w:rFonts w:asciiTheme="minorHAnsi" w:hAnsiTheme="minorHAnsi" w:cstheme="minorHAnsi"/>
                <w:sz w:val="18"/>
              </w:rPr>
            </w:pPr>
            <w:r w:rsidRPr="006263CF">
              <w:rPr>
                <w:rFonts w:asciiTheme="minorHAnsi" w:hAnsiTheme="minorHAnsi" w:cstheme="minorHAnsi"/>
                <w:color w:val="000000"/>
                <w:sz w:val="14"/>
                <w:szCs w:val="16"/>
              </w:rPr>
              <w:t>(&lt;15 років): дотримуйтесь окремого графіка дозування для пацієнтів молодш</w:t>
            </w:r>
            <w:r w:rsidR="00D15218">
              <w:rPr>
                <w:rFonts w:asciiTheme="minorHAnsi" w:hAnsiTheme="minorHAnsi" w:cstheme="minorHAnsi"/>
                <w:color w:val="000000"/>
                <w:sz w:val="14"/>
                <w:szCs w:val="16"/>
              </w:rPr>
              <w:t xml:space="preserve">е 15 років; bd: 2 рази на день; </w:t>
            </w:r>
            <w:r w:rsidRPr="006263CF">
              <w:rPr>
                <w:rFonts w:asciiTheme="minorHAnsi" w:hAnsiTheme="minorHAnsi" w:cstheme="minorHAnsi"/>
                <w:color w:val="000000"/>
                <w:sz w:val="14"/>
                <w:szCs w:val="16"/>
              </w:rPr>
              <w:t>БПЛ: схема бедаквіліну, претоманіду та лінезоліду протягом 6–9 місяців; ковпачок: капсула; ВІЛ: вірус імунодефіциту людини; в/м: внутрішньом’язово; в/в: внутрішньовенно; г: грам; кг: кілограм; мл: мілілітр; мг: міліграм;</w:t>
            </w:r>
            <w:r w:rsidR="00D15218">
              <w:rPr>
                <w:rFonts w:asciiTheme="minorHAnsi" w:hAnsiTheme="minorHAnsi" w:cstheme="minorHAnsi"/>
                <w:color w:val="000000"/>
                <w:sz w:val="14"/>
                <w:szCs w:val="16"/>
              </w:rPr>
              <w:t xml:space="preserve"> П/С/П:</w:t>
            </w:r>
            <w:r w:rsidRPr="006263CF">
              <w:rPr>
                <w:rFonts w:asciiTheme="minorHAnsi" w:hAnsiTheme="minorHAnsi" w:cstheme="minorHAnsi"/>
                <w:color w:val="000000"/>
                <w:sz w:val="14"/>
                <w:szCs w:val="16"/>
              </w:rPr>
              <w:t xml:space="preserve"> понеділок, середа, п’ятниця; р-н: розчин; сусп: суспензія; MЛС-TБ: ТБ із множинною лікарською стійкістю:  MР/Риф-TБ: туберкульоз, стійкий до лікарських препаратів та рифампіцину; вкладка: планшет; ВООЗ: Всесвітня організація охорони здоров'я: Всесвітня організація охорони здоров’я.</w:t>
            </w:r>
          </w:p>
          <w:p w:rsidR="005225B5" w:rsidRPr="006263CF" w:rsidRDefault="005225B5" w:rsidP="00D15218">
            <w:pPr>
              <w:spacing w:before="40"/>
              <w:ind w:left="244" w:hanging="244"/>
              <w:jc w:val="both"/>
              <w:rPr>
                <w:rFonts w:asciiTheme="minorHAnsi" w:hAnsiTheme="minorHAnsi" w:cstheme="minorHAnsi"/>
                <w:sz w:val="18"/>
              </w:rPr>
            </w:pPr>
            <w:r w:rsidRPr="006263CF">
              <w:rPr>
                <w:rFonts w:asciiTheme="minorHAnsi" w:hAnsiTheme="minorHAnsi" w:cstheme="minorHAnsi"/>
                <w:color w:val="000000"/>
                <w:sz w:val="14"/>
                <w:szCs w:val="16"/>
              </w:rPr>
              <w:t xml:space="preserve">а </w:t>
            </w:r>
            <w:r w:rsidR="00D15218">
              <w:rPr>
                <w:rFonts w:asciiTheme="minorHAnsi" w:hAnsiTheme="minorHAnsi" w:cstheme="minorHAnsi"/>
                <w:color w:val="000000"/>
                <w:sz w:val="14"/>
                <w:szCs w:val="16"/>
              </w:rPr>
              <w:tab/>
            </w:r>
            <w:r w:rsidRPr="006263CF">
              <w:rPr>
                <w:rFonts w:asciiTheme="minorHAnsi" w:hAnsiTheme="minorHAnsi" w:cstheme="minorHAnsi"/>
                <w:color w:val="000000"/>
                <w:sz w:val="14"/>
                <w:szCs w:val="16"/>
              </w:rPr>
              <w:t xml:space="preserve">Дозування були встановлені групами з розробки настанов ВООЗ щодо лікування лікарсько-стійкого туберкульозу (оновлені дані за 2018 і 2020 роки) і Глобальної цільовою групою ВООЗ з вивчення фармакокінетики і фармакодинаміки (ФК/ФД) лікарських препаратів для лікування туберкульозу та іншими експертами. Вони засновані на найостанніших оглядах і передовій практиці в області лікування МР/Риф-ТБ. Для певних препаратів дози повідомляли за результатами фармакокінетичного моделювання на основі принципу аллометричного масштабування (Anderson BJ, Holford NH. Mechanism-based concepts of size and maturity in pharmacokinetics. Annu Rev Pharmacol Toxicol 2008;48:303–32). Завдяки фармакокінетичним властивостям деяких лікарських препаратів запропоновані дози можуть перевищувати показники мг/кг на добу, показані тут, для досягнення концентрації в крові, подібної до цільових рівнів у середнього дорослого пацієнта.  У пацієнтів &lt;30 кг слід дотримуватися графіку, як для осіб віком &lt;15 років, якщо інше не вказано.  Якщо для однієї вагової смуги задано кілька варіантів дози, слід вибрати нижчий чи </w:t>
            </w:r>
          </w:p>
        </w:tc>
      </w:tr>
    </w:tbl>
    <w:p w:rsidR="005225B5" w:rsidRPr="006263CF" w:rsidRDefault="005225B5" w:rsidP="006263CF">
      <w:pPr>
        <w:rPr>
          <w:rFonts w:asciiTheme="minorHAnsi" w:hAnsiTheme="minorHAnsi" w:cstheme="minorHAnsi"/>
          <w:sz w:val="18"/>
        </w:rPr>
        <w:sectPr w:rsidR="005225B5" w:rsidRPr="006263CF">
          <w:headerReference w:type="default" r:id="rId52"/>
          <w:pgSz w:w="16838" w:h="11904" w:orient="landscape"/>
          <w:pgMar w:top="1411" w:right="1382" w:bottom="931" w:left="1387" w:header="708" w:footer="708" w:gutter="0"/>
          <w:cols w:space="60"/>
          <w:noEndnote/>
        </w:sectPr>
      </w:pPr>
    </w:p>
    <w:p w:rsidR="005225B5" w:rsidRPr="006263CF" w:rsidRDefault="005225B5" w:rsidP="00D15218">
      <w:pPr>
        <w:ind w:left="284"/>
        <w:jc w:val="both"/>
        <w:rPr>
          <w:rFonts w:asciiTheme="minorHAnsi" w:hAnsiTheme="minorHAnsi" w:cstheme="minorHAnsi"/>
          <w:sz w:val="18"/>
        </w:rPr>
      </w:pPr>
      <w:r w:rsidRPr="006263CF">
        <w:rPr>
          <w:rFonts w:asciiTheme="minorHAnsi" w:hAnsiTheme="minorHAnsi" w:cstheme="minorHAnsi"/>
          <w:color w:val="000000"/>
          <w:sz w:val="14"/>
          <w:szCs w:val="16"/>
        </w:rPr>
        <w:lastRenderedPageBreak/>
        <w:t>вищий варіант, залежно від того, знаходиться у пацієнта нижня або вища межа діапазону маси тіла. Більш наближене цільове дозування в мг/кг на добу повинно бути спрямоване і є більш доцільним при пероральній або парентеральній рідинах та за наявності твердих форм різної дози.  Слід уникати розподілу таблеток на половинки чи менше, якщо це можливо.  Терапевтичний моніторинг лікарських засобів рекомендується застосовувати, коли доза знаходиться у верхньому та нижньому кінцях діапазону, щоб мінімізувати несприятливі терапевтичні наслідки пере- та недостатнього опромінення відповідно (особливо для ін’єкційних засобів, лінезоліду та фторхінолонів).</w:t>
      </w:r>
    </w:p>
    <w:p w:rsidR="005225B5" w:rsidRPr="006263CF" w:rsidRDefault="005225B5" w:rsidP="00D15218">
      <w:pPr>
        <w:spacing w:before="67"/>
        <w:ind w:left="284" w:hanging="284"/>
        <w:jc w:val="both"/>
        <w:rPr>
          <w:rFonts w:asciiTheme="minorHAnsi" w:hAnsiTheme="minorHAnsi" w:cstheme="minorHAnsi"/>
          <w:sz w:val="18"/>
        </w:rPr>
      </w:pPr>
      <w:r w:rsidRPr="006263CF">
        <w:rPr>
          <w:rFonts w:asciiTheme="minorHAnsi" w:hAnsiTheme="minorHAnsi" w:cstheme="minorHAnsi"/>
          <w:color w:val="000000"/>
          <w:sz w:val="14"/>
          <w:szCs w:val="16"/>
        </w:rPr>
        <w:t xml:space="preserve">b </w:t>
      </w:r>
      <w:r w:rsidR="00D15218">
        <w:rPr>
          <w:rFonts w:asciiTheme="minorHAnsi" w:hAnsiTheme="minorHAnsi" w:cstheme="minorHAnsi"/>
          <w:color w:val="000000"/>
          <w:sz w:val="14"/>
          <w:szCs w:val="16"/>
        </w:rPr>
        <w:tab/>
      </w:r>
      <w:r w:rsidRPr="006263CF">
        <w:rPr>
          <w:rFonts w:asciiTheme="minorHAnsi" w:hAnsiTheme="minorHAnsi" w:cstheme="minorHAnsi"/>
          <w:color w:val="000000"/>
          <w:sz w:val="14"/>
          <w:szCs w:val="16"/>
        </w:rPr>
        <w:t>Лікарі можуть вирішити перевищити ці значення в окремих випадках для поліпшення терапевтичного ефекту.</w:t>
      </w:r>
    </w:p>
    <w:p w:rsidR="005225B5" w:rsidRPr="006263CF" w:rsidRDefault="005225B5" w:rsidP="00D15218">
      <w:pPr>
        <w:spacing w:before="67"/>
        <w:ind w:left="284" w:hanging="284"/>
        <w:jc w:val="both"/>
        <w:rPr>
          <w:rFonts w:asciiTheme="minorHAnsi" w:hAnsiTheme="minorHAnsi" w:cstheme="minorHAnsi"/>
          <w:sz w:val="18"/>
        </w:rPr>
      </w:pPr>
      <w:r w:rsidRPr="006263CF">
        <w:rPr>
          <w:rFonts w:asciiTheme="minorHAnsi" w:hAnsiTheme="minorHAnsi" w:cstheme="minorHAnsi"/>
          <w:color w:val="000000"/>
          <w:sz w:val="14"/>
          <w:szCs w:val="16"/>
        </w:rPr>
        <w:t xml:space="preserve">c </w:t>
      </w:r>
      <w:r w:rsidR="00D15218">
        <w:rPr>
          <w:rFonts w:asciiTheme="minorHAnsi" w:hAnsiTheme="minorHAnsi" w:cstheme="minorHAnsi"/>
          <w:color w:val="000000"/>
          <w:sz w:val="14"/>
          <w:szCs w:val="16"/>
        </w:rPr>
        <w:tab/>
      </w:r>
      <w:r w:rsidRPr="006263CF">
        <w:rPr>
          <w:rFonts w:asciiTheme="minorHAnsi" w:hAnsiTheme="minorHAnsi" w:cstheme="minorHAnsi"/>
          <w:color w:val="000000"/>
          <w:sz w:val="14"/>
          <w:szCs w:val="16"/>
        </w:rPr>
        <w:t>Не пропонується дозування основане на вазі.</w:t>
      </w:r>
    </w:p>
    <w:p w:rsidR="005225B5" w:rsidRPr="006263CF" w:rsidRDefault="005225B5" w:rsidP="00D15218">
      <w:pPr>
        <w:spacing w:before="58"/>
        <w:ind w:left="284" w:hanging="284"/>
        <w:jc w:val="both"/>
        <w:rPr>
          <w:rFonts w:asciiTheme="minorHAnsi" w:hAnsiTheme="minorHAnsi" w:cstheme="minorHAnsi"/>
          <w:sz w:val="18"/>
        </w:rPr>
      </w:pPr>
      <w:r w:rsidRPr="006263CF">
        <w:rPr>
          <w:rFonts w:asciiTheme="minorHAnsi" w:hAnsiTheme="minorHAnsi" w:cstheme="minorHAnsi"/>
          <w:color w:val="000000"/>
          <w:sz w:val="14"/>
          <w:szCs w:val="16"/>
        </w:rPr>
        <w:t xml:space="preserve">d </w:t>
      </w:r>
      <w:r w:rsidR="00D15218">
        <w:rPr>
          <w:rFonts w:asciiTheme="minorHAnsi" w:hAnsiTheme="minorHAnsi" w:cstheme="minorHAnsi"/>
          <w:color w:val="000000"/>
          <w:sz w:val="14"/>
          <w:szCs w:val="16"/>
        </w:rPr>
        <w:tab/>
      </w:r>
      <w:r w:rsidRPr="006263CF">
        <w:rPr>
          <w:rFonts w:asciiTheme="minorHAnsi" w:hAnsiTheme="minorHAnsi" w:cstheme="minorHAnsi"/>
          <w:color w:val="000000"/>
          <w:sz w:val="14"/>
          <w:szCs w:val="16"/>
        </w:rPr>
        <w:t>Більш високу дозу можна застосовувати за винятком випадків, коли є: ризик токсичності; очікується, що рівень буде знижений через фармакокінетичні взаємодії, мальабсорбцію або з інших причин; або штам має низьку медикаментозну резистентність.</w:t>
      </w:r>
    </w:p>
    <w:p w:rsidR="005225B5" w:rsidRPr="006263CF" w:rsidRDefault="005225B5" w:rsidP="00D15218">
      <w:pPr>
        <w:spacing w:before="62"/>
        <w:ind w:left="284" w:hanging="284"/>
        <w:jc w:val="both"/>
        <w:rPr>
          <w:rFonts w:asciiTheme="minorHAnsi" w:hAnsiTheme="minorHAnsi" w:cstheme="minorHAnsi"/>
          <w:sz w:val="18"/>
        </w:rPr>
      </w:pPr>
      <w:r w:rsidRPr="006263CF">
        <w:rPr>
          <w:rFonts w:asciiTheme="minorHAnsi" w:hAnsiTheme="minorHAnsi" w:cstheme="minorHAnsi"/>
          <w:color w:val="000000"/>
          <w:sz w:val="14"/>
          <w:szCs w:val="16"/>
        </w:rPr>
        <w:t xml:space="preserve">e </w:t>
      </w:r>
      <w:r w:rsidR="00D15218">
        <w:rPr>
          <w:rFonts w:asciiTheme="minorHAnsi" w:hAnsiTheme="minorHAnsi" w:cstheme="minorHAnsi"/>
          <w:color w:val="000000"/>
          <w:sz w:val="14"/>
          <w:szCs w:val="16"/>
        </w:rPr>
        <w:tab/>
      </w:r>
      <w:r w:rsidRPr="006263CF">
        <w:rPr>
          <w:rFonts w:asciiTheme="minorHAnsi" w:hAnsiTheme="minorHAnsi" w:cstheme="minorHAnsi"/>
          <w:color w:val="000000"/>
          <w:sz w:val="14"/>
          <w:szCs w:val="16"/>
        </w:rPr>
        <w:t>Очікується, що таблетки стануть доступними найближчим часом.</w:t>
      </w:r>
    </w:p>
    <w:p w:rsidR="005225B5" w:rsidRPr="006263CF" w:rsidRDefault="005225B5" w:rsidP="00D15218">
      <w:pPr>
        <w:spacing w:before="53"/>
        <w:ind w:left="284" w:hanging="284"/>
        <w:jc w:val="both"/>
        <w:rPr>
          <w:rFonts w:asciiTheme="minorHAnsi" w:hAnsiTheme="minorHAnsi" w:cstheme="minorHAnsi"/>
          <w:sz w:val="18"/>
        </w:rPr>
      </w:pPr>
      <w:r w:rsidRPr="006263CF">
        <w:rPr>
          <w:rFonts w:asciiTheme="minorHAnsi" w:hAnsiTheme="minorHAnsi" w:cstheme="minorHAnsi"/>
          <w:color w:val="000000"/>
          <w:sz w:val="14"/>
          <w:szCs w:val="16"/>
        </w:rPr>
        <w:t xml:space="preserve">f </w:t>
      </w:r>
      <w:r w:rsidR="00D15218">
        <w:rPr>
          <w:rFonts w:asciiTheme="minorHAnsi" w:hAnsiTheme="minorHAnsi" w:cstheme="minorHAnsi"/>
          <w:color w:val="000000"/>
          <w:sz w:val="14"/>
          <w:szCs w:val="16"/>
        </w:rPr>
        <w:tab/>
      </w:r>
      <w:r w:rsidRPr="006263CF">
        <w:rPr>
          <w:rFonts w:asciiTheme="minorHAnsi" w:hAnsiTheme="minorHAnsi" w:cstheme="minorHAnsi"/>
          <w:color w:val="000000"/>
          <w:sz w:val="14"/>
          <w:szCs w:val="16"/>
        </w:rPr>
        <w:t>Добова доза основана на вазі становить 6 або 7 днів на тиждень (Пн/Ср/Пт планування може дозволити більш високе дозування).  Показані обсяги можуть відрізнятися залежно від підготовки. Стрептоміцин можна розводити трьома різними способами. Для використання в/в об'єм може бути збільшений.</w:t>
      </w:r>
    </w:p>
    <w:p w:rsidR="005225B5" w:rsidRPr="006263CF" w:rsidRDefault="005225B5" w:rsidP="00D15218">
      <w:pPr>
        <w:spacing w:before="53"/>
        <w:ind w:left="284" w:hanging="284"/>
        <w:jc w:val="both"/>
        <w:rPr>
          <w:rFonts w:asciiTheme="minorHAnsi" w:hAnsiTheme="minorHAnsi" w:cstheme="minorHAnsi"/>
          <w:sz w:val="18"/>
        </w:rPr>
      </w:pPr>
      <w:r w:rsidRPr="006263CF">
        <w:rPr>
          <w:rFonts w:asciiTheme="minorHAnsi" w:hAnsiTheme="minorHAnsi" w:cstheme="minorHAnsi"/>
          <w:color w:val="000000"/>
          <w:sz w:val="14"/>
          <w:szCs w:val="16"/>
        </w:rPr>
        <w:t xml:space="preserve">g </w:t>
      </w:r>
      <w:r w:rsidR="00D15218">
        <w:rPr>
          <w:rFonts w:asciiTheme="minorHAnsi" w:hAnsiTheme="minorHAnsi" w:cstheme="minorHAnsi"/>
          <w:color w:val="000000"/>
          <w:sz w:val="14"/>
          <w:szCs w:val="16"/>
        </w:rPr>
        <w:tab/>
      </w:r>
      <w:r w:rsidRPr="006263CF">
        <w:rPr>
          <w:rFonts w:asciiTheme="minorHAnsi" w:hAnsiTheme="minorHAnsi" w:cstheme="minorHAnsi"/>
          <w:color w:val="000000"/>
          <w:sz w:val="14"/>
          <w:szCs w:val="16"/>
        </w:rPr>
        <w:t>Амоксицилін/клавуланова кислота рекомендується лише в якості супутнього препарату.  Через брак даних останніх аналізів щодо довгострокових схем лікування МЛС-ТБ у дорослих, гатифлоксацин, ізоніазид та тіоацетазон не включаються до таблиці групування лікарських препаратів, що застосовуються для довгострокових схем лікування. Претоманід рекомендується використовувати тільки як частина комплекса схеми лікування БПЛ.</w:t>
      </w:r>
    </w:p>
    <w:p w:rsidR="005225B5" w:rsidRPr="006263CF" w:rsidRDefault="00D15218" w:rsidP="00D15218">
      <w:pPr>
        <w:spacing w:before="48"/>
        <w:ind w:left="284" w:hanging="284"/>
        <w:jc w:val="both"/>
        <w:rPr>
          <w:rFonts w:asciiTheme="minorHAnsi" w:hAnsiTheme="minorHAnsi" w:cstheme="minorHAnsi"/>
          <w:sz w:val="18"/>
        </w:rPr>
      </w:pPr>
      <w:r w:rsidRPr="006263CF">
        <w:rPr>
          <w:rFonts w:asciiTheme="minorHAnsi" w:hAnsiTheme="minorHAnsi" w:cstheme="minorHAnsi"/>
          <w:color w:val="000000"/>
          <w:sz w:val="14"/>
          <w:szCs w:val="16"/>
        </w:rPr>
        <w:t>h</w:t>
      </w:r>
      <w:r>
        <w:rPr>
          <w:rFonts w:asciiTheme="minorHAnsi" w:hAnsiTheme="minorHAnsi" w:cstheme="minorHAnsi"/>
          <w:color w:val="000000"/>
          <w:sz w:val="14"/>
          <w:szCs w:val="16"/>
        </w:rPr>
        <w:tab/>
      </w:r>
      <w:r w:rsidR="005225B5" w:rsidRPr="006263CF">
        <w:rPr>
          <w:rFonts w:asciiTheme="minorHAnsi" w:hAnsiTheme="minorHAnsi" w:cstheme="minorHAnsi"/>
          <w:color w:val="000000"/>
          <w:sz w:val="14"/>
          <w:szCs w:val="16"/>
        </w:rPr>
        <w:t>Випускається лише в поєднанні з амоксициліном як ко-амоксиклав (наприклад, 500 мг амоксициліну/125 мг клавуланової кислоти у поєднанні з фіксованою дозою).  Його вводять із кожною дозою карбапенему, або 125 мг 2 рази на день або 125 мг 3 рази на день.</w:t>
      </w:r>
    </w:p>
    <w:p w:rsidR="005225B5" w:rsidRPr="006263CF" w:rsidRDefault="005225B5" w:rsidP="00D15218">
      <w:pPr>
        <w:spacing w:before="62"/>
        <w:ind w:left="284" w:hanging="284"/>
        <w:jc w:val="both"/>
        <w:rPr>
          <w:rFonts w:asciiTheme="minorHAnsi" w:hAnsiTheme="minorHAnsi" w:cstheme="minorHAnsi"/>
          <w:sz w:val="18"/>
        </w:rPr>
      </w:pPr>
      <w:r w:rsidRPr="006263CF">
        <w:rPr>
          <w:rFonts w:asciiTheme="minorHAnsi" w:hAnsiTheme="minorHAnsi" w:cstheme="minorHAnsi"/>
          <w:color w:val="000000"/>
          <w:sz w:val="14"/>
          <w:szCs w:val="16"/>
        </w:rPr>
        <w:t xml:space="preserve">і </w:t>
      </w:r>
      <w:r w:rsidR="00D15218">
        <w:rPr>
          <w:rFonts w:asciiTheme="minorHAnsi" w:hAnsiTheme="minorHAnsi" w:cstheme="minorHAnsi"/>
          <w:color w:val="000000"/>
          <w:sz w:val="14"/>
          <w:szCs w:val="16"/>
        </w:rPr>
        <w:tab/>
        <w:t>Використовується від 14 років.</w:t>
      </w:r>
    </w:p>
    <w:p w:rsidR="005225B5" w:rsidRPr="006263CF" w:rsidRDefault="005225B5" w:rsidP="00D15218">
      <w:pPr>
        <w:spacing w:before="139"/>
        <w:jc w:val="both"/>
        <w:rPr>
          <w:rFonts w:asciiTheme="minorHAnsi" w:hAnsiTheme="minorHAnsi" w:cstheme="minorHAnsi"/>
          <w:sz w:val="18"/>
        </w:rPr>
      </w:pPr>
      <w:r w:rsidRPr="006263CF">
        <w:rPr>
          <w:rFonts w:asciiTheme="minorHAnsi" w:hAnsiTheme="minorHAnsi" w:cstheme="minorHAnsi"/>
          <w:i/>
          <w:iCs/>
          <w:color w:val="000000"/>
          <w:sz w:val="14"/>
          <w:szCs w:val="16"/>
        </w:rPr>
        <w:t>Детальніше про вживання лікарських препаратів див. у посібнику.</w:t>
      </w:r>
    </w:p>
    <w:p w:rsidR="005225B5" w:rsidRPr="006263CF" w:rsidRDefault="005225B5" w:rsidP="006263CF">
      <w:pPr>
        <w:spacing w:before="139"/>
        <w:rPr>
          <w:rFonts w:asciiTheme="minorHAnsi" w:hAnsiTheme="minorHAnsi" w:cstheme="minorHAnsi"/>
          <w:sz w:val="18"/>
        </w:rPr>
        <w:sectPr w:rsidR="005225B5" w:rsidRPr="006263CF" w:rsidSect="00445738">
          <w:pgSz w:w="16838" w:h="11904" w:orient="landscape"/>
          <w:pgMar w:top="1363" w:right="1406" w:bottom="3261" w:left="1416"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066"/>
        <w:gridCol w:w="1315"/>
        <w:gridCol w:w="1186"/>
        <w:gridCol w:w="1421"/>
        <w:gridCol w:w="946"/>
        <w:gridCol w:w="926"/>
        <w:gridCol w:w="984"/>
        <w:gridCol w:w="950"/>
        <w:gridCol w:w="864"/>
        <w:gridCol w:w="1138"/>
        <w:gridCol w:w="854"/>
        <w:gridCol w:w="845"/>
        <w:gridCol w:w="1574"/>
      </w:tblGrid>
      <w:tr w:rsidR="005225B5" w:rsidRPr="006263CF">
        <w:trPr>
          <w:trHeight w:hRule="exact" w:val="902"/>
        </w:trPr>
        <w:tc>
          <w:tcPr>
            <w:tcW w:w="14069" w:type="dxa"/>
            <w:gridSpan w:val="13"/>
            <w:tcBorders>
              <w:top w:val="nil"/>
              <w:left w:val="nil"/>
              <w:bottom w:val="nil"/>
              <w:right w:val="nil"/>
            </w:tcBorders>
            <w:shd w:val="clear" w:color="auto" w:fill="FFFFFF"/>
          </w:tcPr>
          <w:p w:rsidR="005225B5" w:rsidRPr="006263CF" w:rsidRDefault="005225B5" w:rsidP="006263CF">
            <w:pPr>
              <w:ind w:right="653"/>
              <w:rPr>
                <w:rFonts w:asciiTheme="minorHAnsi" w:hAnsiTheme="minorHAnsi" w:cstheme="minorHAnsi"/>
                <w:sz w:val="18"/>
              </w:rPr>
            </w:pPr>
            <w:r w:rsidRPr="006263CF">
              <w:rPr>
                <w:rFonts w:asciiTheme="minorHAnsi" w:hAnsiTheme="minorHAnsi" w:cstheme="minorHAnsi"/>
                <w:b/>
                <w:bCs/>
                <w:color w:val="1F61AA"/>
                <w:sz w:val="28"/>
                <w:szCs w:val="32"/>
              </w:rPr>
              <w:lastRenderedPageBreak/>
              <w:t xml:space="preserve">B. Дозування лікарських препаратів, що застосовуються в схемах терапії мультирезистентного ТБ 2-ого ряду за ваговою категорією (пацієнти до 15 років) </w:t>
            </w:r>
            <w:r w:rsidRPr="006263CF">
              <w:rPr>
                <w:rFonts w:asciiTheme="minorHAnsi" w:hAnsiTheme="minorHAnsi" w:cstheme="minorHAnsi"/>
                <w:b/>
                <w:bCs/>
                <w:color w:val="1F61AA"/>
                <w:sz w:val="28"/>
                <w:szCs w:val="32"/>
                <w:vertAlign w:val="superscript"/>
              </w:rPr>
              <w:t>a</w:t>
            </w:r>
          </w:p>
        </w:tc>
      </w:tr>
      <w:tr w:rsidR="00D15218" w:rsidRPr="006263CF" w:rsidTr="00080638">
        <w:trPr>
          <w:trHeight w:hRule="exact" w:val="360"/>
        </w:trPr>
        <w:tc>
          <w:tcPr>
            <w:tcW w:w="1066" w:type="dxa"/>
            <w:vMerge w:val="restart"/>
            <w:tcBorders>
              <w:top w:val="nil"/>
              <w:left w:val="nil"/>
              <w:right w:val="nil"/>
            </w:tcBorders>
            <w:shd w:val="clear" w:color="auto" w:fill="C1C8E4"/>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b/>
                <w:bCs/>
                <w:color w:val="000000"/>
                <w:sz w:val="16"/>
                <w:szCs w:val="18"/>
              </w:rPr>
              <w:t>Група</w:t>
            </w:r>
          </w:p>
        </w:tc>
        <w:tc>
          <w:tcPr>
            <w:tcW w:w="1315" w:type="dxa"/>
            <w:vMerge w:val="restart"/>
            <w:tcBorders>
              <w:top w:val="nil"/>
              <w:left w:val="nil"/>
              <w:right w:val="nil"/>
            </w:tcBorders>
            <w:shd w:val="clear" w:color="auto" w:fill="C1C8E4"/>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b/>
                <w:bCs/>
                <w:color w:val="000000"/>
                <w:sz w:val="16"/>
                <w:szCs w:val="18"/>
              </w:rPr>
              <w:t>Лікарський препарат</w:t>
            </w:r>
          </w:p>
        </w:tc>
        <w:tc>
          <w:tcPr>
            <w:tcW w:w="1186" w:type="dxa"/>
            <w:vMerge w:val="restart"/>
            <w:tcBorders>
              <w:top w:val="nil"/>
              <w:left w:val="nil"/>
              <w:right w:val="nil"/>
            </w:tcBorders>
            <w:shd w:val="clear" w:color="auto" w:fill="C1C8E4"/>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b/>
                <w:bCs/>
                <w:color w:val="000000"/>
                <w:sz w:val="16"/>
                <w:szCs w:val="18"/>
              </w:rPr>
              <w:t>Добова доза залежно від маси тіла</w:t>
            </w:r>
            <w:r w:rsidRPr="006263CF">
              <w:rPr>
                <w:rFonts w:asciiTheme="minorHAnsi" w:hAnsiTheme="minorHAnsi" w:cstheme="minorHAnsi"/>
                <w:b/>
                <w:bCs/>
                <w:color w:val="000000"/>
                <w:sz w:val="16"/>
                <w:szCs w:val="18"/>
                <w:vertAlign w:val="superscript"/>
              </w:rPr>
              <w:t>b</w:t>
            </w:r>
          </w:p>
        </w:tc>
        <w:tc>
          <w:tcPr>
            <w:tcW w:w="1421" w:type="dxa"/>
            <w:vMerge w:val="restart"/>
            <w:tcBorders>
              <w:top w:val="nil"/>
              <w:left w:val="nil"/>
              <w:right w:val="nil"/>
            </w:tcBorders>
            <w:shd w:val="clear" w:color="auto" w:fill="C1C8E4"/>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b/>
                <w:bCs/>
                <w:color w:val="000000"/>
                <w:sz w:val="16"/>
                <w:szCs w:val="18"/>
              </w:rPr>
              <w:t>Формулювання</w:t>
            </w:r>
          </w:p>
        </w:tc>
        <w:tc>
          <w:tcPr>
            <w:tcW w:w="6662" w:type="dxa"/>
            <w:gridSpan w:val="7"/>
            <w:tcBorders>
              <w:top w:val="nil"/>
              <w:left w:val="nil"/>
              <w:bottom w:val="nil"/>
              <w:right w:val="nil"/>
            </w:tcBorders>
            <w:shd w:val="clear" w:color="auto" w:fill="C1C8E4"/>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b/>
                <w:bCs/>
                <w:color w:val="000000"/>
                <w:sz w:val="16"/>
                <w:szCs w:val="18"/>
              </w:rPr>
              <w:t>Маса тіла серед пацієнтів, яким ще не виповнилося 15 років</w:t>
            </w:r>
            <w:r w:rsidRPr="006263CF">
              <w:rPr>
                <w:rFonts w:asciiTheme="minorHAnsi" w:hAnsiTheme="minorHAnsi" w:cstheme="minorHAnsi"/>
                <w:b/>
                <w:bCs/>
                <w:color w:val="000000"/>
                <w:sz w:val="16"/>
                <w:szCs w:val="18"/>
                <w:vertAlign w:val="superscript"/>
              </w:rPr>
              <w:t>a</w:t>
            </w:r>
          </w:p>
        </w:tc>
        <w:tc>
          <w:tcPr>
            <w:tcW w:w="845" w:type="dxa"/>
            <w:vMerge w:val="restart"/>
            <w:tcBorders>
              <w:top w:val="nil"/>
              <w:left w:val="nil"/>
              <w:right w:val="nil"/>
            </w:tcBorders>
            <w:shd w:val="clear" w:color="auto" w:fill="C1C8E4"/>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b/>
                <w:bCs/>
                <w:color w:val="000000"/>
                <w:sz w:val="16"/>
                <w:szCs w:val="18"/>
              </w:rPr>
              <w:t>Звичні добові дози</w:t>
            </w:r>
            <w:r w:rsidRPr="006263CF">
              <w:rPr>
                <w:rFonts w:asciiTheme="minorHAnsi" w:hAnsiTheme="minorHAnsi" w:cstheme="minorHAnsi"/>
                <w:b/>
                <w:bCs/>
                <w:color w:val="000000"/>
                <w:sz w:val="16"/>
                <w:szCs w:val="18"/>
                <w:vertAlign w:val="superscript"/>
              </w:rPr>
              <w:t>b</w:t>
            </w:r>
          </w:p>
        </w:tc>
        <w:tc>
          <w:tcPr>
            <w:tcW w:w="1574" w:type="dxa"/>
            <w:vMerge w:val="restart"/>
            <w:tcBorders>
              <w:top w:val="nil"/>
              <w:left w:val="nil"/>
              <w:right w:val="nil"/>
            </w:tcBorders>
            <w:shd w:val="clear" w:color="auto" w:fill="C1C8E4"/>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b/>
                <w:bCs/>
                <w:color w:val="000000"/>
                <w:sz w:val="16"/>
                <w:szCs w:val="18"/>
              </w:rPr>
              <w:t>Коментарі</w:t>
            </w:r>
          </w:p>
        </w:tc>
      </w:tr>
      <w:tr w:rsidR="00D15218" w:rsidRPr="006263CF" w:rsidTr="00080638">
        <w:trPr>
          <w:trHeight w:hRule="exact" w:val="600"/>
        </w:trPr>
        <w:tc>
          <w:tcPr>
            <w:tcW w:w="1066" w:type="dxa"/>
            <w:vMerge/>
            <w:tcBorders>
              <w:left w:val="nil"/>
              <w:bottom w:val="nil"/>
              <w:right w:val="nil"/>
            </w:tcBorders>
            <w:shd w:val="clear" w:color="auto" w:fill="C1C8E4"/>
            <w:vAlign w:val="center"/>
          </w:tcPr>
          <w:p w:rsidR="00D15218" w:rsidRPr="006263CF" w:rsidRDefault="00D15218" w:rsidP="00D15218">
            <w:pPr>
              <w:jc w:val="center"/>
              <w:rPr>
                <w:rFonts w:asciiTheme="minorHAnsi" w:hAnsiTheme="minorHAnsi" w:cstheme="minorHAnsi"/>
                <w:sz w:val="18"/>
              </w:rPr>
            </w:pPr>
          </w:p>
        </w:tc>
        <w:tc>
          <w:tcPr>
            <w:tcW w:w="1315" w:type="dxa"/>
            <w:vMerge/>
            <w:tcBorders>
              <w:left w:val="nil"/>
              <w:bottom w:val="nil"/>
              <w:right w:val="nil"/>
            </w:tcBorders>
            <w:shd w:val="clear" w:color="auto" w:fill="C1C8E4"/>
            <w:vAlign w:val="center"/>
          </w:tcPr>
          <w:p w:rsidR="00D15218" w:rsidRPr="006263CF" w:rsidRDefault="00D15218" w:rsidP="00D15218">
            <w:pPr>
              <w:jc w:val="center"/>
              <w:rPr>
                <w:rFonts w:asciiTheme="minorHAnsi" w:hAnsiTheme="minorHAnsi" w:cstheme="minorHAnsi"/>
                <w:sz w:val="18"/>
              </w:rPr>
            </w:pPr>
          </w:p>
        </w:tc>
        <w:tc>
          <w:tcPr>
            <w:tcW w:w="1186" w:type="dxa"/>
            <w:vMerge/>
            <w:tcBorders>
              <w:left w:val="nil"/>
              <w:bottom w:val="nil"/>
              <w:right w:val="nil"/>
            </w:tcBorders>
            <w:shd w:val="clear" w:color="auto" w:fill="C1C8E4"/>
            <w:vAlign w:val="center"/>
          </w:tcPr>
          <w:p w:rsidR="00D15218" w:rsidRPr="006263CF" w:rsidRDefault="00D15218" w:rsidP="00D15218">
            <w:pPr>
              <w:jc w:val="center"/>
              <w:rPr>
                <w:rFonts w:asciiTheme="minorHAnsi" w:hAnsiTheme="minorHAnsi" w:cstheme="minorHAnsi"/>
                <w:sz w:val="18"/>
              </w:rPr>
            </w:pPr>
          </w:p>
        </w:tc>
        <w:tc>
          <w:tcPr>
            <w:tcW w:w="1421" w:type="dxa"/>
            <w:vMerge/>
            <w:tcBorders>
              <w:left w:val="nil"/>
              <w:right w:val="nil"/>
            </w:tcBorders>
            <w:shd w:val="clear" w:color="auto" w:fill="C1C8E4"/>
            <w:vAlign w:val="center"/>
          </w:tcPr>
          <w:p w:rsidR="00D15218" w:rsidRPr="006263CF" w:rsidRDefault="00D15218" w:rsidP="00D15218">
            <w:pPr>
              <w:jc w:val="center"/>
              <w:rPr>
                <w:rFonts w:asciiTheme="minorHAnsi" w:hAnsiTheme="minorHAnsi" w:cstheme="minorHAnsi"/>
                <w:sz w:val="18"/>
              </w:rPr>
            </w:pPr>
          </w:p>
        </w:tc>
        <w:tc>
          <w:tcPr>
            <w:tcW w:w="946" w:type="dxa"/>
            <w:tcBorders>
              <w:top w:val="nil"/>
              <w:left w:val="nil"/>
              <w:right w:val="nil"/>
            </w:tcBorders>
            <w:shd w:val="clear" w:color="auto" w:fill="C1C8E4"/>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b/>
                <w:bCs/>
                <w:color w:val="000000"/>
                <w:sz w:val="16"/>
                <w:szCs w:val="18"/>
              </w:rPr>
              <w:t>5-6 кг</w:t>
            </w:r>
          </w:p>
        </w:tc>
        <w:tc>
          <w:tcPr>
            <w:tcW w:w="926" w:type="dxa"/>
            <w:tcBorders>
              <w:top w:val="nil"/>
              <w:left w:val="nil"/>
              <w:right w:val="nil"/>
            </w:tcBorders>
            <w:shd w:val="clear" w:color="auto" w:fill="C1C8E4"/>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b/>
                <w:bCs/>
                <w:color w:val="000000"/>
                <w:sz w:val="16"/>
                <w:szCs w:val="18"/>
              </w:rPr>
              <w:t>7-9 кг</w:t>
            </w:r>
          </w:p>
        </w:tc>
        <w:tc>
          <w:tcPr>
            <w:tcW w:w="984" w:type="dxa"/>
            <w:tcBorders>
              <w:top w:val="nil"/>
              <w:left w:val="nil"/>
              <w:right w:val="nil"/>
            </w:tcBorders>
            <w:shd w:val="clear" w:color="auto" w:fill="C1C8E4"/>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b/>
                <w:bCs/>
                <w:color w:val="000000"/>
                <w:sz w:val="16"/>
                <w:szCs w:val="18"/>
              </w:rPr>
              <w:t>10-15 кг</w:t>
            </w:r>
          </w:p>
        </w:tc>
        <w:tc>
          <w:tcPr>
            <w:tcW w:w="950" w:type="dxa"/>
            <w:tcBorders>
              <w:top w:val="nil"/>
              <w:left w:val="nil"/>
              <w:right w:val="nil"/>
            </w:tcBorders>
            <w:shd w:val="clear" w:color="auto" w:fill="C1C8E4"/>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b/>
                <w:bCs/>
                <w:color w:val="000000"/>
                <w:sz w:val="16"/>
                <w:szCs w:val="18"/>
              </w:rPr>
              <w:t>16-23 кг</w:t>
            </w:r>
          </w:p>
        </w:tc>
        <w:tc>
          <w:tcPr>
            <w:tcW w:w="864" w:type="dxa"/>
            <w:tcBorders>
              <w:top w:val="nil"/>
              <w:left w:val="nil"/>
              <w:right w:val="nil"/>
            </w:tcBorders>
            <w:shd w:val="clear" w:color="auto" w:fill="C1C8E4"/>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b/>
                <w:bCs/>
                <w:color w:val="000000"/>
                <w:sz w:val="16"/>
                <w:szCs w:val="18"/>
              </w:rPr>
              <w:t>24-30 кг</w:t>
            </w:r>
          </w:p>
        </w:tc>
        <w:tc>
          <w:tcPr>
            <w:tcW w:w="1138" w:type="dxa"/>
            <w:tcBorders>
              <w:top w:val="nil"/>
              <w:left w:val="nil"/>
              <w:right w:val="nil"/>
            </w:tcBorders>
            <w:shd w:val="clear" w:color="auto" w:fill="C1C8E4"/>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b/>
                <w:bCs/>
                <w:color w:val="000000"/>
                <w:sz w:val="16"/>
                <w:szCs w:val="18"/>
              </w:rPr>
              <w:t>31-34 кг</w:t>
            </w:r>
          </w:p>
        </w:tc>
        <w:tc>
          <w:tcPr>
            <w:tcW w:w="854" w:type="dxa"/>
            <w:tcBorders>
              <w:top w:val="nil"/>
              <w:left w:val="nil"/>
              <w:right w:val="nil"/>
            </w:tcBorders>
            <w:shd w:val="clear" w:color="auto" w:fill="C1C8E4"/>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b/>
                <w:bCs/>
                <w:color w:val="000000"/>
                <w:sz w:val="16"/>
                <w:szCs w:val="18"/>
              </w:rPr>
              <w:t>&gt;34 кг</w:t>
            </w:r>
          </w:p>
        </w:tc>
        <w:tc>
          <w:tcPr>
            <w:tcW w:w="845" w:type="dxa"/>
            <w:vMerge/>
            <w:tcBorders>
              <w:left w:val="nil"/>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p>
        </w:tc>
        <w:tc>
          <w:tcPr>
            <w:tcW w:w="1574" w:type="dxa"/>
            <w:vMerge/>
            <w:tcBorders>
              <w:left w:val="nil"/>
              <w:bottom w:val="nil"/>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p>
        </w:tc>
      </w:tr>
      <w:tr w:rsidR="00D15218" w:rsidRPr="006263CF" w:rsidTr="00D15218">
        <w:trPr>
          <w:trHeight w:val="397"/>
        </w:trPr>
        <w:tc>
          <w:tcPr>
            <w:tcW w:w="1066" w:type="dxa"/>
            <w:vMerge w:val="restart"/>
            <w:tcBorders>
              <w:top w:val="nil"/>
              <w:left w:val="nil"/>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b/>
                <w:bCs/>
                <w:color w:val="000000"/>
                <w:sz w:val="28"/>
                <w:szCs w:val="32"/>
              </w:rPr>
              <w:t>A</w:t>
            </w:r>
          </w:p>
        </w:tc>
        <w:tc>
          <w:tcPr>
            <w:tcW w:w="1315" w:type="dxa"/>
            <w:vMerge w:val="restart"/>
            <w:tcBorders>
              <w:top w:val="nil"/>
              <w:left w:val="nil"/>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Левофлоксацин</w:t>
            </w:r>
          </w:p>
        </w:tc>
        <w:tc>
          <w:tcPr>
            <w:tcW w:w="1186" w:type="dxa"/>
            <w:vMerge w:val="restart"/>
            <w:tcBorders>
              <w:top w:val="nil"/>
              <w:left w:val="nil"/>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15-20 мг/кг</w:t>
            </w:r>
          </w:p>
        </w:tc>
        <w:tc>
          <w:tcPr>
            <w:tcW w:w="1421" w:type="dxa"/>
            <w:tcBorders>
              <w:top w:val="nil"/>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100 мг тд</w:t>
            </w:r>
          </w:p>
        </w:tc>
        <w:tc>
          <w:tcPr>
            <w:tcW w:w="946" w:type="dxa"/>
            <w:tcBorders>
              <w:top w:val="nil"/>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1</w:t>
            </w:r>
          </w:p>
        </w:tc>
        <w:tc>
          <w:tcPr>
            <w:tcW w:w="926" w:type="dxa"/>
            <w:tcBorders>
              <w:top w:val="nil"/>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1,5</w:t>
            </w:r>
          </w:p>
        </w:tc>
        <w:tc>
          <w:tcPr>
            <w:tcW w:w="984" w:type="dxa"/>
            <w:tcBorders>
              <w:top w:val="nil"/>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2 або 3</w:t>
            </w:r>
          </w:p>
        </w:tc>
        <w:tc>
          <w:tcPr>
            <w:tcW w:w="950" w:type="dxa"/>
            <w:tcBorders>
              <w:top w:val="nil"/>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3 або 4</w:t>
            </w:r>
          </w:p>
        </w:tc>
        <w:tc>
          <w:tcPr>
            <w:tcW w:w="864" w:type="dxa"/>
            <w:tcBorders>
              <w:top w:val="nil"/>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(&gt;14 р)</w:t>
            </w:r>
          </w:p>
        </w:tc>
        <w:tc>
          <w:tcPr>
            <w:tcW w:w="1138" w:type="dxa"/>
            <w:tcBorders>
              <w:top w:val="nil"/>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(&gt;14 р)</w:t>
            </w:r>
          </w:p>
        </w:tc>
        <w:tc>
          <w:tcPr>
            <w:tcW w:w="854" w:type="dxa"/>
            <w:tcBorders>
              <w:top w:val="nil"/>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(&gt;14 р)</w:t>
            </w:r>
          </w:p>
        </w:tc>
        <w:tc>
          <w:tcPr>
            <w:tcW w:w="845" w:type="dxa"/>
            <w:tcBorders>
              <w:top w:val="nil"/>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1.5 г</w:t>
            </w:r>
          </w:p>
        </w:tc>
        <w:tc>
          <w:tcPr>
            <w:tcW w:w="1574" w:type="dxa"/>
            <w:tcBorders>
              <w:top w:val="nil"/>
              <w:left w:val="nil"/>
              <w:bottom w:val="nil"/>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p>
        </w:tc>
      </w:tr>
      <w:tr w:rsidR="00D15218" w:rsidRPr="006263CF" w:rsidTr="00D15218">
        <w:trPr>
          <w:trHeight w:val="397"/>
        </w:trPr>
        <w:tc>
          <w:tcPr>
            <w:tcW w:w="1066" w:type="dxa"/>
            <w:vMerge/>
            <w:tcBorders>
              <w:left w:val="nil"/>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p>
        </w:tc>
        <w:tc>
          <w:tcPr>
            <w:tcW w:w="1315" w:type="dxa"/>
            <w:vMerge/>
            <w:tcBorders>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p>
        </w:tc>
        <w:tc>
          <w:tcPr>
            <w:tcW w:w="1186" w:type="dxa"/>
            <w:vMerge/>
            <w:tcBorders>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p>
        </w:tc>
        <w:tc>
          <w:tcPr>
            <w:tcW w:w="1421"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250 мг таб</w:t>
            </w:r>
          </w:p>
        </w:tc>
        <w:tc>
          <w:tcPr>
            <w:tcW w:w="946"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0,5</w:t>
            </w:r>
          </w:p>
        </w:tc>
        <w:tc>
          <w:tcPr>
            <w:tcW w:w="926"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0,5</w:t>
            </w:r>
          </w:p>
        </w:tc>
        <w:tc>
          <w:tcPr>
            <w:tcW w:w="984"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1 або 1.5</w:t>
            </w:r>
          </w:p>
        </w:tc>
        <w:tc>
          <w:tcPr>
            <w:tcW w:w="950"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1.5 або 2</w:t>
            </w:r>
          </w:p>
        </w:tc>
        <w:tc>
          <w:tcPr>
            <w:tcW w:w="864"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2</w:t>
            </w:r>
          </w:p>
        </w:tc>
        <w:tc>
          <w:tcPr>
            <w:tcW w:w="1138"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3</w:t>
            </w:r>
          </w:p>
        </w:tc>
        <w:tc>
          <w:tcPr>
            <w:tcW w:w="854"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(&gt;14 р)</w:t>
            </w:r>
          </w:p>
        </w:tc>
        <w:tc>
          <w:tcPr>
            <w:tcW w:w="845"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1.5 г</w:t>
            </w:r>
          </w:p>
        </w:tc>
        <w:tc>
          <w:tcPr>
            <w:tcW w:w="1574" w:type="dxa"/>
            <w:tcBorders>
              <w:top w:val="nil"/>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p>
        </w:tc>
      </w:tr>
      <w:tr w:rsidR="00D15218" w:rsidRPr="006263CF" w:rsidTr="00D15218">
        <w:trPr>
          <w:trHeight w:val="397"/>
        </w:trPr>
        <w:tc>
          <w:tcPr>
            <w:tcW w:w="1066" w:type="dxa"/>
            <w:vMerge/>
            <w:tcBorders>
              <w:left w:val="nil"/>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p>
        </w:tc>
        <w:tc>
          <w:tcPr>
            <w:tcW w:w="1315" w:type="dxa"/>
            <w:vMerge w:val="restart"/>
            <w:tcBorders>
              <w:top w:val="single" w:sz="4" w:space="0" w:color="1F61AA"/>
              <w:left w:val="nil"/>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Моксифлоксацин</w:t>
            </w:r>
          </w:p>
        </w:tc>
        <w:tc>
          <w:tcPr>
            <w:tcW w:w="1186" w:type="dxa"/>
            <w:vMerge w:val="restart"/>
            <w:tcBorders>
              <w:top w:val="single" w:sz="4" w:space="0" w:color="1F61AA"/>
              <w:left w:val="nil"/>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10-15 мг/кг</w:t>
            </w:r>
          </w:p>
        </w:tc>
        <w:tc>
          <w:tcPr>
            <w:tcW w:w="1421"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100 мг тд</w:t>
            </w:r>
          </w:p>
        </w:tc>
        <w:tc>
          <w:tcPr>
            <w:tcW w:w="946"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0,8</w:t>
            </w:r>
          </w:p>
        </w:tc>
        <w:tc>
          <w:tcPr>
            <w:tcW w:w="926"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1,5</w:t>
            </w:r>
          </w:p>
        </w:tc>
        <w:tc>
          <w:tcPr>
            <w:tcW w:w="984"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2</w:t>
            </w:r>
          </w:p>
        </w:tc>
        <w:tc>
          <w:tcPr>
            <w:tcW w:w="950"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3</w:t>
            </w:r>
          </w:p>
        </w:tc>
        <w:tc>
          <w:tcPr>
            <w:tcW w:w="864"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4</w:t>
            </w:r>
          </w:p>
        </w:tc>
        <w:tc>
          <w:tcPr>
            <w:tcW w:w="1138"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(&gt;14 р)</w:t>
            </w:r>
          </w:p>
        </w:tc>
        <w:tc>
          <w:tcPr>
            <w:tcW w:w="854"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(&gt;14 р)</w:t>
            </w:r>
          </w:p>
        </w:tc>
        <w:tc>
          <w:tcPr>
            <w:tcW w:w="845"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400 мг</w:t>
            </w:r>
          </w:p>
        </w:tc>
        <w:tc>
          <w:tcPr>
            <w:tcW w:w="1574" w:type="dxa"/>
            <w:vMerge w:val="restart"/>
            <w:tcBorders>
              <w:top w:val="single" w:sz="4" w:space="0" w:color="1F61AA"/>
              <w:left w:val="nil"/>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Використовувати 10 мг/кг протягом &lt;6 місяців.</w:t>
            </w:r>
          </w:p>
        </w:tc>
      </w:tr>
      <w:tr w:rsidR="00D15218" w:rsidRPr="006263CF" w:rsidTr="00D15218">
        <w:trPr>
          <w:trHeight w:val="397"/>
        </w:trPr>
        <w:tc>
          <w:tcPr>
            <w:tcW w:w="1066" w:type="dxa"/>
            <w:vMerge/>
            <w:tcBorders>
              <w:left w:val="nil"/>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p>
        </w:tc>
        <w:tc>
          <w:tcPr>
            <w:tcW w:w="1315" w:type="dxa"/>
            <w:vMerge/>
            <w:tcBorders>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p>
        </w:tc>
        <w:tc>
          <w:tcPr>
            <w:tcW w:w="1186" w:type="dxa"/>
            <w:vMerge/>
            <w:tcBorders>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p>
        </w:tc>
        <w:tc>
          <w:tcPr>
            <w:tcW w:w="1421"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400 мг таб</w:t>
            </w:r>
            <w:r w:rsidRPr="006263CF">
              <w:rPr>
                <w:rFonts w:asciiTheme="minorHAnsi" w:hAnsiTheme="minorHAnsi" w:cstheme="minorHAnsi"/>
                <w:color w:val="000000"/>
                <w:sz w:val="16"/>
                <w:szCs w:val="18"/>
                <w:vertAlign w:val="superscript"/>
              </w:rPr>
              <w:t>c</w:t>
            </w:r>
          </w:p>
        </w:tc>
        <w:tc>
          <w:tcPr>
            <w:tcW w:w="946"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2 мл</w:t>
            </w:r>
            <w:r w:rsidRPr="006263CF">
              <w:rPr>
                <w:rFonts w:asciiTheme="minorHAnsi" w:hAnsiTheme="minorHAnsi" w:cstheme="minorHAnsi"/>
                <w:color w:val="000000"/>
                <w:sz w:val="16"/>
                <w:szCs w:val="18"/>
                <w:vertAlign w:val="superscript"/>
              </w:rPr>
              <w:t>c</w:t>
            </w:r>
          </w:p>
        </w:tc>
        <w:tc>
          <w:tcPr>
            <w:tcW w:w="926"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3 мл</w:t>
            </w:r>
            <w:r w:rsidRPr="006263CF">
              <w:rPr>
                <w:rFonts w:asciiTheme="minorHAnsi" w:hAnsiTheme="minorHAnsi" w:cstheme="minorHAnsi"/>
                <w:color w:val="000000"/>
                <w:sz w:val="16"/>
                <w:szCs w:val="18"/>
                <w:vertAlign w:val="superscript"/>
              </w:rPr>
              <w:t>c</w:t>
            </w:r>
          </w:p>
        </w:tc>
        <w:tc>
          <w:tcPr>
            <w:tcW w:w="984"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5 мл</w:t>
            </w:r>
            <w:r w:rsidRPr="006263CF">
              <w:rPr>
                <w:rFonts w:asciiTheme="minorHAnsi" w:hAnsiTheme="minorHAnsi" w:cstheme="minorHAnsi"/>
                <w:color w:val="000000"/>
                <w:sz w:val="16"/>
                <w:szCs w:val="18"/>
                <w:vertAlign w:val="superscript"/>
              </w:rPr>
              <w:t>c</w:t>
            </w:r>
          </w:p>
        </w:tc>
        <w:tc>
          <w:tcPr>
            <w:tcW w:w="950"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0,5 або 0,75</w:t>
            </w:r>
          </w:p>
        </w:tc>
        <w:tc>
          <w:tcPr>
            <w:tcW w:w="864"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1</w:t>
            </w:r>
          </w:p>
        </w:tc>
        <w:tc>
          <w:tcPr>
            <w:tcW w:w="1138"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(&gt;14 р)</w:t>
            </w:r>
          </w:p>
        </w:tc>
        <w:tc>
          <w:tcPr>
            <w:tcW w:w="854"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(&gt;14 р)</w:t>
            </w:r>
          </w:p>
        </w:tc>
        <w:tc>
          <w:tcPr>
            <w:tcW w:w="845"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400 мг</w:t>
            </w:r>
          </w:p>
        </w:tc>
        <w:tc>
          <w:tcPr>
            <w:tcW w:w="1574" w:type="dxa"/>
            <w:vMerge/>
            <w:tcBorders>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p>
        </w:tc>
      </w:tr>
      <w:tr w:rsidR="00D15218" w:rsidRPr="006263CF" w:rsidTr="00080638">
        <w:trPr>
          <w:trHeight w:val="20"/>
        </w:trPr>
        <w:tc>
          <w:tcPr>
            <w:tcW w:w="1066" w:type="dxa"/>
            <w:vMerge/>
            <w:tcBorders>
              <w:left w:val="nil"/>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p>
        </w:tc>
        <w:tc>
          <w:tcPr>
            <w:tcW w:w="1315" w:type="dxa"/>
            <w:tcBorders>
              <w:top w:val="single" w:sz="4" w:space="0" w:color="1F61AA"/>
              <w:left w:val="nil"/>
              <w:bottom w:val="nil"/>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Бедаквілін</w:t>
            </w:r>
          </w:p>
        </w:tc>
        <w:tc>
          <w:tcPr>
            <w:tcW w:w="1186" w:type="dxa"/>
            <w:tcBorders>
              <w:top w:val="single" w:sz="4" w:space="0" w:color="1F61AA"/>
              <w:left w:val="nil"/>
              <w:bottom w:val="nil"/>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8"/>
              </w:rPr>
              <w:t>-</w:t>
            </w:r>
          </w:p>
        </w:tc>
        <w:tc>
          <w:tcPr>
            <w:tcW w:w="1421"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100 мг таб</w:t>
            </w:r>
          </w:p>
        </w:tc>
        <w:tc>
          <w:tcPr>
            <w:tcW w:w="946"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8"/>
              </w:rPr>
              <w:t>-</w:t>
            </w:r>
          </w:p>
        </w:tc>
        <w:tc>
          <w:tcPr>
            <w:tcW w:w="926"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8"/>
              </w:rPr>
              <w:t>-</w:t>
            </w:r>
          </w:p>
        </w:tc>
        <w:tc>
          <w:tcPr>
            <w:tcW w:w="984"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8"/>
              </w:rPr>
              <w:t>-</w:t>
            </w:r>
          </w:p>
        </w:tc>
        <w:tc>
          <w:tcPr>
            <w:tcW w:w="1814" w:type="dxa"/>
            <w:gridSpan w:val="2"/>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2 таблетки 1 раз на день протягом 2 тижнів;</w:t>
            </w:r>
          </w:p>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потім</w:t>
            </w:r>
          </w:p>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1 таб по Пн/Ср/Пт протягом</w:t>
            </w:r>
          </w:p>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22 тижнів</w:t>
            </w:r>
          </w:p>
        </w:tc>
        <w:tc>
          <w:tcPr>
            <w:tcW w:w="1992" w:type="dxa"/>
            <w:gridSpan w:val="2"/>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4 таблетки 1 раз на день протягом 2 тижнів;</w:t>
            </w:r>
          </w:p>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потім</w:t>
            </w:r>
          </w:p>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2 таб по Пн/Ср/Пт протягом</w:t>
            </w:r>
          </w:p>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22 тижнів</w:t>
            </w:r>
          </w:p>
        </w:tc>
        <w:tc>
          <w:tcPr>
            <w:tcW w:w="845" w:type="dxa"/>
            <w:tcBorders>
              <w:top w:val="single" w:sz="4" w:space="0" w:color="1F61AA"/>
              <w:left w:val="nil"/>
              <w:bottom w:val="nil"/>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8"/>
              </w:rPr>
              <w:t>-</w:t>
            </w:r>
          </w:p>
        </w:tc>
        <w:tc>
          <w:tcPr>
            <w:tcW w:w="1574" w:type="dxa"/>
            <w:vMerge w:val="restart"/>
            <w:tcBorders>
              <w:top w:val="single" w:sz="4" w:space="0" w:color="1F61AA"/>
              <w:left w:val="nil"/>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Тільки у пацієнтів віком&gt; 5 років (нижча доза від 15–29 кг; більша доза від&gt; 29 кг).</w:t>
            </w:r>
          </w:p>
        </w:tc>
      </w:tr>
      <w:tr w:rsidR="00D15218" w:rsidRPr="006263CF" w:rsidTr="00D15218">
        <w:trPr>
          <w:trHeight w:val="20"/>
        </w:trPr>
        <w:tc>
          <w:tcPr>
            <w:tcW w:w="1066" w:type="dxa"/>
            <w:vMerge/>
            <w:tcBorders>
              <w:left w:val="nil"/>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p>
        </w:tc>
        <w:tc>
          <w:tcPr>
            <w:tcW w:w="1315" w:type="dxa"/>
            <w:tcBorders>
              <w:top w:val="nil"/>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p>
        </w:tc>
        <w:tc>
          <w:tcPr>
            <w:tcW w:w="1186" w:type="dxa"/>
            <w:tcBorders>
              <w:top w:val="nil"/>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p>
        </w:tc>
        <w:tc>
          <w:tcPr>
            <w:tcW w:w="1421"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20 мг тд</w:t>
            </w:r>
          </w:p>
        </w:tc>
        <w:tc>
          <w:tcPr>
            <w:tcW w:w="946"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8"/>
              </w:rPr>
              <w:t>-</w:t>
            </w:r>
          </w:p>
        </w:tc>
        <w:tc>
          <w:tcPr>
            <w:tcW w:w="926"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8"/>
              </w:rPr>
              <w:t>-</w:t>
            </w:r>
          </w:p>
        </w:tc>
        <w:tc>
          <w:tcPr>
            <w:tcW w:w="984"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8"/>
              </w:rPr>
              <w:t>-</w:t>
            </w:r>
          </w:p>
        </w:tc>
        <w:tc>
          <w:tcPr>
            <w:tcW w:w="1814" w:type="dxa"/>
            <w:gridSpan w:val="2"/>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10 дисперсійних таблеток 1 раз на день протягом 2 тижнів;</w:t>
            </w:r>
          </w:p>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потім 5 дисперсійних таблеток 1 рази на день по Пн/Ср/Пт</w:t>
            </w:r>
          </w:p>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протягом 22 тижнів</w:t>
            </w:r>
          </w:p>
        </w:tc>
        <w:tc>
          <w:tcPr>
            <w:tcW w:w="1992" w:type="dxa"/>
            <w:gridSpan w:val="2"/>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20 дисперсійних таблеток 1 раз на день протягом 2 тижнів;</w:t>
            </w:r>
          </w:p>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потім 10 дт по Пн/Ср/Пт</w:t>
            </w:r>
          </w:p>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протягом 22 тижнів</w:t>
            </w:r>
          </w:p>
        </w:tc>
        <w:tc>
          <w:tcPr>
            <w:tcW w:w="845" w:type="dxa"/>
            <w:tcBorders>
              <w:top w:val="nil"/>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p>
        </w:tc>
        <w:tc>
          <w:tcPr>
            <w:tcW w:w="1574" w:type="dxa"/>
            <w:vMerge/>
            <w:tcBorders>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p>
        </w:tc>
      </w:tr>
      <w:tr w:rsidR="00D15218" w:rsidRPr="006263CF" w:rsidTr="00D15218">
        <w:trPr>
          <w:trHeight w:val="454"/>
        </w:trPr>
        <w:tc>
          <w:tcPr>
            <w:tcW w:w="1066" w:type="dxa"/>
            <w:vMerge/>
            <w:tcBorders>
              <w:left w:val="nil"/>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p>
        </w:tc>
        <w:tc>
          <w:tcPr>
            <w:tcW w:w="1315" w:type="dxa"/>
            <w:vMerge w:val="restart"/>
            <w:tcBorders>
              <w:top w:val="single" w:sz="4" w:space="0" w:color="1F61AA"/>
              <w:left w:val="nil"/>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Лінезолід</w:t>
            </w:r>
          </w:p>
        </w:tc>
        <w:tc>
          <w:tcPr>
            <w:tcW w:w="1186"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15 мг/кг &lt;16 кг</w:t>
            </w:r>
          </w:p>
        </w:tc>
        <w:tc>
          <w:tcPr>
            <w:tcW w:w="1421"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20 мг/мл сусп</w:t>
            </w:r>
          </w:p>
        </w:tc>
        <w:tc>
          <w:tcPr>
            <w:tcW w:w="946"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4 мл</w:t>
            </w:r>
          </w:p>
        </w:tc>
        <w:tc>
          <w:tcPr>
            <w:tcW w:w="926"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6 мл</w:t>
            </w:r>
          </w:p>
        </w:tc>
        <w:tc>
          <w:tcPr>
            <w:tcW w:w="984"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8 мл</w:t>
            </w:r>
          </w:p>
        </w:tc>
        <w:tc>
          <w:tcPr>
            <w:tcW w:w="950"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11 мл</w:t>
            </w:r>
          </w:p>
        </w:tc>
        <w:tc>
          <w:tcPr>
            <w:tcW w:w="864"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14 мл</w:t>
            </w:r>
          </w:p>
        </w:tc>
        <w:tc>
          <w:tcPr>
            <w:tcW w:w="1138"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15 мл</w:t>
            </w:r>
          </w:p>
        </w:tc>
        <w:tc>
          <w:tcPr>
            <w:tcW w:w="854"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 xml:space="preserve">20 мл </w:t>
            </w:r>
            <w:r w:rsidRPr="006263CF">
              <w:rPr>
                <w:rFonts w:asciiTheme="minorHAnsi" w:hAnsiTheme="minorHAnsi" w:cstheme="minorHAnsi"/>
                <w:color w:val="000000"/>
                <w:sz w:val="16"/>
                <w:szCs w:val="18"/>
                <w:vertAlign w:val="superscript"/>
              </w:rPr>
              <w:t>d</w:t>
            </w:r>
          </w:p>
        </w:tc>
        <w:tc>
          <w:tcPr>
            <w:tcW w:w="845" w:type="dxa"/>
            <w:tcBorders>
              <w:top w:val="single" w:sz="4" w:space="0" w:color="1F61AA"/>
              <w:left w:val="nil"/>
              <w:bottom w:val="nil"/>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600 мг</w:t>
            </w:r>
          </w:p>
        </w:tc>
        <w:tc>
          <w:tcPr>
            <w:tcW w:w="1574" w:type="dxa"/>
            <w:tcBorders>
              <w:top w:val="single" w:sz="4" w:space="0" w:color="1F61AA"/>
              <w:left w:val="nil"/>
              <w:bottom w:val="nil"/>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p>
        </w:tc>
      </w:tr>
      <w:tr w:rsidR="00D15218" w:rsidRPr="006263CF" w:rsidTr="00D15218">
        <w:trPr>
          <w:trHeight w:val="454"/>
        </w:trPr>
        <w:tc>
          <w:tcPr>
            <w:tcW w:w="1066" w:type="dxa"/>
            <w:vMerge/>
            <w:tcBorders>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p>
        </w:tc>
        <w:tc>
          <w:tcPr>
            <w:tcW w:w="1315" w:type="dxa"/>
            <w:vMerge/>
            <w:tcBorders>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p>
        </w:tc>
        <w:tc>
          <w:tcPr>
            <w:tcW w:w="1186"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10-12 мг/кг &gt;15 кг</w:t>
            </w:r>
          </w:p>
        </w:tc>
        <w:tc>
          <w:tcPr>
            <w:tcW w:w="1421"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600 мг таб</w:t>
            </w:r>
            <w:r w:rsidRPr="006263CF">
              <w:rPr>
                <w:rFonts w:asciiTheme="minorHAnsi" w:hAnsiTheme="minorHAnsi" w:cstheme="minorHAnsi"/>
                <w:color w:val="000000"/>
                <w:sz w:val="16"/>
                <w:szCs w:val="18"/>
                <w:vertAlign w:val="superscript"/>
              </w:rPr>
              <w:t>c</w:t>
            </w:r>
          </w:p>
        </w:tc>
        <w:tc>
          <w:tcPr>
            <w:tcW w:w="946"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0,25</w:t>
            </w:r>
          </w:p>
        </w:tc>
        <w:tc>
          <w:tcPr>
            <w:tcW w:w="926"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0,25</w:t>
            </w:r>
          </w:p>
        </w:tc>
        <w:tc>
          <w:tcPr>
            <w:tcW w:w="984"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0,25</w:t>
            </w:r>
          </w:p>
        </w:tc>
        <w:tc>
          <w:tcPr>
            <w:tcW w:w="950"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0,5</w:t>
            </w:r>
          </w:p>
        </w:tc>
        <w:tc>
          <w:tcPr>
            <w:tcW w:w="864"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0,5</w:t>
            </w:r>
          </w:p>
        </w:tc>
        <w:tc>
          <w:tcPr>
            <w:tcW w:w="1138"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0,5</w:t>
            </w:r>
          </w:p>
        </w:tc>
        <w:tc>
          <w:tcPr>
            <w:tcW w:w="854"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 xml:space="preserve">0,75 </w:t>
            </w:r>
            <w:r w:rsidRPr="006263CF">
              <w:rPr>
                <w:rFonts w:asciiTheme="minorHAnsi" w:hAnsiTheme="minorHAnsi" w:cstheme="minorHAnsi"/>
                <w:color w:val="000000"/>
                <w:sz w:val="16"/>
                <w:szCs w:val="18"/>
                <w:vertAlign w:val="superscript"/>
              </w:rPr>
              <w:t>d</w:t>
            </w:r>
          </w:p>
        </w:tc>
        <w:tc>
          <w:tcPr>
            <w:tcW w:w="845" w:type="dxa"/>
            <w:tcBorders>
              <w:top w:val="nil"/>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p>
        </w:tc>
        <w:tc>
          <w:tcPr>
            <w:tcW w:w="1574" w:type="dxa"/>
            <w:tcBorders>
              <w:top w:val="nil"/>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p>
        </w:tc>
      </w:tr>
      <w:tr w:rsidR="00D15218" w:rsidRPr="006263CF" w:rsidTr="00D15218">
        <w:trPr>
          <w:trHeight w:val="454"/>
        </w:trPr>
        <w:tc>
          <w:tcPr>
            <w:tcW w:w="1066" w:type="dxa"/>
            <w:vMerge w:val="restart"/>
            <w:tcBorders>
              <w:top w:val="single" w:sz="4" w:space="0" w:color="1F61AA"/>
              <w:left w:val="nil"/>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b/>
                <w:bCs/>
                <w:color w:val="000000"/>
                <w:sz w:val="24"/>
                <w:szCs w:val="28"/>
              </w:rPr>
              <w:t>В</w:t>
            </w:r>
          </w:p>
        </w:tc>
        <w:tc>
          <w:tcPr>
            <w:tcW w:w="1315" w:type="dxa"/>
            <w:vMerge w:val="restart"/>
            <w:tcBorders>
              <w:top w:val="single" w:sz="4" w:space="0" w:color="1F61AA"/>
              <w:left w:val="nil"/>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Клофазимін</w:t>
            </w:r>
          </w:p>
        </w:tc>
        <w:tc>
          <w:tcPr>
            <w:tcW w:w="1186" w:type="dxa"/>
            <w:vMerge w:val="restart"/>
            <w:tcBorders>
              <w:top w:val="single" w:sz="4" w:space="0" w:color="1F61AA"/>
              <w:left w:val="nil"/>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2-5 мг/кг</w:t>
            </w:r>
          </w:p>
        </w:tc>
        <w:tc>
          <w:tcPr>
            <w:tcW w:w="1421"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50 мг капсула</w:t>
            </w:r>
          </w:p>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або таблетки</w:t>
            </w:r>
            <w:r w:rsidRPr="006263CF">
              <w:rPr>
                <w:rFonts w:asciiTheme="minorHAnsi" w:hAnsiTheme="minorHAnsi" w:cstheme="minorHAnsi"/>
                <w:color w:val="000000"/>
                <w:sz w:val="16"/>
                <w:szCs w:val="18"/>
                <w:vertAlign w:val="superscript"/>
              </w:rPr>
              <w:t>e</w:t>
            </w:r>
          </w:p>
        </w:tc>
        <w:tc>
          <w:tcPr>
            <w:tcW w:w="946"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1 черговий день</w:t>
            </w:r>
          </w:p>
        </w:tc>
        <w:tc>
          <w:tcPr>
            <w:tcW w:w="926"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1 черговий день</w:t>
            </w:r>
          </w:p>
        </w:tc>
        <w:tc>
          <w:tcPr>
            <w:tcW w:w="984"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1 черговий день</w:t>
            </w:r>
          </w:p>
        </w:tc>
        <w:tc>
          <w:tcPr>
            <w:tcW w:w="950"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1</w:t>
            </w:r>
          </w:p>
        </w:tc>
        <w:tc>
          <w:tcPr>
            <w:tcW w:w="864"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2</w:t>
            </w:r>
          </w:p>
        </w:tc>
        <w:tc>
          <w:tcPr>
            <w:tcW w:w="1138"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2</w:t>
            </w:r>
          </w:p>
        </w:tc>
        <w:tc>
          <w:tcPr>
            <w:tcW w:w="854"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(&gt;14 р)</w:t>
            </w:r>
          </w:p>
        </w:tc>
        <w:tc>
          <w:tcPr>
            <w:tcW w:w="845"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100 мг</w:t>
            </w:r>
          </w:p>
        </w:tc>
        <w:tc>
          <w:tcPr>
            <w:tcW w:w="1574" w:type="dxa"/>
            <w:vMerge w:val="restart"/>
            <w:tcBorders>
              <w:top w:val="single" w:sz="4" w:space="0" w:color="1F61AA"/>
              <w:left w:val="nil"/>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Надати в альтернативні дні, якщо доза в мг/кг/день занадто висока.</w:t>
            </w:r>
          </w:p>
        </w:tc>
      </w:tr>
      <w:tr w:rsidR="00D15218" w:rsidRPr="006263CF" w:rsidTr="00080638">
        <w:trPr>
          <w:trHeight w:val="454"/>
        </w:trPr>
        <w:tc>
          <w:tcPr>
            <w:tcW w:w="1066" w:type="dxa"/>
            <w:vMerge/>
            <w:tcBorders>
              <w:left w:val="nil"/>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p>
        </w:tc>
        <w:tc>
          <w:tcPr>
            <w:tcW w:w="1315" w:type="dxa"/>
            <w:vMerge/>
            <w:tcBorders>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p>
        </w:tc>
        <w:tc>
          <w:tcPr>
            <w:tcW w:w="1186" w:type="dxa"/>
            <w:vMerge/>
            <w:tcBorders>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p>
        </w:tc>
        <w:tc>
          <w:tcPr>
            <w:tcW w:w="1421"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100 мг капсула</w:t>
            </w:r>
          </w:p>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або таблетки</w:t>
            </w:r>
            <w:r w:rsidRPr="006263CF">
              <w:rPr>
                <w:rFonts w:asciiTheme="minorHAnsi" w:hAnsiTheme="minorHAnsi" w:cstheme="minorHAnsi"/>
                <w:color w:val="000000"/>
                <w:sz w:val="16"/>
                <w:szCs w:val="18"/>
                <w:vertAlign w:val="superscript"/>
              </w:rPr>
              <w:t>e</w:t>
            </w:r>
          </w:p>
        </w:tc>
        <w:tc>
          <w:tcPr>
            <w:tcW w:w="946"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Пн/Ср/Пт</w:t>
            </w:r>
          </w:p>
        </w:tc>
        <w:tc>
          <w:tcPr>
            <w:tcW w:w="926"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Пн/Ср/Пт</w:t>
            </w:r>
          </w:p>
        </w:tc>
        <w:tc>
          <w:tcPr>
            <w:tcW w:w="984"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1 черговий день</w:t>
            </w:r>
          </w:p>
        </w:tc>
        <w:tc>
          <w:tcPr>
            <w:tcW w:w="950"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1 черговий день</w:t>
            </w:r>
          </w:p>
        </w:tc>
        <w:tc>
          <w:tcPr>
            <w:tcW w:w="864"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1</w:t>
            </w:r>
          </w:p>
        </w:tc>
        <w:tc>
          <w:tcPr>
            <w:tcW w:w="1138"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(&gt;14 р)</w:t>
            </w:r>
          </w:p>
        </w:tc>
        <w:tc>
          <w:tcPr>
            <w:tcW w:w="854"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(&gt;14 р)</w:t>
            </w:r>
          </w:p>
        </w:tc>
        <w:tc>
          <w:tcPr>
            <w:tcW w:w="845"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100 мг</w:t>
            </w:r>
          </w:p>
        </w:tc>
        <w:tc>
          <w:tcPr>
            <w:tcW w:w="1574" w:type="dxa"/>
            <w:vMerge/>
            <w:tcBorders>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p>
        </w:tc>
      </w:tr>
      <w:tr w:rsidR="00D15218" w:rsidRPr="006263CF" w:rsidTr="00080638">
        <w:trPr>
          <w:trHeight w:val="454"/>
        </w:trPr>
        <w:tc>
          <w:tcPr>
            <w:tcW w:w="1066" w:type="dxa"/>
            <w:vMerge/>
            <w:tcBorders>
              <w:left w:val="nil"/>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p>
        </w:tc>
        <w:tc>
          <w:tcPr>
            <w:tcW w:w="1315" w:type="dxa"/>
            <w:vMerge w:val="restart"/>
            <w:tcBorders>
              <w:top w:val="single" w:sz="4" w:space="0" w:color="1F61AA"/>
              <w:left w:val="nil"/>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Циклосерин або теризідон</w:t>
            </w:r>
          </w:p>
        </w:tc>
        <w:tc>
          <w:tcPr>
            <w:tcW w:w="1186" w:type="dxa"/>
            <w:vMerge w:val="restart"/>
            <w:tcBorders>
              <w:top w:val="single" w:sz="4" w:space="0" w:color="1F61AA"/>
              <w:left w:val="nil"/>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15-20 мг/кг</w:t>
            </w:r>
          </w:p>
        </w:tc>
        <w:tc>
          <w:tcPr>
            <w:tcW w:w="1421"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125 мг міні капсули</w:t>
            </w:r>
          </w:p>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(циклосерин)</w:t>
            </w:r>
            <w:r w:rsidRPr="006263CF">
              <w:rPr>
                <w:rFonts w:asciiTheme="minorHAnsi" w:hAnsiTheme="minorHAnsi" w:cstheme="minorHAnsi"/>
                <w:color w:val="000000"/>
                <w:sz w:val="16"/>
                <w:szCs w:val="18"/>
                <w:vertAlign w:val="superscript"/>
              </w:rPr>
              <w:t>с</w:t>
            </w:r>
          </w:p>
        </w:tc>
        <w:tc>
          <w:tcPr>
            <w:tcW w:w="946"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1</w:t>
            </w:r>
          </w:p>
        </w:tc>
        <w:tc>
          <w:tcPr>
            <w:tcW w:w="926"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1</w:t>
            </w:r>
          </w:p>
        </w:tc>
        <w:tc>
          <w:tcPr>
            <w:tcW w:w="984"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2</w:t>
            </w:r>
          </w:p>
        </w:tc>
        <w:tc>
          <w:tcPr>
            <w:tcW w:w="950"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3</w:t>
            </w:r>
          </w:p>
        </w:tc>
        <w:tc>
          <w:tcPr>
            <w:tcW w:w="864"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4</w:t>
            </w:r>
          </w:p>
        </w:tc>
        <w:tc>
          <w:tcPr>
            <w:tcW w:w="1138"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(&gt;14 р)</w:t>
            </w:r>
          </w:p>
        </w:tc>
        <w:tc>
          <w:tcPr>
            <w:tcW w:w="854"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(&gt;14 р)</w:t>
            </w:r>
          </w:p>
        </w:tc>
        <w:tc>
          <w:tcPr>
            <w:tcW w:w="845" w:type="dxa"/>
            <w:tcBorders>
              <w:top w:val="single" w:sz="4" w:space="0" w:color="1F61AA"/>
              <w:left w:val="nil"/>
              <w:bottom w:val="single" w:sz="4" w:space="0" w:color="1F61AA"/>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1 г</w:t>
            </w:r>
          </w:p>
        </w:tc>
        <w:tc>
          <w:tcPr>
            <w:tcW w:w="1574" w:type="dxa"/>
            <w:tcBorders>
              <w:top w:val="single" w:sz="4" w:space="0" w:color="1F61AA"/>
              <w:left w:val="nil"/>
              <w:bottom w:val="nil"/>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p>
        </w:tc>
      </w:tr>
      <w:tr w:rsidR="00D15218" w:rsidRPr="006263CF" w:rsidTr="00080638">
        <w:trPr>
          <w:trHeight w:val="397"/>
        </w:trPr>
        <w:tc>
          <w:tcPr>
            <w:tcW w:w="1066" w:type="dxa"/>
            <w:vMerge/>
            <w:tcBorders>
              <w:left w:val="nil"/>
              <w:bottom w:val="single" w:sz="6" w:space="0" w:color="auto"/>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p>
        </w:tc>
        <w:tc>
          <w:tcPr>
            <w:tcW w:w="1315" w:type="dxa"/>
            <w:vMerge/>
            <w:tcBorders>
              <w:left w:val="nil"/>
              <w:bottom w:val="single" w:sz="6" w:space="0" w:color="auto"/>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p>
        </w:tc>
        <w:tc>
          <w:tcPr>
            <w:tcW w:w="1186" w:type="dxa"/>
            <w:vMerge/>
            <w:tcBorders>
              <w:left w:val="nil"/>
              <w:bottom w:val="single" w:sz="6" w:space="0" w:color="auto"/>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p>
        </w:tc>
        <w:tc>
          <w:tcPr>
            <w:tcW w:w="1421" w:type="dxa"/>
            <w:tcBorders>
              <w:top w:val="single" w:sz="4" w:space="0" w:color="1F61AA"/>
              <w:left w:val="nil"/>
              <w:bottom w:val="single" w:sz="6" w:space="0" w:color="auto"/>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250 мг капсула</w:t>
            </w:r>
            <w:r w:rsidRPr="006263CF">
              <w:rPr>
                <w:rFonts w:asciiTheme="minorHAnsi" w:hAnsiTheme="minorHAnsi" w:cstheme="minorHAnsi"/>
                <w:color w:val="000000"/>
                <w:sz w:val="16"/>
                <w:szCs w:val="18"/>
                <w:vertAlign w:val="superscript"/>
              </w:rPr>
              <w:t>c</w:t>
            </w:r>
          </w:p>
        </w:tc>
        <w:tc>
          <w:tcPr>
            <w:tcW w:w="946" w:type="dxa"/>
            <w:tcBorders>
              <w:top w:val="single" w:sz="4" w:space="0" w:color="1F61AA"/>
              <w:left w:val="nil"/>
              <w:bottom w:val="single" w:sz="6" w:space="0" w:color="auto"/>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4-5 мл</w:t>
            </w:r>
            <w:r w:rsidRPr="006263CF">
              <w:rPr>
                <w:rFonts w:asciiTheme="minorHAnsi" w:hAnsiTheme="minorHAnsi" w:cstheme="minorHAnsi"/>
                <w:color w:val="000000"/>
                <w:sz w:val="16"/>
                <w:szCs w:val="18"/>
                <w:vertAlign w:val="superscript"/>
              </w:rPr>
              <w:t>c</w:t>
            </w:r>
          </w:p>
        </w:tc>
        <w:tc>
          <w:tcPr>
            <w:tcW w:w="926" w:type="dxa"/>
            <w:tcBorders>
              <w:top w:val="single" w:sz="4" w:space="0" w:color="1F61AA"/>
              <w:left w:val="nil"/>
              <w:bottom w:val="single" w:sz="6" w:space="0" w:color="auto"/>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5-6 мл</w:t>
            </w:r>
            <w:r w:rsidRPr="006263CF">
              <w:rPr>
                <w:rFonts w:asciiTheme="minorHAnsi" w:hAnsiTheme="minorHAnsi" w:cstheme="minorHAnsi"/>
                <w:color w:val="000000"/>
                <w:sz w:val="16"/>
                <w:szCs w:val="18"/>
                <w:vertAlign w:val="superscript"/>
              </w:rPr>
              <w:t>c</w:t>
            </w:r>
          </w:p>
        </w:tc>
        <w:tc>
          <w:tcPr>
            <w:tcW w:w="984" w:type="dxa"/>
            <w:tcBorders>
              <w:top w:val="single" w:sz="4" w:space="0" w:color="1F61AA"/>
              <w:left w:val="nil"/>
              <w:bottom w:val="single" w:sz="6" w:space="0" w:color="auto"/>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7-10 мл</w:t>
            </w:r>
            <w:r w:rsidRPr="006263CF">
              <w:rPr>
                <w:rFonts w:asciiTheme="minorHAnsi" w:hAnsiTheme="minorHAnsi" w:cstheme="minorHAnsi"/>
                <w:color w:val="000000"/>
                <w:sz w:val="16"/>
                <w:szCs w:val="18"/>
                <w:vertAlign w:val="superscript"/>
              </w:rPr>
              <w:t>c</w:t>
            </w:r>
          </w:p>
        </w:tc>
        <w:tc>
          <w:tcPr>
            <w:tcW w:w="950" w:type="dxa"/>
            <w:tcBorders>
              <w:top w:val="single" w:sz="4" w:space="0" w:color="1F61AA"/>
              <w:left w:val="nil"/>
              <w:bottom w:val="single" w:sz="6" w:space="0" w:color="auto"/>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2</w:t>
            </w:r>
          </w:p>
        </w:tc>
        <w:tc>
          <w:tcPr>
            <w:tcW w:w="864" w:type="dxa"/>
            <w:tcBorders>
              <w:top w:val="single" w:sz="4" w:space="0" w:color="1F61AA"/>
              <w:left w:val="nil"/>
              <w:bottom w:val="single" w:sz="6" w:space="0" w:color="auto"/>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2</w:t>
            </w:r>
          </w:p>
        </w:tc>
        <w:tc>
          <w:tcPr>
            <w:tcW w:w="1138" w:type="dxa"/>
            <w:tcBorders>
              <w:top w:val="single" w:sz="4" w:space="0" w:color="1F61AA"/>
              <w:left w:val="nil"/>
              <w:bottom w:val="single" w:sz="6" w:space="0" w:color="auto"/>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2</w:t>
            </w:r>
          </w:p>
        </w:tc>
        <w:tc>
          <w:tcPr>
            <w:tcW w:w="854" w:type="dxa"/>
            <w:tcBorders>
              <w:top w:val="single" w:sz="4" w:space="0" w:color="1F61AA"/>
              <w:left w:val="nil"/>
              <w:bottom w:val="single" w:sz="6" w:space="0" w:color="auto"/>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(&gt;14 р)</w:t>
            </w:r>
          </w:p>
        </w:tc>
        <w:tc>
          <w:tcPr>
            <w:tcW w:w="845" w:type="dxa"/>
            <w:tcBorders>
              <w:top w:val="single" w:sz="4" w:space="0" w:color="1F61AA"/>
              <w:left w:val="nil"/>
              <w:bottom w:val="single" w:sz="6" w:space="0" w:color="auto"/>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r w:rsidRPr="006263CF">
              <w:rPr>
                <w:rFonts w:asciiTheme="minorHAnsi" w:hAnsiTheme="minorHAnsi" w:cstheme="minorHAnsi"/>
                <w:color w:val="000000"/>
                <w:sz w:val="16"/>
                <w:szCs w:val="18"/>
              </w:rPr>
              <w:t>1 г</w:t>
            </w:r>
          </w:p>
        </w:tc>
        <w:tc>
          <w:tcPr>
            <w:tcW w:w="1574" w:type="dxa"/>
            <w:tcBorders>
              <w:top w:val="nil"/>
              <w:left w:val="nil"/>
              <w:bottom w:val="single" w:sz="6" w:space="0" w:color="auto"/>
              <w:right w:val="nil"/>
            </w:tcBorders>
            <w:shd w:val="clear" w:color="auto" w:fill="FFFFFF"/>
            <w:vAlign w:val="center"/>
          </w:tcPr>
          <w:p w:rsidR="00D15218" w:rsidRPr="006263CF" w:rsidRDefault="00D15218" w:rsidP="00D15218">
            <w:pPr>
              <w:jc w:val="center"/>
              <w:rPr>
                <w:rFonts w:asciiTheme="minorHAnsi" w:hAnsiTheme="minorHAnsi" w:cstheme="minorHAnsi"/>
                <w:sz w:val="18"/>
              </w:rPr>
            </w:pPr>
          </w:p>
        </w:tc>
      </w:tr>
    </w:tbl>
    <w:p w:rsidR="005225B5" w:rsidRPr="006263CF" w:rsidRDefault="005225B5" w:rsidP="006263CF">
      <w:pPr>
        <w:rPr>
          <w:rFonts w:asciiTheme="minorHAnsi" w:hAnsiTheme="minorHAnsi" w:cstheme="minorHAnsi"/>
          <w:sz w:val="18"/>
        </w:rPr>
        <w:sectPr w:rsidR="005225B5" w:rsidRPr="006263CF" w:rsidSect="00445738">
          <w:pgSz w:w="16838" w:h="11904" w:orient="landscape"/>
          <w:pgMar w:top="1382" w:right="1382" w:bottom="142" w:left="1387"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950"/>
        <w:gridCol w:w="1454"/>
        <w:gridCol w:w="1128"/>
        <w:gridCol w:w="1469"/>
        <w:gridCol w:w="778"/>
        <w:gridCol w:w="1051"/>
        <w:gridCol w:w="989"/>
        <w:gridCol w:w="970"/>
        <w:gridCol w:w="926"/>
        <w:gridCol w:w="989"/>
        <w:gridCol w:w="907"/>
        <w:gridCol w:w="830"/>
        <w:gridCol w:w="1608"/>
      </w:tblGrid>
      <w:tr w:rsidR="005225B5" w:rsidRPr="006263CF" w:rsidTr="00815B61">
        <w:trPr>
          <w:trHeight w:hRule="exact" w:val="432"/>
        </w:trPr>
        <w:tc>
          <w:tcPr>
            <w:tcW w:w="950" w:type="dxa"/>
            <w:vMerge w:val="restart"/>
            <w:tcBorders>
              <w:left w:val="nil"/>
              <w:bottom w:val="nil"/>
              <w:right w:val="nil"/>
            </w:tcBorders>
            <w:shd w:val="clear" w:color="auto" w:fill="C1C8E4"/>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b/>
                <w:bCs/>
                <w:color w:val="000000"/>
                <w:sz w:val="16"/>
                <w:szCs w:val="18"/>
              </w:rPr>
              <w:lastRenderedPageBreak/>
              <w:t>Група</w:t>
            </w:r>
          </w:p>
        </w:tc>
        <w:tc>
          <w:tcPr>
            <w:tcW w:w="1454" w:type="dxa"/>
            <w:vMerge w:val="restart"/>
            <w:tcBorders>
              <w:left w:val="nil"/>
              <w:bottom w:val="nil"/>
              <w:right w:val="nil"/>
            </w:tcBorders>
            <w:shd w:val="clear" w:color="auto" w:fill="C1C8E4"/>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b/>
                <w:bCs/>
                <w:color w:val="000000"/>
                <w:sz w:val="16"/>
                <w:szCs w:val="18"/>
              </w:rPr>
              <w:t>Лікарський препарат</w:t>
            </w:r>
          </w:p>
        </w:tc>
        <w:tc>
          <w:tcPr>
            <w:tcW w:w="1128" w:type="dxa"/>
            <w:vMerge w:val="restart"/>
            <w:tcBorders>
              <w:left w:val="nil"/>
              <w:bottom w:val="nil"/>
              <w:right w:val="nil"/>
            </w:tcBorders>
            <w:shd w:val="clear" w:color="auto" w:fill="C1C8E4"/>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b/>
                <w:bCs/>
                <w:color w:val="000000"/>
                <w:sz w:val="16"/>
                <w:szCs w:val="18"/>
              </w:rPr>
              <w:t>Добова доза залежно від маси тіла</w:t>
            </w:r>
            <w:r w:rsidRPr="006263CF">
              <w:rPr>
                <w:rFonts w:asciiTheme="minorHAnsi" w:hAnsiTheme="minorHAnsi" w:cstheme="minorHAnsi"/>
                <w:b/>
                <w:bCs/>
                <w:color w:val="000000"/>
                <w:sz w:val="16"/>
                <w:szCs w:val="18"/>
                <w:vertAlign w:val="superscript"/>
              </w:rPr>
              <w:t>b</w:t>
            </w:r>
          </w:p>
        </w:tc>
        <w:tc>
          <w:tcPr>
            <w:tcW w:w="1469" w:type="dxa"/>
            <w:vMerge w:val="restart"/>
            <w:tcBorders>
              <w:left w:val="nil"/>
              <w:bottom w:val="nil"/>
              <w:right w:val="nil"/>
            </w:tcBorders>
            <w:shd w:val="clear" w:color="auto" w:fill="C1C8E4"/>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b/>
                <w:bCs/>
                <w:color w:val="000000"/>
                <w:sz w:val="16"/>
                <w:szCs w:val="18"/>
              </w:rPr>
              <w:t>Формулювання</w:t>
            </w:r>
          </w:p>
        </w:tc>
        <w:tc>
          <w:tcPr>
            <w:tcW w:w="6610" w:type="dxa"/>
            <w:gridSpan w:val="7"/>
            <w:tcBorders>
              <w:left w:val="nil"/>
              <w:bottom w:val="nil"/>
              <w:right w:val="nil"/>
            </w:tcBorders>
            <w:shd w:val="clear" w:color="auto" w:fill="C1C8E4"/>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b/>
                <w:bCs/>
                <w:color w:val="000000"/>
                <w:sz w:val="16"/>
                <w:szCs w:val="18"/>
              </w:rPr>
              <w:t>Маса тіла серед пацієнтів, яким ще не виповнилося 15 років</w:t>
            </w:r>
            <w:r w:rsidRPr="006263CF">
              <w:rPr>
                <w:rFonts w:asciiTheme="minorHAnsi" w:hAnsiTheme="minorHAnsi" w:cstheme="minorHAnsi"/>
                <w:b/>
                <w:bCs/>
                <w:color w:val="000000"/>
                <w:sz w:val="16"/>
                <w:szCs w:val="18"/>
                <w:vertAlign w:val="superscript"/>
              </w:rPr>
              <w:t>a</w:t>
            </w:r>
          </w:p>
        </w:tc>
        <w:tc>
          <w:tcPr>
            <w:tcW w:w="830" w:type="dxa"/>
            <w:vMerge w:val="restart"/>
            <w:tcBorders>
              <w:left w:val="nil"/>
              <w:bottom w:val="nil"/>
              <w:right w:val="nil"/>
            </w:tcBorders>
            <w:shd w:val="clear" w:color="auto" w:fill="C1C8E4"/>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b/>
                <w:bCs/>
                <w:color w:val="000000"/>
                <w:sz w:val="16"/>
                <w:szCs w:val="18"/>
              </w:rPr>
              <w:t>Звичні добові дози</w:t>
            </w:r>
            <w:r w:rsidRPr="006263CF">
              <w:rPr>
                <w:rFonts w:asciiTheme="minorHAnsi" w:hAnsiTheme="minorHAnsi" w:cstheme="minorHAnsi"/>
                <w:b/>
                <w:bCs/>
                <w:color w:val="000000"/>
                <w:sz w:val="16"/>
                <w:szCs w:val="18"/>
                <w:vertAlign w:val="superscript"/>
              </w:rPr>
              <w:t>b</w:t>
            </w:r>
          </w:p>
        </w:tc>
        <w:tc>
          <w:tcPr>
            <w:tcW w:w="1608" w:type="dxa"/>
            <w:vMerge w:val="restart"/>
            <w:tcBorders>
              <w:left w:val="nil"/>
              <w:bottom w:val="nil"/>
              <w:right w:val="nil"/>
            </w:tcBorders>
            <w:shd w:val="clear" w:color="auto" w:fill="C1C8E4"/>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b/>
                <w:bCs/>
                <w:color w:val="000000"/>
                <w:sz w:val="16"/>
                <w:szCs w:val="18"/>
              </w:rPr>
              <w:t>Коментарі</w:t>
            </w:r>
          </w:p>
        </w:tc>
      </w:tr>
      <w:tr w:rsidR="005225B5" w:rsidRPr="006263CF" w:rsidTr="00815B61">
        <w:trPr>
          <w:trHeight w:hRule="exact" w:val="523"/>
        </w:trPr>
        <w:tc>
          <w:tcPr>
            <w:tcW w:w="950" w:type="dxa"/>
            <w:vMerge/>
            <w:tcBorders>
              <w:top w:val="nil"/>
              <w:left w:val="nil"/>
              <w:bottom w:val="nil"/>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p>
          <w:p w:rsidR="005225B5" w:rsidRPr="006263CF" w:rsidRDefault="005225B5" w:rsidP="00080638">
            <w:pPr>
              <w:jc w:val="center"/>
              <w:rPr>
                <w:rFonts w:asciiTheme="minorHAnsi" w:hAnsiTheme="minorHAnsi" w:cstheme="minorHAnsi"/>
                <w:sz w:val="18"/>
              </w:rPr>
            </w:pPr>
          </w:p>
        </w:tc>
        <w:tc>
          <w:tcPr>
            <w:tcW w:w="1454" w:type="dxa"/>
            <w:vMerge/>
            <w:tcBorders>
              <w:top w:val="nil"/>
              <w:left w:val="nil"/>
              <w:bottom w:val="nil"/>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p>
          <w:p w:rsidR="005225B5" w:rsidRPr="006263CF" w:rsidRDefault="005225B5" w:rsidP="00080638">
            <w:pPr>
              <w:jc w:val="center"/>
              <w:rPr>
                <w:rFonts w:asciiTheme="minorHAnsi" w:hAnsiTheme="minorHAnsi" w:cstheme="minorHAnsi"/>
                <w:sz w:val="18"/>
              </w:rPr>
            </w:pPr>
          </w:p>
        </w:tc>
        <w:tc>
          <w:tcPr>
            <w:tcW w:w="1128" w:type="dxa"/>
            <w:vMerge/>
            <w:tcBorders>
              <w:top w:val="nil"/>
              <w:left w:val="nil"/>
              <w:bottom w:val="nil"/>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p>
          <w:p w:rsidR="005225B5" w:rsidRPr="006263CF" w:rsidRDefault="005225B5" w:rsidP="00080638">
            <w:pPr>
              <w:jc w:val="center"/>
              <w:rPr>
                <w:rFonts w:asciiTheme="minorHAnsi" w:hAnsiTheme="minorHAnsi" w:cstheme="minorHAnsi"/>
                <w:sz w:val="18"/>
              </w:rPr>
            </w:pPr>
          </w:p>
        </w:tc>
        <w:tc>
          <w:tcPr>
            <w:tcW w:w="1469" w:type="dxa"/>
            <w:vMerge/>
            <w:tcBorders>
              <w:top w:val="nil"/>
              <w:left w:val="nil"/>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p>
          <w:p w:rsidR="005225B5" w:rsidRPr="006263CF" w:rsidRDefault="005225B5" w:rsidP="00080638">
            <w:pPr>
              <w:jc w:val="center"/>
              <w:rPr>
                <w:rFonts w:asciiTheme="minorHAnsi" w:hAnsiTheme="minorHAnsi" w:cstheme="minorHAnsi"/>
                <w:sz w:val="18"/>
              </w:rPr>
            </w:pPr>
          </w:p>
        </w:tc>
        <w:tc>
          <w:tcPr>
            <w:tcW w:w="778" w:type="dxa"/>
            <w:tcBorders>
              <w:top w:val="nil"/>
              <w:left w:val="nil"/>
              <w:right w:val="nil"/>
            </w:tcBorders>
            <w:shd w:val="clear" w:color="auto" w:fill="C1C8E4"/>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b/>
                <w:bCs/>
                <w:color w:val="000000"/>
                <w:sz w:val="16"/>
                <w:szCs w:val="18"/>
              </w:rPr>
              <w:t>5-6 кг</w:t>
            </w:r>
          </w:p>
        </w:tc>
        <w:tc>
          <w:tcPr>
            <w:tcW w:w="1051" w:type="dxa"/>
            <w:tcBorders>
              <w:top w:val="nil"/>
              <w:left w:val="nil"/>
              <w:right w:val="nil"/>
            </w:tcBorders>
            <w:shd w:val="clear" w:color="auto" w:fill="C1C8E4"/>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b/>
                <w:bCs/>
                <w:color w:val="000000"/>
                <w:sz w:val="16"/>
                <w:szCs w:val="18"/>
              </w:rPr>
              <w:t>7-9 кг</w:t>
            </w:r>
          </w:p>
        </w:tc>
        <w:tc>
          <w:tcPr>
            <w:tcW w:w="989" w:type="dxa"/>
            <w:tcBorders>
              <w:top w:val="nil"/>
              <w:left w:val="nil"/>
              <w:right w:val="nil"/>
            </w:tcBorders>
            <w:shd w:val="clear" w:color="auto" w:fill="C1C8E4"/>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b/>
                <w:bCs/>
                <w:color w:val="000000"/>
                <w:sz w:val="16"/>
                <w:szCs w:val="18"/>
              </w:rPr>
              <w:t>10-15 кг</w:t>
            </w:r>
          </w:p>
        </w:tc>
        <w:tc>
          <w:tcPr>
            <w:tcW w:w="970" w:type="dxa"/>
            <w:tcBorders>
              <w:top w:val="nil"/>
              <w:left w:val="nil"/>
              <w:right w:val="nil"/>
            </w:tcBorders>
            <w:shd w:val="clear" w:color="auto" w:fill="C1C8E4"/>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b/>
                <w:bCs/>
                <w:color w:val="000000"/>
                <w:sz w:val="16"/>
                <w:szCs w:val="18"/>
              </w:rPr>
              <w:t>16-23 кг</w:t>
            </w:r>
          </w:p>
        </w:tc>
        <w:tc>
          <w:tcPr>
            <w:tcW w:w="926" w:type="dxa"/>
            <w:tcBorders>
              <w:top w:val="nil"/>
              <w:left w:val="nil"/>
              <w:right w:val="nil"/>
            </w:tcBorders>
            <w:shd w:val="clear" w:color="auto" w:fill="C1C8E4"/>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b/>
                <w:bCs/>
                <w:color w:val="000000"/>
                <w:sz w:val="16"/>
                <w:szCs w:val="18"/>
              </w:rPr>
              <w:t>24-30 кг</w:t>
            </w:r>
          </w:p>
        </w:tc>
        <w:tc>
          <w:tcPr>
            <w:tcW w:w="989" w:type="dxa"/>
            <w:tcBorders>
              <w:top w:val="nil"/>
              <w:left w:val="nil"/>
              <w:right w:val="nil"/>
            </w:tcBorders>
            <w:shd w:val="clear" w:color="auto" w:fill="C1C8E4"/>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b/>
                <w:bCs/>
                <w:color w:val="000000"/>
                <w:sz w:val="16"/>
                <w:szCs w:val="18"/>
              </w:rPr>
              <w:t>31-34 кг</w:t>
            </w:r>
          </w:p>
        </w:tc>
        <w:tc>
          <w:tcPr>
            <w:tcW w:w="907" w:type="dxa"/>
            <w:tcBorders>
              <w:top w:val="nil"/>
              <w:left w:val="nil"/>
              <w:right w:val="nil"/>
            </w:tcBorders>
            <w:shd w:val="clear" w:color="auto" w:fill="C1C8E4"/>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b/>
                <w:bCs/>
                <w:color w:val="000000"/>
                <w:sz w:val="16"/>
                <w:szCs w:val="18"/>
              </w:rPr>
              <w:t>&gt;34 кг</w:t>
            </w:r>
          </w:p>
        </w:tc>
        <w:tc>
          <w:tcPr>
            <w:tcW w:w="830" w:type="dxa"/>
            <w:vMerge/>
            <w:tcBorders>
              <w:top w:val="nil"/>
              <w:left w:val="nil"/>
              <w:bottom w:val="nil"/>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p>
          <w:p w:rsidR="005225B5" w:rsidRPr="006263CF" w:rsidRDefault="005225B5" w:rsidP="00080638">
            <w:pPr>
              <w:jc w:val="center"/>
              <w:rPr>
                <w:rFonts w:asciiTheme="minorHAnsi" w:hAnsiTheme="minorHAnsi" w:cstheme="minorHAnsi"/>
                <w:sz w:val="18"/>
              </w:rPr>
            </w:pPr>
          </w:p>
        </w:tc>
        <w:tc>
          <w:tcPr>
            <w:tcW w:w="1608" w:type="dxa"/>
            <w:vMerge/>
            <w:tcBorders>
              <w:top w:val="nil"/>
              <w:left w:val="nil"/>
              <w:bottom w:val="nil"/>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p>
          <w:p w:rsidR="005225B5" w:rsidRPr="006263CF" w:rsidRDefault="005225B5" w:rsidP="00080638">
            <w:pPr>
              <w:jc w:val="center"/>
              <w:rPr>
                <w:rFonts w:asciiTheme="minorHAnsi" w:hAnsiTheme="minorHAnsi" w:cstheme="minorHAnsi"/>
                <w:sz w:val="18"/>
              </w:rPr>
            </w:pPr>
          </w:p>
        </w:tc>
      </w:tr>
      <w:tr w:rsidR="005225B5" w:rsidRPr="006263CF" w:rsidTr="00815B61">
        <w:trPr>
          <w:trHeight w:hRule="exact" w:val="346"/>
        </w:trPr>
        <w:tc>
          <w:tcPr>
            <w:tcW w:w="950" w:type="dxa"/>
            <w:vMerge w:val="restart"/>
            <w:tcBorders>
              <w:top w:val="nil"/>
              <w:left w:val="nil"/>
              <w:bottom w:val="nil"/>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b/>
                <w:bCs/>
                <w:color w:val="000000"/>
                <w:sz w:val="24"/>
                <w:szCs w:val="28"/>
              </w:rPr>
              <w:t>С</w:t>
            </w:r>
          </w:p>
        </w:tc>
        <w:tc>
          <w:tcPr>
            <w:tcW w:w="1454" w:type="dxa"/>
            <w:vMerge w:val="restart"/>
            <w:tcBorders>
              <w:top w:val="nil"/>
              <w:left w:val="nil"/>
              <w:bottom w:val="nil"/>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Етамбутол</w:t>
            </w:r>
          </w:p>
        </w:tc>
        <w:tc>
          <w:tcPr>
            <w:tcW w:w="1128" w:type="dxa"/>
            <w:vMerge w:val="restart"/>
            <w:tcBorders>
              <w:top w:val="nil"/>
              <w:left w:val="nil"/>
              <w:bottom w:val="nil"/>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15-25 мг/кг</w:t>
            </w:r>
          </w:p>
        </w:tc>
        <w:tc>
          <w:tcPr>
            <w:tcW w:w="1469" w:type="dxa"/>
            <w:tcBorders>
              <w:top w:val="nil"/>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100 мг тд</w:t>
            </w:r>
          </w:p>
        </w:tc>
        <w:tc>
          <w:tcPr>
            <w:tcW w:w="778" w:type="dxa"/>
            <w:tcBorders>
              <w:top w:val="nil"/>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1</w:t>
            </w:r>
          </w:p>
        </w:tc>
        <w:tc>
          <w:tcPr>
            <w:tcW w:w="1051" w:type="dxa"/>
            <w:tcBorders>
              <w:top w:val="nil"/>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2</w:t>
            </w:r>
          </w:p>
        </w:tc>
        <w:tc>
          <w:tcPr>
            <w:tcW w:w="989" w:type="dxa"/>
            <w:tcBorders>
              <w:top w:val="nil"/>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3</w:t>
            </w:r>
          </w:p>
        </w:tc>
        <w:tc>
          <w:tcPr>
            <w:tcW w:w="970" w:type="dxa"/>
            <w:tcBorders>
              <w:top w:val="nil"/>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4</w:t>
            </w:r>
          </w:p>
        </w:tc>
        <w:tc>
          <w:tcPr>
            <w:tcW w:w="926" w:type="dxa"/>
            <w:tcBorders>
              <w:top w:val="nil"/>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w:t>
            </w:r>
          </w:p>
        </w:tc>
        <w:tc>
          <w:tcPr>
            <w:tcW w:w="989" w:type="dxa"/>
            <w:tcBorders>
              <w:top w:val="nil"/>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w:t>
            </w:r>
          </w:p>
        </w:tc>
        <w:tc>
          <w:tcPr>
            <w:tcW w:w="907" w:type="dxa"/>
            <w:tcBorders>
              <w:top w:val="nil"/>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(&gt;14 р)</w:t>
            </w:r>
          </w:p>
        </w:tc>
        <w:tc>
          <w:tcPr>
            <w:tcW w:w="830" w:type="dxa"/>
            <w:vMerge w:val="restart"/>
            <w:tcBorders>
              <w:top w:val="nil"/>
              <w:left w:val="nil"/>
              <w:bottom w:val="nil"/>
              <w:right w:val="nil"/>
            </w:tcBorders>
            <w:shd w:val="clear" w:color="auto" w:fill="FFFFFF"/>
            <w:vAlign w:val="center"/>
          </w:tcPr>
          <w:p w:rsidR="005225B5" w:rsidRPr="006263CF" w:rsidRDefault="00815B61" w:rsidP="00080638">
            <w:pPr>
              <w:jc w:val="center"/>
              <w:rPr>
                <w:rFonts w:asciiTheme="minorHAnsi" w:hAnsiTheme="minorHAnsi" w:cstheme="minorHAnsi"/>
                <w:sz w:val="18"/>
              </w:rPr>
            </w:pPr>
            <w:r>
              <w:rPr>
                <w:rFonts w:asciiTheme="minorHAnsi" w:hAnsiTheme="minorHAnsi" w:cstheme="minorHAnsi"/>
                <w:sz w:val="18"/>
              </w:rPr>
              <w:t>-</w:t>
            </w:r>
          </w:p>
        </w:tc>
        <w:tc>
          <w:tcPr>
            <w:tcW w:w="1608" w:type="dxa"/>
            <w:vMerge w:val="restart"/>
            <w:tcBorders>
              <w:top w:val="nil"/>
              <w:left w:val="nil"/>
              <w:bottom w:val="nil"/>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p>
        </w:tc>
      </w:tr>
      <w:tr w:rsidR="005225B5" w:rsidRPr="006263CF" w:rsidTr="00815B61">
        <w:trPr>
          <w:trHeight w:hRule="exact" w:val="360"/>
        </w:trPr>
        <w:tc>
          <w:tcPr>
            <w:tcW w:w="950" w:type="dxa"/>
            <w:vMerge/>
            <w:tcBorders>
              <w:top w:val="nil"/>
              <w:left w:val="nil"/>
              <w:bottom w:val="nil"/>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p>
          <w:p w:rsidR="005225B5" w:rsidRPr="006263CF" w:rsidRDefault="005225B5" w:rsidP="00080638">
            <w:pPr>
              <w:jc w:val="center"/>
              <w:rPr>
                <w:rFonts w:asciiTheme="minorHAnsi" w:hAnsiTheme="minorHAnsi" w:cstheme="minorHAnsi"/>
                <w:sz w:val="18"/>
              </w:rPr>
            </w:pPr>
          </w:p>
        </w:tc>
        <w:tc>
          <w:tcPr>
            <w:tcW w:w="1454" w:type="dxa"/>
            <w:vMerge/>
            <w:tcBorders>
              <w:top w:val="nil"/>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p>
          <w:p w:rsidR="005225B5" w:rsidRPr="006263CF" w:rsidRDefault="005225B5" w:rsidP="00080638">
            <w:pPr>
              <w:jc w:val="center"/>
              <w:rPr>
                <w:rFonts w:asciiTheme="minorHAnsi" w:hAnsiTheme="minorHAnsi" w:cstheme="minorHAnsi"/>
                <w:sz w:val="18"/>
              </w:rPr>
            </w:pPr>
          </w:p>
        </w:tc>
        <w:tc>
          <w:tcPr>
            <w:tcW w:w="1128" w:type="dxa"/>
            <w:vMerge/>
            <w:tcBorders>
              <w:top w:val="nil"/>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p>
          <w:p w:rsidR="005225B5" w:rsidRPr="006263CF" w:rsidRDefault="005225B5" w:rsidP="00080638">
            <w:pPr>
              <w:jc w:val="center"/>
              <w:rPr>
                <w:rFonts w:asciiTheme="minorHAnsi" w:hAnsiTheme="minorHAnsi" w:cstheme="minorHAnsi"/>
                <w:sz w:val="18"/>
              </w:rPr>
            </w:pPr>
          </w:p>
        </w:tc>
        <w:tc>
          <w:tcPr>
            <w:tcW w:w="1469"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400 мг таб</w:t>
            </w:r>
            <w:r w:rsidRPr="006263CF">
              <w:rPr>
                <w:rFonts w:asciiTheme="minorHAnsi" w:hAnsiTheme="minorHAnsi" w:cstheme="minorHAnsi"/>
                <w:color w:val="000000"/>
                <w:sz w:val="16"/>
                <w:szCs w:val="18"/>
                <w:vertAlign w:val="superscript"/>
              </w:rPr>
              <w:t>c</w:t>
            </w:r>
          </w:p>
        </w:tc>
        <w:tc>
          <w:tcPr>
            <w:tcW w:w="778"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3 мл</w:t>
            </w:r>
            <w:r w:rsidRPr="006263CF">
              <w:rPr>
                <w:rFonts w:asciiTheme="minorHAnsi" w:hAnsiTheme="minorHAnsi" w:cstheme="minorHAnsi"/>
                <w:color w:val="000000"/>
                <w:sz w:val="16"/>
                <w:szCs w:val="18"/>
                <w:vertAlign w:val="superscript"/>
              </w:rPr>
              <w:t>c</w:t>
            </w:r>
          </w:p>
        </w:tc>
        <w:tc>
          <w:tcPr>
            <w:tcW w:w="1051"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4 мл</w:t>
            </w:r>
            <w:r w:rsidRPr="006263CF">
              <w:rPr>
                <w:rFonts w:asciiTheme="minorHAnsi" w:hAnsiTheme="minorHAnsi" w:cstheme="minorHAnsi"/>
                <w:color w:val="000000"/>
                <w:sz w:val="16"/>
                <w:szCs w:val="18"/>
                <w:vertAlign w:val="superscript"/>
              </w:rPr>
              <w:t>c</w:t>
            </w:r>
          </w:p>
        </w:tc>
        <w:tc>
          <w:tcPr>
            <w:tcW w:w="989"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6 мл</w:t>
            </w:r>
            <w:r w:rsidRPr="006263CF">
              <w:rPr>
                <w:rFonts w:asciiTheme="minorHAnsi" w:hAnsiTheme="minorHAnsi" w:cstheme="minorHAnsi"/>
                <w:color w:val="000000"/>
                <w:sz w:val="16"/>
                <w:szCs w:val="18"/>
                <w:vertAlign w:val="superscript"/>
              </w:rPr>
              <w:t>c</w:t>
            </w:r>
          </w:p>
        </w:tc>
        <w:tc>
          <w:tcPr>
            <w:tcW w:w="970"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1</w:t>
            </w:r>
          </w:p>
        </w:tc>
        <w:tc>
          <w:tcPr>
            <w:tcW w:w="926"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1 або 1.5</w:t>
            </w:r>
          </w:p>
        </w:tc>
        <w:tc>
          <w:tcPr>
            <w:tcW w:w="989"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2</w:t>
            </w:r>
          </w:p>
        </w:tc>
        <w:tc>
          <w:tcPr>
            <w:tcW w:w="907"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(&gt;14 р)</w:t>
            </w:r>
          </w:p>
        </w:tc>
        <w:tc>
          <w:tcPr>
            <w:tcW w:w="830" w:type="dxa"/>
            <w:vMerge/>
            <w:tcBorders>
              <w:top w:val="nil"/>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p>
          <w:p w:rsidR="005225B5" w:rsidRPr="006263CF" w:rsidRDefault="005225B5" w:rsidP="00080638">
            <w:pPr>
              <w:jc w:val="center"/>
              <w:rPr>
                <w:rFonts w:asciiTheme="minorHAnsi" w:hAnsiTheme="minorHAnsi" w:cstheme="minorHAnsi"/>
                <w:sz w:val="18"/>
              </w:rPr>
            </w:pPr>
          </w:p>
        </w:tc>
        <w:tc>
          <w:tcPr>
            <w:tcW w:w="1608" w:type="dxa"/>
            <w:vMerge/>
            <w:tcBorders>
              <w:top w:val="nil"/>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p>
          <w:p w:rsidR="005225B5" w:rsidRPr="006263CF" w:rsidRDefault="005225B5" w:rsidP="00080638">
            <w:pPr>
              <w:jc w:val="center"/>
              <w:rPr>
                <w:rFonts w:asciiTheme="minorHAnsi" w:hAnsiTheme="minorHAnsi" w:cstheme="minorHAnsi"/>
                <w:sz w:val="18"/>
              </w:rPr>
            </w:pPr>
          </w:p>
        </w:tc>
      </w:tr>
      <w:tr w:rsidR="005225B5" w:rsidRPr="006263CF" w:rsidTr="00815B61">
        <w:trPr>
          <w:trHeight w:hRule="exact" w:val="1555"/>
        </w:trPr>
        <w:tc>
          <w:tcPr>
            <w:tcW w:w="950" w:type="dxa"/>
            <w:vMerge/>
            <w:tcBorders>
              <w:top w:val="nil"/>
              <w:left w:val="nil"/>
              <w:bottom w:val="nil"/>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p>
          <w:p w:rsidR="005225B5" w:rsidRPr="006263CF" w:rsidRDefault="005225B5" w:rsidP="00080638">
            <w:pPr>
              <w:jc w:val="center"/>
              <w:rPr>
                <w:rFonts w:asciiTheme="minorHAnsi" w:hAnsiTheme="minorHAnsi" w:cstheme="minorHAnsi"/>
                <w:sz w:val="18"/>
              </w:rPr>
            </w:pPr>
          </w:p>
        </w:tc>
        <w:tc>
          <w:tcPr>
            <w:tcW w:w="1454"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Деламанід</w:t>
            </w:r>
          </w:p>
        </w:tc>
        <w:tc>
          <w:tcPr>
            <w:tcW w:w="1128"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w:t>
            </w:r>
          </w:p>
        </w:tc>
        <w:tc>
          <w:tcPr>
            <w:tcW w:w="1469"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50 мг таб</w:t>
            </w:r>
          </w:p>
        </w:tc>
        <w:tc>
          <w:tcPr>
            <w:tcW w:w="778"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w:t>
            </w:r>
          </w:p>
        </w:tc>
        <w:tc>
          <w:tcPr>
            <w:tcW w:w="1051"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tabs>
                <w:tab w:val="left" w:pos="667"/>
              </w:tabs>
              <w:jc w:val="center"/>
              <w:rPr>
                <w:rFonts w:asciiTheme="minorHAnsi" w:hAnsiTheme="minorHAnsi" w:cstheme="minorHAnsi"/>
                <w:sz w:val="18"/>
              </w:rPr>
            </w:pPr>
          </w:p>
        </w:tc>
        <w:tc>
          <w:tcPr>
            <w:tcW w:w="989"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tabs>
                <w:tab w:val="left" w:pos="571"/>
              </w:tabs>
              <w:jc w:val="center"/>
              <w:rPr>
                <w:rFonts w:asciiTheme="minorHAnsi" w:hAnsiTheme="minorHAnsi" w:cstheme="minorHAnsi"/>
                <w:sz w:val="18"/>
              </w:rPr>
            </w:pPr>
          </w:p>
        </w:tc>
        <w:tc>
          <w:tcPr>
            <w:tcW w:w="970"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tabs>
                <w:tab w:val="left" w:pos="533"/>
              </w:tabs>
              <w:jc w:val="center"/>
              <w:rPr>
                <w:rFonts w:asciiTheme="minorHAnsi" w:hAnsiTheme="minorHAnsi" w:cstheme="minorHAnsi"/>
                <w:sz w:val="18"/>
              </w:rPr>
            </w:pPr>
          </w:p>
        </w:tc>
        <w:tc>
          <w:tcPr>
            <w:tcW w:w="926"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1 2 рази на день</w:t>
            </w:r>
          </w:p>
        </w:tc>
        <w:tc>
          <w:tcPr>
            <w:tcW w:w="989"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1 2 рази на день</w:t>
            </w:r>
          </w:p>
        </w:tc>
        <w:tc>
          <w:tcPr>
            <w:tcW w:w="907"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2 рази на день</w:t>
            </w:r>
          </w:p>
        </w:tc>
        <w:tc>
          <w:tcPr>
            <w:tcW w:w="830"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200 мг</w:t>
            </w:r>
          </w:p>
        </w:tc>
        <w:tc>
          <w:tcPr>
            <w:tcW w:w="1608"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Тільки пацієнти у віці&gt; 2 років (25 мг 2 рази на день за 3–5 років; 50 мг 2 рази на день за 6–11 років; 100 мг 2 рази на день за 12–17 років).</w:t>
            </w:r>
          </w:p>
        </w:tc>
      </w:tr>
      <w:tr w:rsidR="005225B5" w:rsidRPr="006263CF" w:rsidTr="00815B61">
        <w:trPr>
          <w:trHeight w:hRule="exact" w:val="360"/>
        </w:trPr>
        <w:tc>
          <w:tcPr>
            <w:tcW w:w="950" w:type="dxa"/>
            <w:vMerge/>
            <w:tcBorders>
              <w:top w:val="nil"/>
              <w:left w:val="nil"/>
              <w:bottom w:val="nil"/>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p>
          <w:p w:rsidR="005225B5" w:rsidRPr="006263CF" w:rsidRDefault="005225B5" w:rsidP="00080638">
            <w:pPr>
              <w:jc w:val="center"/>
              <w:rPr>
                <w:rFonts w:asciiTheme="minorHAnsi" w:hAnsiTheme="minorHAnsi" w:cstheme="minorHAnsi"/>
                <w:sz w:val="18"/>
              </w:rPr>
            </w:pPr>
          </w:p>
        </w:tc>
        <w:tc>
          <w:tcPr>
            <w:tcW w:w="1454" w:type="dxa"/>
            <w:vMerge w:val="restart"/>
            <w:tcBorders>
              <w:top w:val="single" w:sz="4" w:space="0" w:color="1F61AA"/>
              <w:left w:val="nil"/>
              <w:bottom w:val="nil"/>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Піразинамід</w:t>
            </w:r>
          </w:p>
        </w:tc>
        <w:tc>
          <w:tcPr>
            <w:tcW w:w="1128" w:type="dxa"/>
            <w:vMerge w:val="restart"/>
            <w:tcBorders>
              <w:top w:val="single" w:sz="4" w:space="0" w:color="1F61AA"/>
              <w:left w:val="nil"/>
              <w:bottom w:val="nil"/>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30-40 мг/кг</w:t>
            </w:r>
          </w:p>
        </w:tc>
        <w:tc>
          <w:tcPr>
            <w:tcW w:w="1469"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150 мг тд</w:t>
            </w:r>
          </w:p>
        </w:tc>
        <w:tc>
          <w:tcPr>
            <w:tcW w:w="778"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1</w:t>
            </w:r>
          </w:p>
        </w:tc>
        <w:tc>
          <w:tcPr>
            <w:tcW w:w="1051"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i/>
                <w:iCs/>
                <w:color w:val="000000"/>
                <w:sz w:val="16"/>
                <w:szCs w:val="18"/>
              </w:rPr>
              <w:t>2</w:t>
            </w:r>
          </w:p>
        </w:tc>
        <w:tc>
          <w:tcPr>
            <w:tcW w:w="989"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3</w:t>
            </w:r>
          </w:p>
        </w:tc>
        <w:tc>
          <w:tcPr>
            <w:tcW w:w="970"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4 або 5</w:t>
            </w:r>
          </w:p>
        </w:tc>
        <w:tc>
          <w:tcPr>
            <w:tcW w:w="926"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w:t>
            </w:r>
          </w:p>
        </w:tc>
        <w:tc>
          <w:tcPr>
            <w:tcW w:w="989"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w:t>
            </w:r>
          </w:p>
        </w:tc>
        <w:tc>
          <w:tcPr>
            <w:tcW w:w="907"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(&gt;14 р)</w:t>
            </w:r>
          </w:p>
        </w:tc>
        <w:tc>
          <w:tcPr>
            <w:tcW w:w="830" w:type="dxa"/>
            <w:tcBorders>
              <w:top w:val="single" w:sz="4" w:space="0" w:color="1F61AA"/>
              <w:left w:val="nil"/>
              <w:bottom w:val="nil"/>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p>
        </w:tc>
        <w:tc>
          <w:tcPr>
            <w:tcW w:w="1608" w:type="dxa"/>
            <w:tcBorders>
              <w:top w:val="single" w:sz="4" w:space="0" w:color="1F61AA"/>
              <w:left w:val="nil"/>
              <w:bottom w:val="nil"/>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p>
        </w:tc>
      </w:tr>
      <w:tr w:rsidR="005225B5" w:rsidRPr="006263CF" w:rsidTr="00815B61">
        <w:trPr>
          <w:trHeight w:hRule="exact" w:val="355"/>
        </w:trPr>
        <w:tc>
          <w:tcPr>
            <w:tcW w:w="950" w:type="dxa"/>
            <w:vMerge/>
            <w:tcBorders>
              <w:top w:val="nil"/>
              <w:left w:val="nil"/>
              <w:bottom w:val="nil"/>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p>
          <w:p w:rsidR="005225B5" w:rsidRPr="006263CF" w:rsidRDefault="005225B5" w:rsidP="00080638">
            <w:pPr>
              <w:jc w:val="center"/>
              <w:rPr>
                <w:rFonts w:asciiTheme="minorHAnsi" w:hAnsiTheme="minorHAnsi" w:cstheme="minorHAnsi"/>
                <w:sz w:val="18"/>
              </w:rPr>
            </w:pPr>
          </w:p>
        </w:tc>
        <w:tc>
          <w:tcPr>
            <w:tcW w:w="1454" w:type="dxa"/>
            <w:vMerge/>
            <w:tcBorders>
              <w:top w:val="nil"/>
              <w:left w:val="nil"/>
              <w:bottom w:val="nil"/>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p>
          <w:p w:rsidR="005225B5" w:rsidRPr="006263CF" w:rsidRDefault="005225B5" w:rsidP="00080638">
            <w:pPr>
              <w:jc w:val="center"/>
              <w:rPr>
                <w:rFonts w:asciiTheme="minorHAnsi" w:hAnsiTheme="minorHAnsi" w:cstheme="minorHAnsi"/>
                <w:sz w:val="18"/>
              </w:rPr>
            </w:pPr>
          </w:p>
        </w:tc>
        <w:tc>
          <w:tcPr>
            <w:tcW w:w="1128" w:type="dxa"/>
            <w:vMerge/>
            <w:tcBorders>
              <w:top w:val="nil"/>
              <w:left w:val="nil"/>
              <w:bottom w:val="nil"/>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p>
          <w:p w:rsidR="005225B5" w:rsidRPr="006263CF" w:rsidRDefault="005225B5" w:rsidP="00080638">
            <w:pPr>
              <w:jc w:val="center"/>
              <w:rPr>
                <w:rFonts w:asciiTheme="minorHAnsi" w:hAnsiTheme="minorHAnsi" w:cstheme="minorHAnsi"/>
                <w:sz w:val="18"/>
              </w:rPr>
            </w:pPr>
          </w:p>
        </w:tc>
        <w:tc>
          <w:tcPr>
            <w:tcW w:w="1469"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400 мг таб</w:t>
            </w:r>
          </w:p>
        </w:tc>
        <w:tc>
          <w:tcPr>
            <w:tcW w:w="778"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0,5</w:t>
            </w:r>
          </w:p>
        </w:tc>
        <w:tc>
          <w:tcPr>
            <w:tcW w:w="1051"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075</w:t>
            </w:r>
          </w:p>
        </w:tc>
        <w:tc>
          <w:tcPr>
            <w:tcW w:w="989"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1</w:t>
            </w:r>
          </w:p>
        </w:tc>
        <w:tc>
          <w:tcPr>
            <w:tcW w:w="970"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1.5 або 2</w:t>
            </w:r>
          </w:p>
        </w:tc>
        <w:tc>
          <w:tcPr>
            <w:tcW w:w="926"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2,5</w:t>
            </w:r>
          </w:p>
        </w:tc>
        <w:tc>
          <w:tcPr>
            <w:tcW w:w="989"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3</w:t>
            </w:r>
          </w:p>
        </w:tc>
        <w:tc>
          <w:tcPr>
            <w:tcW w:w="907"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(&gt;14 р)</w:t>
            </w:r>
          </w:p>
        </w:tc>
        <w:tc>
          <w:tcPr>
            <w:tcW w:w="830" w:type="dxa"/>
            <w:tcBorders>
              <w:top w:val="nil"/>
              <w:left w:val="nil"/>
              <w:bottom w:val="nil"/>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w:t>
            </w:r>
          </w:p>
        </w:tc>
        <w:tc>
          <w:tcPr>
            <w:tcW w:w="1608" w:type="dxa"/>
            <w:tcBorders>
              <w:top w:val="nil"/>
              <w:left w:val="nil"/>
              <w:bottom w:val="nil"/>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p>
        </w:tc>
      </w:tr>
      <w:tr w:rsidR="005225B5" w:rsidRPr="006263CF" w:rsidTr="00815B61">
        <w:trPr>
          <w:trHeight w:hRule="exact" w:val="360"/>
        </w:trPr>
        <w:tc>
          <w:tcPr>
            <w:tcW w:w="950" w:type="dxa"/>
            <w:vMerge/>
            <w:tcBorders>
              <w:top w:val="nil"/>
              <w:left w:val="nil"/>
              <w:bottom w:val="nil"/>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p>
          <w:p w:rsidR="005225B5" w:rsidRPr="006263CF" w:rsidRDefault="005225B5" w:rsidP="00080638">
            <w:pPr>
              <w:jc w:val="center"/>
              <w:rPr>
                <w:rFonts w:asciiTheme="minorHAnsi" w:hAnsiTheme="minorHAnsi" w:cstheme="minorHAnsi"/>
                <w:sz w:val="18"/>
              </w:rPr>
            </w:pPr>
          </w:p>
        </w:tc>
        <w:tc>
          <w:tcPr>
            <w:tcW w:w="1454" w:type="dxa"/>
            <w:vMerge/>
            <w:tcBorders>
              <w:top w:val="nil"/>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p>
          <w:p w:rsidR="005225B5" w:rsidRPr="006263CF" w:rsidRDefault="005225B5" w:rsidP="00080638">
            <w:pPr>
              <w:jc w:val="center"/>
              <w:rPr>
                <w:rFonts w:asciiTheme="minorHAnsi" w:hAnsiTheme="minorHAnsi" w:cstheme="minorHAnsi"/>
                <w:sz w:val="18"/>
              </w:rPr>
            </w:pPr>
          </w:p>
        </w:tc>
        <w:tc>
          <w:tcPr>
            <w:tcW w:w="1128" w:type="dxa"/>
            <w:vMerge/>
            <w:tcBorders>
              <w:top w:val="nil"/>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p>
          <w:p w:rsidR="005225B5" w:rsidRPr="006263CF" w:rsidRDefault="005225B5" w:rsidP="00080638">
            <w:pPr>
              <w:jc w:val="center"/>
              <w:rPr>
                <w:rFonts w:asciiTheme="minorHAnsi" w:hAnsiTheme="minorHAnsi" w:cstheme="minorHAnsi"/>
                <w:sz w:val="18"/>
              </w:rPr>
            </w:pPr>
          </w:p>
        </w:tc>
        <w:tc>
          <w:tcPr>
            <w:tcW w:w="1469"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500 мг таб</w:t>
            </w:r>
          </w:p>
        </w:tc>
        <w:tc>
          <w:tcPr>
            <w:tcW w:w="778"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0,5</w:t>
            </w:r>
          </w:p>
        </w:tc>
        <w:tc>
          <w:tcPr>
            <w:tcW w:w="1051"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0,5</w:t>
            </w:r>
          </w:p>
        </w:tc>
        <w:tc>
          <w:tcPr>
            <w:tcW w:w="989"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0,75 або 1</w:t>
            </w:r>
          </w:p>
        </w:tc>
        <w:tc>
          <w:tcPr>
            <w:tcW w:w="970"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1,5</w:t>
            </w:r>
          </w:p>
        </w:tc>
        <w:tc>
          <w:tcPr>
            <w:tcW w:w="926"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2</w:t>
            </w:r>
          </w:p>
        </w:tc>
        <w:tc>
          <w:tcPr>
            <w:tcW w:w="989"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2,5</w:t>
            </w:r>
          </w:p>
        </w:tc>
        <w:tc>
          <w:tcPr>
            <w:tcW w:w="907"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(&gt;14 р)</w:t>
            </w:r>
          </w:p>
        </w:tc>
        <w:tc>
          <w:tcPr>
            <w:tcW w:w="830" w:type="dxa"/>
            <w:tcBorders>
              <w:top w:val="nil"/>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p>
        </w:tc>
        <w:tc>
          <w:tcPr>
            <w:tcW w:w="1608" w:type="dxa"/>
            <w:tcBorders>
              <w:top w:val="nil"/>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p>
        </w:tc>
      </w:tr>
      <w:tr w:rsidR="005225B5" w:rsidRPr="006263CF" w:rsidTr="00815B61">
        <w:trPr>
          <w:trHeight w:hRule="exact" w:val="960"/>
        </w:trPr>
        <w:tc>
          <w:tcPr>
            <w:tcW w:w="950" w:type="dxa"/>
            <w:vMerge/>
            <w:tcBorders>
              <w:top w:val="nil"/>
              <w:left w:val="nil"/>
              <w:bottom w:val="nil"/>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p>
          <w:p w:rsidR="005225B5" w:rsidRPr="006263CF" w:rsidRDefault="005225B5" w:rsidP="00080638">
            <w:pPr>
              <w:jc w:val="center"/>
              <w:rPr>
                <w:rFonts w:asciiTheme="minorHAnsi" w:hAnsiTheme="minorHAnsi" w:cstheme="minorHAnsi"/>
                <w:sz w:val="18"/>
              </w:rPr>
            </w:pPr>
          </w:p>
        </w:tc>
        <w:tc>
          <w:tcPr>
            <w:tcW w:w="1454"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Іміпенем-</w:t>
            </w:r>
            <w:r w:rsidR="00815B61">
              <w:rPr>
                <w:rFonts w:asciiTheme="minorHAnsi" w:hAnsiTheme="minorHAnsi" w:cstheme="minorHAnsi"/>
                <w:color w:val="000000"/>
                <w:sz w:val="16"/>
                <w:szCs w:val="18"/>
              </w:rPr>
              <w:t xml:space="preserve"> </w:t>
            </w:r>
            <w:r w:rsidRPr="006263CF">
              <w:rPr>
                <w:rFonts w:asciiTheme="minorHAnsi" w:hAnsiTheme="minorHAnsi" w:cstheme="minorHAnsi"/>
                <w:color w:val="000000"/>
                <w:sz w:val="16"/>
                <w:szCs w:val="18"/>
              </w:rPr>
              <w:t>циластатин</w:t>
            </w:r>
          </w:p>
        </w:tc>
        <w:tc>
          <w:tcPr>
            <w:tcW w:w="1128"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w:t>
            </w:r>
          </w:p>
        </w:tc>
        <w:tc>
          <w:tcPr>
            <w:tcW w:w="1469"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500 мг +</w:t>
            </w:r>
          </w:p>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500 мг порошку</w:t>
            </w:r>
          </w:p>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для ін’єкцій, флакон</w:t>
            </w:r>
          </w:p>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(10 мл)</w:t>
            </w:r>
          </w:p>
        </w:tc>
        <w:tc>
          <w:tcPr>
            <w:tcW w:w="778"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w:t>
            </w:r>
          </w:p>
        </w:tc>
        <w:tc>
          <w:tcPr>
            <w:tcW w:w="1051"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w:t>
            </w:r>
          </w:p>
        </w:tc>
        <w:tc>
          <w:tcPr>
            <w:tcW w:w="989"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w:t>
            </w:r>
          </w:p>
        </w:tc>
        <w:tc>
          <w:tcPr>
            <w:tcW w:w="970"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w:t>
            </w:r>
          </w:p>
        </w:tc>
        <w:tc>
          <w:tcPr>
            <w:tcW w:w="926"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w:t>
            </w:r>
          </w:p>
        </w:tc>
        <w:tc>
          <w:tcPr>
            <w:tcW w:w="989"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w:t>
            </w:r>
          </w:p>
        </w:tc>
        <w:tc>
          <w:tcPr>
            <w:tcW w:w="907"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w:t>
            </w:r>
          </w:p>
        </w:tc>
        <w:tc>
          <w:tcPr>
            <w:tcW w:w="830"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w:t>
            </w:r>
          </w:p>
        </w:tc>
        <w:tc>
          <w:tcPr>
            <w:tcW w:w="1608"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Не застосовується пацієнтами віком &lt;15 років (застосовують меропенем).</w:t>
            </w:r>
          </w:p>
        </w:tc>
      </w:tr>
      <w:tr w:rsidR="005225B5" w:rsidRPr="006263CF" w:rsidTr="00815B61">
        <w:trPr>
          <w:trHeight w:hRule="exact" w:val="955"/>
        </w:trPr>
        <w:tc>
          <w:tcPr>
            <w:tcW w:w="950" w:type="dxa"/>
            <w:vMerge/>
            <w:tcBorders>
              <w:top w:val="nil"/>
              <w:left w:val="nil"/>
              <w:bottom w:val="nil"/>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p>
          <w:p w:rsidR="005225B5" w:rsidRPr="006263CF" w:rsidRDefault="005225B5" w:rsidP="00080638">
            <w:pPr>
              <w:jc w:val="center"/>
              <w:rPr>
                <w:rFonts w:asciiTheme="minorHAnsi" w:hAnsiTheme="minorHAnsi" w:cstheme="minorHAnsi"/>
                <w:sz w:val="18"/>
              </w:rPr>
            </w:pPr>
          </w:p>
        </w:tc>
        <w:tc>
          <w:tcPr>
            <w:tcW w:w="1454"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Меропенем</w:t>
            </w:r>
          </w:p>
        </w:tc>
        <w:tc>
          <w:tcPr>
            <w:tcW w:w="1128"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20-40 мг/кг кожні 8</w:t>
            </w:r>
          </w:p>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годин</w:t>
            </w:r>
          </w:p>
        </w:tc>
        <w:tc>
          <w:tcPr>
            <w:tcW w:w="1469"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1 г порошку для</w:t>
            </w:r>
          </w:p>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ін’єкцій, флакон</w:t>
            </w:r>
          </w:p>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(20 мл)</w:t>
            </w:r>
          </w:p>
        </w:tc>
        <w:tc>
          <w:tcPr>
            <w:tcW w:w="778"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2 мл</w:t>
            </w:r>
          </w:p>
        </w:tc>
        <w:tc>
          <w:tcPr>
            <w:tcW w:w="1051"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4 мл</w:t>
            </w:r>
          </w:p>
        </w:tc>
        <w:tc>
          <w:tcPr>
            <w:tcW w:w="989"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6 мл</w:t>
            </w:r>
          </w:p>
        </w:tc>
        <w:tc>
          <w:tcPr>
            <w:tcW w:w="970"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8-9 мл</w:t>
            </w:r>
          </w:p>
        </w:tc>
        <w:tc>
          <w:tcPr>
            <w:tcW w:w="926"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11 мл</w:t>
            </w:r>
          </w:p>
        </w:tc>
        <w:tc>
          <w:tcPr>
            <w:tcW w:w="989"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(&gt;14 р)</w:t>
            </w:r>
          </w:p>
        </w:tc>
        <w:tc>
          <w:tcPr>
            <w:tcW w:w="907"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(&gt;14 р)</w:t>
            </w:r>
          </w:p>
        </w:tc>
        <w:tc>
          <w:tcPr>
            <w:tcW w:w="830"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w:t>
            </w:r>
          </w:p>
        </w:tc>
        <w:tc>
          <w:tcPr>
            <w:tcW w:w="1608"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Вживати з клавулановою кислотою.</w:t>
            </w:r>
          </w:p>
        </w:tc>
      </w:tr>
      <w:tr w:rsidR="005225B5" w:rsidRPr="006263CF" w:rsidTr="00815B61">
        <w:trPr>
          <w:trHeight w:hRule="exact" w:val="960"/>
        </w:trPr>
        <w:tc>
          <w:tcPr>
            <w:tcW w:w="950" w:type="dxa"/>
            <w:vMerge/>
            <w:tcBorders>
              <w:top w:val="nil"/>
              <w:left w:val="nil"/>
              <w:bottom w:val="nil"/>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p>
          <w:p w:rsidR="005225B5" w:rsidRPr="006263CF" w:rsidRDefault="005225B5" w:rsidP="00080638">
            <w:pPr>
              <w:jc w:val="center"/>
              <w:rPr>
                <w:rFonts w:asciiTheme="minorHAnsi" w:hAnsiTheme="minorHAnsi" w:cstheme="minorHAnsi"/>
                <w:sz w:val="18"/>
              </w:rPr>
            </w:pPr>
          </w:p>
        </w:tc>
        <w:tc>
          <w:tcPr>
            <w:tcW w:w="1454"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Амікацин</w:t>
            </w:r>
          </w:p>
        </w:tc>
        <w:tc>
          <w:tcPr>
            <w:tcW w:w="1128"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15-20 мг/кг</w:t>
            </w:r>
          </w:p>
        </w:tc>
        <w:tc>
          <w:tcPr>
            <w:tcW w:w="1469"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500 мг/2 мл</w:t>
            </w:r>
          </w:p>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розчин для</w:t>
            </w:r>
          </w:p>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ін'єкцій,</w:t>
            </w:r>
          </w:p>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ампула</w:t>
            </w:r>
            <w:r w:rsidRPr="006263CF">
              <w:rPr>
                <w:rFonts w:asciiTheme="minorHAnsi" w:hAnsiTheme="minorHAnsi" w:cstheme="minorHAnsi"/>
                <w:color w:val="000000"/>
                <w:sz w:val="16"/>
                <w:szCs w:val="18"/>
                <w:vertAlign w:val="superscript"/>
              </w:rPr>
              <w:t>g</w:t>
            </w:r>
          </w:p>
        </w:tc>
        <w:tc>
          <w:tcPr>
            <w:tcW w:w="778"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0,4 мл</w:t>
            </w:r>
          </w:p>
        </w:tc>
        <w:tc>
          <w:tcPr>
            <w:tcW w:w="1051"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0,6 мл</w:t>
            </w:r>
          </w:p>
        </w:tc>
        <w:tc>
          <w:tcPr>
            <w:tcW w:w="989"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0,8-1,0 мл</w:t>
            </w:r>
          </w:p>
        </w:tc>
        <w:tc>
          <w:tcPr>
            <w:tcW w:w="970"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1,2-1,5 мл</w:t>
            </w:r>
          </w:p>
        </w:tc>
        <w:tc>
          <w:tcPr>
            <w:tcW w:w="926"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2,0 мл</w:t>
            </w:r>
          </w:p>
        </w:tc>
        <w:tc>
          <w:tcPr>
            <w:tcW w:w="989"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(&gt;14 р)</w:t>
            </w:r>
          </w:p>
        </w:tc>
        <w:tc>
          <w:tcPr>
            <w:tcW w:w="907"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(&gt;14 р)</w:t>
            </w:r>
          </w:p>
        </w:tc>
        <w:tc>
          <w:tcPr>
            <w:tcW w:w="830"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1 г</w:t>
            </w:r>
          </w:p>
        </w:tc>
        <w:tc>
          <w:tcPr>
            <w:tcW w:w="1608"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p>
        </w:tc>
      </w:tr>
      <w:tr w:rsidR="005225B5" w:rsidRPr="006263CF" w:rsidTr="00815B61">
        <w:trPr>
          <w:trHeight w:hRule="exact" w:val="557"/>
        </w:trPr>
        <w:tc>
          <w:tcPr>
            <w:tcW w:w="950" w:type="dxa"/>
            <w:vMerge/>
            <w:tcBorders>
              <w:top w:val="nil"/>
              <w:left w:val="nil"/>
              <w:bottom w:val="nil"/>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p>
          <w:p w:rsidR="005225B5" w:rsidRPr="006263CF" w:rsidRDefault="005225B5" w:rsidP="00080638">
            <w:pPr>
              <w:jc w:val="center"/>
              <w:rPr>
                <w:rFonts w:asciiTheme="minorHAnsi" w:hAnsiTheme="minorHAnsi" w:cstheme="minorHAnsi"/>
                <w:sz w:val="18"/>
              </w:rPr>
            </w:pPr>
          </w:p>
        </w:tc>
        <w:tc>
          <w:tcPr>
            <w:tcW w:w="1454"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Стрептоміцин</w:t>
            </w:r>
          </w:p>
        </w:tc>
        <w:tc>
          <w:tcPr>
            <w:tcW w:w="1128"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20-40 мг/кг</w:t>
            </w:r>
          </w:p>
        </w:tc>
        <w:tc>
          <w:tcPr>
            <w:tcW w:w="1469"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1 г порошку для ін’єкцій, флакон</w:t>
            </w:r>
            <w:r w:rsidRPr="006263CF">
              <w:rPr>
                <w:rFonts w:asciiTheme="minorHAnsi" w:hAnsiTheme="minorHAnsi" w:cstheme="minorHAnsi"/>
                <w:color w:val="000000"/>
                <w:sz w:val="16"/>
                <w:szCs w:val="18"/>
                <w:vertAlign w:val="superscript"/>
              </w:rPr>
              <w:t>g</w:t>
            </w:r>
          </w:p>
        </w:tc>
        <w:tc>
          <w:tcPr>
            <w:tcW w:w="4714" w:type="dxa"/>
            <w:gridSpan w:val="5"/>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Розрахуйте відповідно до використовуваного розведення</w:t>
            </w:r>
          </w:p>
        </w:tc>
        <w:tc>
          <w:tcPr>
            <w:tcW w:w="989"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(&gt;14 р)</w:t>
            </w:r>
          </w:p>
        </w:tc>
        <w:tc>
          <w:tcPr>
            <w:tcW w:w="907"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(&gt;14 р)</w:t>
            </w:r>
          </w:p>
        </w:tc>
        <w:tc>
          <w:tcPr>
            <w:tcW w:w="830"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r w:rsidRPr="006263CF">
              <w:rPr>
                <w:rFonts w:asciiTheme="minorHAnsi" w:hAnsiTheme="minorHAnsi" w:cstheme="minorHAnsi"/>
                <w:color w:val="000000"/>
                <w:sz w:val="16"/>
                <w:szCs w:val="18"/>
              </w:rPr>
              <w:t>1 г</w:t>
            </w:r>
          </w:p>
        </w:tc>
        <w:tc>
          <w:tcPr>
            <w:tcW w:w="1608" w:type="dxa"/>
            <w:tcBorders>
              <w:top w:val="single" w:sz="4" w:space="0" w:color="1F61AA"/>
              <w:left w:val="nil"/>
              <w:bottom w:val="single" w:sz="4" w:space="0" w:color="1F61AA"/>
              <w:right w:val="nil"/>
            </w:tcBorders>
            <w:shd w:val="clear" w:color="auto" w:fill="FFFFFF"/>
            <w:vAlign w:val="center"/>
          </w:tcPr>
          <w:p w:rsidR="005225B5" w:rsidRPr="006263CF" w:rsidRDefault="005225B5" w:rsidP="00080638">
            <w:pPr>
              <w:jc w:val="center"/>
              <w:rPr>
                <w:rFonts w:asciiTheme="minorHAnsi" w:hAnsiTheme="minorHAnsi" w:cstheme="minorHAnsi"/>
                <w:sz w:val="18"/>
              </w:rPr>
            </w:pPr>
          </w:p>
        </w:tc>
      </w:tr>
      <w:tr w:rsidR="00815B61" w:rsidRPr="006263CF" w:rsidTr="00395867">
        <w:trPr>
          <w:trHeight w:hRule="exact" w:val="557"/>
        </w:trPr>
        <w:tc>
          <w:tcPr>
            <w:tcW w:w="950" w:type="dxa"/>
            <w:vMerge/>
            <w:tcBorders>
              <w:top w:val="nil"/>
              <w:left w:val="nil"/>
              <w:bottom w:val="nil"/>
              <w:right w:val="nil"/>
            </w:tcBorders>
            <w:shd w:val="clear" w:color="auto" w:fill="FFFFFF"/>
            <w:vAlign w:val="center"/>
          </w:tcPr>
          <w:p w:rsidR="00815B61" w:rsidRPr="006263CF" w:rsidRDefault="00815B61" w:rsidP="00080638">
            <w:pPr>
              <w:jc w:val="center"/>
              <w:rPr>
                <w:rFonts w:asciiTheme="minorHAnsi" w:hAnsiTheme="minorHAnsi" w:cstheme="minorHAnsi"/>
                <w:sz w:val="18"/>
              </w:rPr>
            </w:pPr>
          </w:p>
          <w:p w:rsidR="00815B61" w:rsidRPr="006263CF" w:rsidRDefault="00815B61" w:rsidP="00080638">
            <w:pPr>
              <w:jc w:val="center"/>
              <w:rPr>
                <w:rFonts w:asciiTheme="minorHAnsi" w:hAnsiTheme="minorHAnsi" w:cstheme="minorHAnsi"/>
                <w:sz w:val="18"/>
              </w:rPr>
            </w:pPr>
          </w:p>
        </w:tc>
        <w:tc>
          <w:tcPr>
            <w:tcW w:w="1454" w:type="dxa"/>
            <w:vMerge w:val="restart"/>
            <w:tcBorders>
              <w:top w:val="single" w:sz="4" w:space="0" w:color="1F61AA"/>
              <w:left w:val="nil"/>
              <w:bottom w:val="nil"/>
              <w:right w:val="nil"/>
            </w:tcBorders>
            <w:shd w:val="clear" w:color="auto" w:fill="FFFFFF"/>
            <w:vAlign w:val="center"/>
          </w:tcPr>
          <w:p w:rsidR="00815B61" w:rsidRPr="006263CF" w:rsidRDefault="00815B61" w:rsidP="00080638">
            <w:pPr>
              <w:jc w:val="center"/>
              <w:rPr>
                <w:rFonts w:asciiTheme="minorHAnsi" w:hAnsiTheme="minorHAnsi" w:cstheme="minorHAnsi"/>
                <w:sz w:val="18"/>
              </w:rPr>
            </w:pPr>
            <w:r w:rsidRPr="006263CF">
              <w:rPr>
                <w:rFonts w:asciiTheme="minorHAnsi" w:hAnsiTheme="minorHAnsi" w:cstheme="minorHAnsi"/>
                <w:color w:val="000000"/>
                <w:sz w:val="16"/>
                <w:szCs w:val="18"/>
              </w:rPr>
              <w:t>Етіонамід або протіонамід</w:t>
            </w:r>
          </w:p>
        </w:tc>
        <w:tc>
          <w:tcPr>
            <w:tcW w:w="1128" w:type="dxa"/>
            <w:vMerge w:val="restart"/>
            <w:tcBorders>
              <w:top w:val="single" w:sz="4" w:space="0" w:color="1F61AA"/>
              <w:left w:val="nil"/>
              <w:bottom w:val="nil"/>
              <w:right w:val="nil"/>
            </w:tcBorders>
            <w:shd w:val="clear" w:color="auto" w:fill="FFFFFF"/>
            <w:vAlign w:val="center"/>
          </w:tcPr>
          <w:p w:rsidR="00815B61" w:rsidRPr="006263CF" w:rsidRDefault="00815B61" w:rsidP="00080638">
            <w:pPr>
              <w:jc w:val="center"/>
              <w:rPr>
                <w:rFonts w:asciiTheme="minorHAnsi" w:hAnsiTheme="minorHAnsi" w:cstheme="minorHAnsi"/>
                <w:sz w:val="18"/>
              </w:rPr>
            </w:pPr>
            <w:r w:rsidRPr="006263CF">
              <w:rPr>
                <w:rFonts w:asciiTheme="minorHAnsi" w:hAnsiTheme="minorHAnsi" w:cstheme="minorHAnsi"/>
                <w:color w:val="000000"/>
                <w:sz w:val="16"/>
                <w:szCs w:val="18"/>
              </w:rPr>
              <w:t>15-20 мг/кг</w:t>
            </w:r>
          </w:p>
        </w:tc>
        <w:tc>
          <w:tcPr>
            <w:tcW w:w="1469" w:type="dxa"/>
            <w:tcBorders>
              <w:top w:val="single" w:sz="4" w:space="0" w:color="1F61AA"/>
              <w:left w:val="nil"/>
              <w:bottom w:val="single" w:sz="4" w:space="0" w:color="1F61AA"/>
              <w:right w:val="nil"/>
            </w:tcBorders>
            <w:shd w:val="clear" w:color="auto" w:fill="FFFFFF"/>
            <w:vAlign w:val="center"/>
          </w:tcPr>
          <w:p w:rsidR="00815B61" w:rsidRPr="006263CF" w:rsidRDefault="00815B61" w:rsidP="00080638">
            <w:pPr>
              <w:jc w:val="center"/>
              <w:rPr>
                <w:rFonts w:asciiTheme="minorHAnsi" w:hAnsiTheme="minorHAnsi" w:cstheme="minorHAnsi"/>
                <w:sz w:val="18"/>
              </w:rPr>
            </w:pPr>
            <w:r w:rsidRPr="006263CF">
              <w:rPr>
                <w:rFonts w:asciiTheme="minorHAnsi" w:hAnsiTheme="minorHAnsi" w:cstheme="minorHAnsi"/>
                <w:color w:val="000000"/>
                <w:sz w:val="16"/>
                <w:szCs w:val="18"/>
              </w:rPr>
              <w:t>125 мг тд (етіонамід)</w:t>
            </w:r>
          </w:p>
        </w:tc>
        <w:tc>
          <w:tcPr>
            <w:tcW w:w="778" w:type="dxa"/>
            <w:tcBorders>
              <w:top w:val="single" w:sz="4" w:space="0" w:color="1F61AA"/>
              <w:left w:val="nil"/>
              <w:bottom w:val="single" w:sz="4" w:space="0" w:color="1F61AA"/>
              <w:right w:val="nil"/>
            </w:tcBorders>
            <w:shd w:val="clear" w:color="auto" w:fill="FFFFFF"/>
            <w:vAlign w:val="center"/>
          </w:tcPr>
          <w:p w:rsidR="00815B61" w:rsidRPr="006263CF" w:rsidRDefault="00815B61" w:rsidP="00080638">
            <w:pPr>
              <w:jc w:val="center"/>
              <w:rPr>
                <w:rFonts w:asciiTheme="minorHAnsi" w:hAnsiTheme="minorHAnsi" w:cstheme="minorHAnsi"/>
                <w:sz w:val="18"/>
              </w:rPr>
            </w:pPr>
            <w:r w:rsidRPr="006263CF">
              <w:rPr>
                <w:rFonts w:asciiTheme="minorHAnsi" w:hAnsiTheme="minorHAnsi" w:cstheme="minorHAnsi"/>
                <w:color w:val="000000"/>
                <w:sz w:val="16"/>
                <w:szCs w:val="18"/>
              </w:rPr>
              <w:t>1</w:t>
            </w:r>
          </w:p>
        </w:tc>
        <w:tc>
          <w:tcPr>
            <w:tcW w:w="1051" w:type="dxa"/>
            <w:tcBorders>
              <w:top w:val="single" w:sz="4" w:space="0" w:color="1F61AA"/>
              <w:left w:val="nil"/>
              <w:bottom w:val="single" w:sz="4" w:space="0" w:color="1F61AA"/>
              <w:right w:val="nil"/>
            </w:tcBorders>
            <w:shd w:val="clear" w:color="auto" w:fill="FFFFFF"/>
            <w:vAlign w:val="center"/>
          </w:tcPr>
          <w:p w:rsidR="00815B61" w:rsidRPr="006263CF" w:rsidRDefault="00815B61" w:rsidP="00080638">
            <w:pPr>
              <w:jc w:val="center"/>
              <w:rPr>
                <w:rFonts w:asciiTheme="minorHAnsi" w:hAnsiTheme="minorHAnsi" w:cstheme="minorHAnsi"/>
                <w:sz w:val="18"/>
              </w:rPr>
            </w:pPr>
            <w:r w:rsidRPr="006263CF">
              <w:rPr>
                <w:rFonts w:asciiTheme="minorHAnsi" w:hAnsiTheme="minorHAnsi" w:cstheme="minorHAnsi"/>
                <w:color w:val="000000"/>
                <w:sz w:val="16"/>
                <w:szCs w:val="18"/>
              </w:rPr>
              <w:t>1</w:t>
            </w:r>
          </w:p>
        </w:tc>
        <w:tc>
          <w:tcPr>
            <w:tcW w:w="989" w:type="dxa"/>
            <w:tcBorders>
              <w:top w:val="single" w:sz="4" w:space="0" w:color="1F61AA"/>
              <w:left w:val="nil"/>
              <w:bottom w:val="single" w:sz="4" w:space="0" w:color="1F61AA"/>
              <w:right w:val="nil"/>
            </w:tcBorders>
            <w:shd w:val="clear" w:color="auto" w:fill="FFFFFF"/>
            <w:vAlign w:val="center"/>
          </w:tcPr>
          <w:p w:rsidR="00815B61" w:rsidRPr="006263CF" w:rsidRDefault="00815B61" w:rsidP="00080638">
            <w:pPr>
              <w:jc w:val="center"/>
              <w:rPr>
                <w:rFonts w:asciiTheme="minorHAnsi" w:hAnsiTheme="minorHAnsi" w:cstheme="minorHAnsi"/>
                <w:sz w:val="18"/>
              </w:rPr>
            </w:pPr>
            <w:r w:rsidRPr="006263CF">
              <w:rPr>
                <w:rFonts w:asciiTheme="minorHAnsi" w:hAnsiTheme="minorHAnsi" w:cstheme="minorHAnsi"/>
                <w:color w:val="000000"/>
                <w:sz w:val="16"/>
                <w:szCs w:val="18"/>
              </w:rPr>
              <w:t>2</w:t>
            </w:r>
          </w:p>
        </w:tc>
        <w:tc>
          <w:tcPr>
            <w:tcW w:w="970" w:type="dxa"/>
            <w:tcBorders>
              <w:top w:val="single" w:sz="4" w:space="0" w:color="1F61AA"/>
              <w:left w:val="nil"/>
              <w:bottom w:val="single" w:sz="4" w:space="0" w:color="1F61AA"/>
              <w:right w:val="nil"/>
            </w:tcBorders>
            <w:shd w:val="clear" w:color="auto" w:fill="FFFFFF"/>
            <w:vAlign w:val="center"/>
          </w:tcPr>
          <w:p w:rsidR="00815B61" w:rsidRPr="006263CF" w:rsidRDefault="00815B61" w:rsidP="00080638">
            <w:pPr>
              <w:jc w:val="center"/>
              <w:rPr>
                <w:rFonts w:asciiTheme="minorHAnsi" w:hAnsiTheme="minorHAnsi" w:cstheme="minorHAnsi"/>
                <w:sz w:val="18"/>
              </w:rPr>
            </w:pPr>
            <w:r w:rsidRPr="006263CF">
              <w:rPr>
                <w:rFonts w:asciiTheme="minorHAnsi" w:hAnsiTheme="minorHAnsi" w:cstheme="minorHAnsi"/>
                <w:color w:val="000000"/>
                <w:sz w:val="16"/>
                <w:szCs w:val="18"/>
              </w:rPr>
              <w:t>3</w:t>
            </w:r>
          </w:p>
        </w:tc>
        <w:tc>
          <w:tcPr>
            <w:tcW w:w="926" w:type="dxa"/>
            <w:tcBorders>
              <w:top w:val="single" w:sz="4" w:space="0" w:color="1F61AA"/>
              <w:left w:val="nil"/>
              <w:bottom w:val="single" w:sz="4" w:space="0" w:color="1F61AA"/>
              <w:right w:val="nil"/>
            </w:tcBorders>
            <w:shd w:val="clear" w:color="auto" w:fill="FFFFFF"/>
            <w:vAlign w:val="center"/>
          </w:tcPr>
          <w:p w:rsidR="00815B61" w:rsidRPr="006263CF" w:rsidRDefault="00815B61" w:rsidP="00080638">
            <w:pPr>
              <w:jc w:val="center"/>
              <w:rPr>
                <w:rFonts w:asciiTheme="minorHAnsi" w:hAnsiTheme="minorHAnsi" w:cstheme="minorHAnsi"/>
                <w:sz w:val="18"/>
              </w:rPr>
            </w:pPr>
            <w:r w:rsidRPr="006263CF">
              <w:rPr>
                <w:rFonts w:asciiTheme="minorHAnsi" w:hAnsiTheme="minorHAnsi" w:cstheme="minorHAnsi"/>
                <w:color w:val="000000"/>
                <w:sz w:val="16"/>
                <w:szCs w:val="18"/>
              </w:rPr>
              <w:t>4</w:t>
            </w:r>
          </w:p>
        </w:tc>
        <w:tc>
          <w:tcPr>
            <w:tcW w:w="989" w:type="dxa"/>
            <w:tcBorders>
              <w:top w:val="single" w:sz="4" w:space="0" w:color="1F61AA"/>
              <w:left w:val="nil"/>
              <w:bottom w:val="single" w:sz="4" w:space="0" w:color="1F61AA"/>
              <w:right w:val="nil"/>
            </w:tcBorders>
            <w:shd w:val="clear" w:color="auto" w:fill="FFFFFF"/>
            <w:vAlign w:val="center"/>
          </w:tcPr>
          <w:p w:rsidR="00815B61" w:rsidRPr="006263CF" w:rsidRDefault="00815B61" w:rsidP="00080638">
            <w:pPr>
              <w:jc w:val="center"/>
              <w:rPr>
                <w:rFonts w:asciiTheme="minorHAnsi" w:hAnsiTheme="minorHAnsi" w:cstheme="minorHAnsi"/>
                <w:sz w:val="18"/>
              </w:rPr>
            </w:pPr>
            <w:r w:rsidRPr="006263CF">
              <w:rPr>
                <w:rFonts w:asciiTheme="minorHAnsi" w:hAnsiTheme="minorHAnsi" w:cstheme="minorHAnsi"/>
                <w:color w:val="000000"/>
                <w:sz w:val="16"/>
                <w:szCs w:val="18"/>
              </w:rPr>
              <w:t>4</w:t>
            </w:r>
          </w:p>
        </w:tc>
        <w:tc>
          <w:tcPr>
            <w:tcW w:w="907" w:type="dxa"/>
            <w:tcBorders>
              <w:top w:val="single" w:sz="4" w:space="0" w:color="1F61AA"/>
              <w:left w:val="nil"/>
              <w:bottom w:val="single" w:sz="4" w:space="0" w:color="1F61AA"/>
              <w:right w:val="nil"/>
            </w:tcBorders>
            <w:shd w:val="clear" w:color="auto" w:fill="FFFFFF"/>
            <w:vAlign w:val="center"/>
          </w:tcPr>
          <w:p w:rsidR="00815B61" w:rsidRPr="006263CF" w:rsidRDefault="00815B61" w:rsidP="00080638">
            <w:pPr>
              <w:jc w:val="center"/>
              <w:rPr>
                <w:rFonts w:asciiTheme="minorHAnsi" w:hAnsiTheme="minorHAnsi" w:cstheme="minorHAnsi"/>
                <w:sz w:val="18"/>
              </w:rPr>
            </w:pPr>
            <w:r w:rsidRPr="006263CF">
              <w:rPr>
                <w:rFonts w:asciiTheme="minorHAnsi" w:hAnsiTheme="minorHAnsi" w:cstheme="minorHAnsi"/>
                <w:color w:val="000000"/>
                <w:sz w:val="16"/>
                <w:szCs w:val="18"/>
              </w:rPr>
              <w:t>(&gt;14 р)</w:t>
            </w:r>
          </w:p>
        </w:tc>
        <w:tc>
          <w:tcPr>
            <w:tcW w:w="830" w:type="dxa"/>
            <w:tcBorders>
              <w:top w:val="single" w:sz="4" w:space="0" w:color="1F61AA"/>
              <w:left w:val="nil"/>
              <w:bottom w:val="single" w:sz="4" w:space="0" w:color="1F61AA"/>
              <w:right w:val="nil"/>
            </w:tcBorders>
            <w:shd w:val="clear" w:color="auto" w:fill="FFFFFF"/>
            <w:vAlign w:val="center"/>
          </w:tcPr>
          <w:p w:rsidR="00815B61" w:rsidRPr="006263CF" w:rsidRDefault="00815B61" w:rsidP="00080638">
            <w:pPr>
              <w:jc w:val="center"/>
              <w:rPr>
                <w:rFonts w:asciiTheme="minorHAnsi" w:hAnsiTheme="minorHAnsi" w:cstheme="minorHAnsi"/>
                <w:sz w:val="18"/>
              </w:rPr>
            </w:pPr>
            <w:r w:rsidRPr="006263CF">
              <w:rPr>
                <w:rFonts w:asciiTheme="minorHAnsi" w:hAnsiTheme="minorHAnsi" w:cstheme="minorHAnsi"/>
                <w:color w:val="000000"/>
                <w:sz w:val="16"/>
                <w:szCs w:val="18"/>
              </w:rPr>
              <w:t>1 г</w:t>
            </w:r>
          </w:p>
        </w:tc>
        <w:tc>
          <w:tcPr>
            <w:tcW w:w="1608" w:type="dxa"/>
            <w:vMerge w:val="restart"/>
            <w:tcBorders>
              <w:top w:val="single" w:sz="4" w:space="0" w:color="1F61AA"/>
              <w:left w:val="nil"/>
              <w:right w:val="nil"/>
            </w:tcBorders>
            <w:shd w:val="clear" w:color="auto" w:fill="FFFFFF"/>
            <w:vAlign w:val="center"/>
          </w:tcPr>
          <w:p w:rsidR="00815B61" w:rsidRPr="006263CF" w:rsidRDefault="00815B61" w:rsidP="00080638">
            <w:pPr>
              <w:jc w:val="center"/>
              <w:rPr>
                <w:rFonts w:asciiTheme="minorHAnsi" w:hAnsiTheme="minorHAnsi" w:cstheme="minorHAnsi"/>
                <w:sz w:val="18"/>
              </w:rPr>
            </w:pPr>
          </w:p>
        </w:tc>
      </w:tr>
      <w:tr w:rsidR="00815B61" w:rsidRPr="006263CF" w:rsidTr="00395867">
        <w:trPr>
          <w:trHeight w:hRule="exact" w:val="365"/>
        </w:trPr>
        <w:tc>
          <w:tcPr>
            <w:tcW w:w="950" w:type="dxa"/>
            <w:vMerge/>
            <w:tcBorders>
              <w:top w:val="nil"/>
              <w:left w:val="nil"/>
              <w:bottom w:val="nil"/>
              <w:right w:val="nil"/>
            </w:tcBorders>
            <w:shd w:val="clear" w:color="auto" w:fill="FFFFFF"/>
            <w:vAlign w:val="center"/>
          </w:tcPr>
          <w:p w:rsidR="00815B61" w:rsidRPr="006263CF" w:rsidRDefault="00815B61" w:rsidP="00080638">
            <w:pPr>
              <w:jc w:val="center"/>
              <w:rPr>
                <w:rFonts w:asciiTheme="minorHAnsi" w:hAnsiTheme="minorHAnsi" w:cstheme="minorHAnsi"/>
                <w:sz w:val="18"/>
              </w:rPr>
            </w:pPr>
          </w:p>
          <w:p w:rsidR="00815B61" w:rsidRPr="006263CF" w:rsidRDefault="00815B61" w:rsidP="00080638">
            <w:pPr>
              <w:jc w:val="center"/>
              <w:rPr>
                <w:rFonts w:asciiTheme="minorHAnsi" w:hAnsiTheme="minorHAnsi" w:cstheme="minorHAnsi"/>
                <w:sz w:val="18"/>
              </w:rPr>
            </w:pPr>
          </w:p>
        </w:tc>
        <w:tc>
          <w:tcPr>
            <w:tcW w:w="1454" w:type="dxa"/>
            <w:vMerge/>
            <w:tcBorders>
              <w:top w:val="nil"/>
              <w:left w:val="nil"/>
              <w:bottom w:val="single" w:sz="4" w:space="0" w:color="1F61AA"/>
              <w:right w:val="nil"/>
            </w:tcBorders>
            <w:shd w:val="clear" w:color="auto" w:fill="FFFFFF"/>
            <w:vAlign w:val="center"/>
          </w:tcPr>
          <w:p w:rsidR="00815B61" w:rsidRPr="006263CF" w:rsidRDefault="00815B61" w:rsidP="00080638">
            <w:pPr>
              <w:jc w:val="center"/>
              <w:rPr>
                <w:rFonts w:asciiTheme="minorHAnsi" w:hAnsiTheme="minorHAnsi" w:cstheme="minorHAnsi"/>
                <w:sz w:val="18"/>
              </w:rPr>
            </w:pPr>
          </w:p>
          <w:p w:rsidR="00815B61" w:rsidRPr="006263CF" w:rsidRDefault="00815B61" w:rsidP="00080638">
            <w:pPr>
              <w:jc w:val="center"/>
              <w:rPr>
                <w:rFonts w:asciiTheme="minorHAnsi" w:hAnsiTheme="minorHAnsi" w:cstheme="minorHAnsi"/>
                <w:sz w:val="18"/>
              </w:rPr>
            </w:pPr>
          </w:p>
        </w:tc>
        <w:tc>
          <w:tcPr>
            <w:tcW w:w="1128" w:type="dxa"/>
            <w:vMerge/>
            <w:tcBorders>
              <w:top w:val="nil"/>
              <w:left w:val="nil"/>
              <w:bottom w:val="single" w:sz="4" w:space="0" w:color="1F61AA"/>
              <w:right w:val="nil"/>
            </w:tcBorders>
            <w:shd w:val="clear" w:color="auto" w:fill="FFFFFF"/>
            <w:vAlign w:val="center"/>
          </w:tcPr>
          <w:p w:rsidR="00815B61" w:rsidRPr="006263CF" w:rsidRDefault="00815B61" w:rsidP="00080638">
            <w:pPr>
              <w:jc w:val="center"/>
              <w:rPr>
                <w:rFonts w:asciiTheme="minorHAnsi" w:hAnsiTheme="minorHAnsi" w:cstheme="minorHAnsi"/>
                <w:sz w:val="18"/>
              </w:rPr>
            </w:pPr>
          </w:p>
          <w:p w:rsidR="00815B61" w:rsidRPr="006263CF" w:rsidRDefault="00815B61" w:rsidP="00080638">
            <w:pPr>
              <w:jc w:val="center"/>
              <w:rPr>
                <w:rFonts w:asciiTheme="minorHAnsi" w:hAnsiTheme="minorHAnsi" w:cstheme="minorHAnsi"/>
                <w:sz w:val="18"/>
              </w:rPr>
            </w:pPr>
          </w:p>
        </w:tc>
        <w:tc>
          <w:tcPr>
            <w:tcW w:w="1469" w:type="dxa"/>
            <w:tcBorders>
              <w:top w:val="single" w:sz="4" w:space="0" w:color="1F61AA"/>
              <w:left w:val="nil"/>
              <w:bottom w:val="single" w:sz="4" w:space="0" w:color="1F61AA"/>
              <w:right w:val="nil"/>
            </w:tcBorders>
            <w:shd w:val="clear" w:color="auto" w:fill="FFFFFF"/>
            <w:vAlign w:val="center"/>
          </w:tcPr>
          <w:p w:rsidR="00815B61" w:rsidRPr="006263CF" w:rsidRDefault="00815B61" w:rsidP="00080638">
            <w:pPr>
              <w:jc w:val="center"/>
              <w:rPr>
                <w:rFonts w:asciiTheme="minorHAnsi" w:hAnsiTheme="minorHAnsi" w:cstheme="minorHAnsi"/>
                <w:sz w:val="18"/>
              </w:rPr>
            </w:pPr>
            <w:r w:rsidRPr="006263CF">
              <w:rPr>
                <w:rFonts w:asciiTheme="minorHAnsi" w:hAnsiTheme="minorHAnsi" w:cstheme="minorHAnsi"/>
                <w:color w:val="000000"/>
                <w:sz w:val="16"/>
                <w:szCs w:val="18"/>
              </w:rPr>
              <w:t>250 мг таб</w:t>
            </w:r>
          </w:p>
        </w:tc>
        <w:tc>
          <w:tcPr>
            <w:tcW w:w="778" w:type="dxa"/>
            <w:tcBorders>
              <w:top w:val="single" w:sz="4" w:space="0" w:color="1F61AA"/>
              <w:left w:val="nil"/>
              <w:bottom w:val="single" w:sz="4" w:space="0" w:color="1F61AA"/>
              <w:right w:val="nil"/>
            </w:tcBorders>
            <w:shd w:val="clear" w:color="auto" w:fill="FFFFFF"/>
            <w:vAlign w:val="center"/>
          </w:tcPr>
          <w:p w:rsidR="00815B61" w:rsidRPr="006263CF" w:rsidRDefault="00815B61" w:rsidP="00080638">
            <w:pPr>
              <w:jc w:val="center"/>
              <w:rPr>
                <w:rFonts w:asciiTheme="minorHAnsi" w:hAnsiTheme="minorHAnsi" w:cstheme="minorHAnsi"/>
                <w:sz w:val="18"/>
              </w:rPr>
            </w:pPr>
            <w:r w:rsidRPr="006263CF">
              <w:rPr>
                <w:rFonts w:asciiTheme="minorHAnsi" w:hAnsiTheme="minorHAnsi" w:cstheme="minorHAnsi"/>
                <w:color w:val="000000"/>
                <w:sz w:val="16"/>
                <w:szCs w:val="18"/>
              </w:rPr>
              <w:t>0,5</w:t>
            </w:r>
          </w:p>
        </w:tc>
        <w:tc>
          <w:tcPr>
            <w:tcW w:w="1051" w:type="dxa"/>
            <w:tcBorders>
              <w:top w:val="single" w:sz="4" w:space="0" w:color="1F61AA"/>
              <w:left w:val="nil"/>
              <w:bottom w:val="single" w:sz="4" w:space="0" w:color="1F61AA"/>
              <w:right w:val="nil"/>
            </w:tcBorders>
            <w:shd w:val="clear" w:color="auto" w:fill="FFFFFF"/>
            <w:vAlign w:val="center"/>
          </w:tcPr>
          <w:p w:rsidR="00815B61" w:rsidRPr="006263CF" w:rsidRDefault="00815B61" w:rsidP="00080638">
            <w:pPr>
              <w:jc w:val="center"/>
              <w:rPr>
                <w:rFonts w:asciiTheme="minorHAnsi" w:hAnsiTheme="minorHAnsi" w:cstheme="minorHAnsi"/>
                <w:sz w:val="18"/>
              </w:rPr>
            </w:pPr>
            <w:r w:rsidRPr="006263CF">
              <w:rPr>
                <w:rFonts w:asciiTheme="minorHAnsi" w:hAnsiTheme="minorHAnsi" w:cstheme="minorHAnsi"/>
                <w:color w:val="000000"/>
                <w:sz w:val="16"/>
                <w:szCs w:val="18"/>
              </w:rPr>
              <w:t>0,5</w:t>
            </w:r>
          </w:p>
        </w:tc>
        <w:tc>
          <w:tcPr>
            <w:tcW w:w="989" w:type="dxa"/>
            <w:tcBorders>
              <w:top w:val="single" w:sz="4" w:space="0" w:color="1F61AA"/>
              <w:left w:val="nil"/>
              <w:bottom w:val="single" w:sz="4" w:space="0" w:color="1F61AA"/>
              <w:right w:val="nil"/>
            </w:tcBorders>
            <w:shd w:val="clear" w:color="auto" w:fill="FFFFFF"/>
            <w:vAlign w:val="center"/>
          </w:tcPr>
          <w:p w:rsidR="00815B61" w:rsidRPr="006263CF" w:rsidRDefault="00815B61" w:rsidP="00080638">
            <w:pPr>
              <w:jc w:val="center"/>
              <w:rPr>
                <w:rFonts w:asciiTheme="minorHAnsi" w:hAnsiTheme="minorHAnsi" w:cstheme="minorHAnsi"/>
                <w:sz w:val="18"/>
              </w:rPr>
            </w:pPr>
            <w:r w:rsidRPr="006263CF">
              <w:rPr>
                <w:rFonts w:asciiTheme="minorHAnsi" w:hAnsiTheme="minorHAnsi" w:cstheme="minorHAnsi"/>
                <w:color w:val="000000"/>
                <w:sz w:val="16"/>
                <w:szCs w:val="18"/>
              </w:rPr>
              <w:t>1</w:t>
            </w:r>
          </w:p>
        </w:tc>
        <w:tc>
          <w:tcPr>
            <w:tcW w:w="970" w:type="dxa"/>
            <w:tcBorders>
              <w:top w:val="single" w:sz="4" w:space="0" w:color="1F61AA"/>
              <w:left w:val="nil"/>
              <w:bottom w:val="single" w:sz="4" w:space="0" w:color="1F61AA"/>
              <w:right w:val="nil"/>
            </w:tcBorders>
            <w:shd w:val="clear" w:color="auto" w:fill="FFFFFF"/>
            <w:vAlign w:val="center"/>
          </w:tcPr>
          <w:p w:rsidR="00815B61" w:rsidRPr="006263CF" w:rsidRDefault="00815B61" w:rsidP="00080638">
            <w:pPr>
              <w:jc w:val="center"/>
              <w:rPr>
                <w:rFonts w:asciiTheme="minorHAnsi" w:hAnsiTheme="minorHAnsi" w:cstheme="minorHAnsi"/>
                <w:sz w:val="18"/>
              </w:rPr>
            </w:pPr>
            <w:r w:rsidRPr="006263CF">
              <w:rPr>
                <w:rFonts w:asciiTheme="minorHAnsi" w:hAnsiTheme="minorHAnsi" w:cstheme="minorHAnsi"/>
                <w:color w:val="000000"/>
                <w:sz w:val="16"/>
                <w:szCs w:val="18"/>
              </w:rPr>
              <w:t>2</w:t>
            </w:r>
          </w:p>
        </w:tc>
        <w:tc>
          <w:tcPr>
            <w:tcW w:w="926" w:type="dxa"/>
            <w:tcBorders>
              <w:top w:val="single" w:sz="4" w:space="0" w:color="1F61AA"/>
              <w:left w:val="nil"/>
              <w:bottom w:val="single" w:sz="4" w:space="0" w:color="1F61AA"/>
              <w:right w:val="nil"/>
            </w:tcBorders>
            <w:shd w:val="clear" w:color="auto" w:fill="FFFFFF"/>
            <w:vAlign w:val="center"/>
          </w:tcPr>
          <w:p w:rsidR="00815B61" w:rsidRPr="006263CF" w:rsidRDefault="00815B61" w:rsidP="00080638">
            <w:pPr>
              <w:jc w:val="center"/>
              <w:rPr>
                <w:rFonts w:asciiTheme="minorHAnsi" w:hAnsiTheme="minorHAnsi" w:cstheme="minorHAnsi"/>
                <w:sz w:val="18"/>
              </w:rPr>
            </w:pPr>
            <w:r w:rsidRPr="006263CF">
              <w:rPr>
                <w:rFonts w:asciiTheme="minorHAnsi" w:hAnsiTheme="minorHAnsi" w:cstheme="minorHAnsi"/>
                <w:color w:val="000000"/>
                <w:sz w:val="16"/>
                <w:szCs w:val="18"/>
              </w:rPr>
              <w:t>2</w:t>
            </w:r>
          </w:p>
        </w:tc>
        <w:tc>
          <w:tcPr>
            <w:tcW w:w="989" w:type="dxa"/>
            <w:tcBorders>
              <w:top w:val="single" w:sz="4" w:space="0" w:color="1F61AA"/>
              <w:left w:val="nil"/>
              <w:bottom w:val="single" w:sz="4" w:space="0" w:color="1F61AA"/>
              <w:right w:val="nil"/>
            </w:tcBorders>
            <w:shd w:val="clear" w:color="auto" w:fill="FFFFFF"/>
            <w:vAlign w:val="center"/>
          </w:tcPr>
          <w:p w:rsidR="00815B61" w:rsidRPr="006263CF" w:rsidRDefault="00815B61" w:rsidP="00080638">
            <w:pPr>
              <w:jc w:val="center"/>
              <w:rPr>
                <w:rFonts w:asciiTheme="minorHAnsi" w:hAnsiTheme="minorHAnsi" w:cstheme="minorHAnsi"/>
                <w:sz w:val="18"/>
              </w:rPr>
            </w:pPr>
            <w:r w:rsidRPr="006263CF">
              <w:rPr>
                <w:rFonts w:asciiTheme="minorHAnsi" w:hAnsiTheme="minorHAnsi" w:cstheme="minorHAnsi"/>
                <w:color w:val="000000"/>
                <w:sz w:val="16"/>
                <w:szCs w:val="18"/>
              </w:rPr>
              <w:t>2</w:t>
            </w:r>
          </w:p>
        </w:tc>
        <w:tc>
          <w:tcPr>
            <w:tcW w:w="907" w:type="dxa"/>
            <w:tcBorders>
              <w:top w:val="single" w:sz="4" w:space="0" w:color="1F61AA"/>
              <w:left w:val="nil"/>
              <w:bottom w:val="single" w:sz="4" w:space="0" w:color="1F61AA"/>
              <w:right w:val="nil"/>
            </w:tcBorders>
            <w:shd w:val="clear" w:color="auto" w:fill="FFFFFF"/>
            <w:vAlign w:val="center"/>
          </w:tcPr>
          <w:p w:rsidR="00815B61" w:rsidRPr="006263CF" w:rsidRDefault="00815B61" w:rsidP="00080638">
            <w:pPr>
              <w:jc w:val="center"/>
              <w:rPr>
                <w:rFonts w:asciiTheme="minorHAnsi" w:hAnsiTheme="minorHAnsi" w:cstheme="minorHAnsi"/>
                <w:sz w:val="18"/>
              </w:rPr>
            </w:pPr>
            <w:r w:rsidRPr="006263CF">
              <w:rPr>
                <w:rFonts w:asciiTheme="minorHAnsi" w:hAnsiTheme="minorHAnsi" w:cstheme="minorHAnsi"/>
                <w:color w:val="000000"/>
                <w:sz w:val="16"/>
                <w:szCs w:val="18"/>
              </w:rPr>
              <w:t>(&gt;14 р)</w:t>
            </w:r>
          </w:p>
        </w:tc>
        <w:tc>
          <w:tcPr>
            <w:tcW w:w="830" w:type="dxa"/>
            <w:tcBorders>
              <w:top w:val="single" w:sz="4" w:space="0" w:color="1F61AA"/>
              <w:left w:val="nil"/>
              <w:bottom w:val="single" w:sz="4" w:space="0" w:color="1F61AA"/>
              <w:right w:val="nil"/>
            </w:tcBorders>
            <w:shd w:val="clear" w:color="auto" w:fill="FFFFFF"/>
            <w:vAlign w:val="center"/>
          </w:tcPr>
          <w:p w:rsidR="00815B61" w:rsidRPr="006263CF" w:rsidRDefault="00815B61" w:rsidP="00080638">
            <w:pPr>
              <w:jc w:val="center"/>
              <w:rPr>
                <w:rFonts w:asciiTheme="minorHAnsi" w:hAnsiTheme="minorHAnsi" w:cstheme="minorHAnsi"/>
                <w:sz w:val="18"/>
              </w:rPr>
            </w:pPr>
            <w:r w:rsidRPr="006263CF">
              <w:rPr>
                <w:rFonts w:asciiTheme="minorHAnsi" w:hAnsiTheme="minorHAnsi" w:cstheme="minorHAnsi"/>
                <w:color w:val="000000"/>
                <w:sz w:val="16"/>
                <w:szCs w:val="18"/>
              </w:rPr>
              <w:t>1 г</w:t>
            </w:r>
          </w:p>
        </w:tc>
        <w:tc>
          <w:tcPr>
            <w:tcW w:w="1608" w:type="dxa"/>
            <w:vMerge/>
            <w:tcBorders>
              <w:left w:val="nil"/>
              <w:bottom w:val="single" w:sz="4" w:space="0" w:color="1F61AA"/>
              <w:right w:val="nil"/>
            </w:tcBorders>
            <w:shd w:val="clear" w:color="auto" w:fill="FFFFFF"/>
            <w:vAlign w:val="center"/>
          </w:tcPr>
          <w:p w:rsidR="00815B61" w:rsidRPr="006263CF" w:rsidRDefault="00815B61" w:rsidP="00080638">
            <w:pPr>
              <w:jc w:val="center"/>
              <w:rPr>
                <w:rFonts w:asciiTheme="minorHAnsi" w:hAnsiTheme="minorHAnsi" w:cstheme="minorHAnsi"/>
                <w:sz w:val="18"/>
              </w:rPr>
            </w:pPr>
          </w:p>
        </w:tc>
      </w:tr>
    </w:tbl>
    <w:p w:rsidR="005225B5" w:rsidRPr="006263CF" w:rsidRDefault="005225B5" w:rsidP="006263CF">
      <w:pPr>
        <w:rPr>
          <w:rFonts w:asciiTheme="minorHAnsi" w:hAnsiTheme="minorHAnsi" w:cstheme="minorHAnsi"/>
          <w:sz w:val="18"/>
        </w:rPr>
        <w:sectPr w:rsidR="005225B5" w:rsidRPr="006263CF" w:rsidSect="00445738">
          <w:pgSz w:w="16838" w:h="11904" w:orient="landscape"/>
          <w:pgMar w:top="1421" w:right="1382" w:bottom="284" w:left="1406"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138"/>
        <w:gridCol w:w="1368"/>
        <w:gridCol w:w="1085"/>
        <w:gridCol w:w="1416"/>
        <w:gridCol w:w="955"/>
        <w:gridCol w:w="926"/>
        <w:gridCol w:w="950"/>
        <w:gridCol w:w="931"/>
        <w:gridCol w:w="994"/>
        <w:gridCol w:w="926"/>
        <w:gridCol w:w="1032"/>
        <w:gridCol w:w="754"/>
        <w:gridCol w:w="1622"/>
      </w:tblGrid>
      <w:tr w:rsidR="005225B5" w:rsidRPr="006263CF" w:rsidTr="00815B61">
        <w:trPr>
          <w:trHeight w:hRule="exact" w:val="427"/>
        </w:trPr>
        <w:tc>
          <w:tcPr>
            <w:tcW w:w="1138" w:type="dxa"/>
            <w:vMerge w:val="restart"/>
            <w:tcBorders>
              <w:left w:val="nil"/>
              <w:bottom w:val="nil"/>
              <w:right w:val="nil"/>
            </w:tcBorders>
            <w:shd w:val="clear" w:color="auto" w:fill="C1C8E4"/>
            <w:vAlign w:val="center"/>
          </w:tcPr>
          <w:p w:rsidR="005225B5" w:rsidRPr="006263CF" w:rsidRDefault="005225B5" w:rsidP="00815B61">
            <w:pPr>
              <w:jc w:val="center"/>
              <w:rPr>
                <w:rFonts w:asciiTheme="minorHAnsi" w:hAnsiTheme="minorHAnsi" w:cstheme="minorHAnsi"/>
                <w:sz w:val="18"/>
              </w:rPr>
            </w:pPr>
            <w:r w:rsidRPr="006263CF">
              <w:rPr>
                <w:rFonts w:asciiTheme="minorHAnsi" w:hAnsiTheme="minorHAnsi" w:cstheme="minorHAnsi"/>
                <w:b/>
                <w:bCs/>
                <w:color w:val="000000"/>
                <w:sz w:val="16"/>
                <w:szCs w:val="18"/>
              </w:rPr>
              <w:lastRenderedPageBreak/>
              <w:t>Група</w:t>
            </w:r>
          </w:p>
        </w:tc>
        <w:tc>
          <w:tcPr>
            <w:tcW w:w="1368" w:type="dxa"/>
            <w:vMerge w:val="restart"/>
            <w:tcBorders>
              <w:left w:val="nil"/>
              <w:bottom w:val="nil"/>
              <w:right w:val="nil"/>
            </w:tcBorders>
            <w:shd w:val="clear" w:color="auto" w:fill="C1C8E4"/>
            <w:vAlign w:val="center"/>
          </w:tcPr>
          <w:p w:rsidR="005225B5" w:rsidRPr="006263CF" w:rsidRDefault="005225B5" w:rsidP="00815B61">
            <w:pPr>
              <w:jc w:val="center"/>
              <w:rPr>
                <w:rFonts w:asciiTheme="minorHAnsi" w:hAnsiTheme="minorHAnsi" w:cstheme="minorHAnsi"/>
                <w:sz w:val="18"/>
              </w:rPr>
            </w:pPr>
            <w:r w:rsidRPr="006263CF">
              <w:rPr>
                <w:rFonts w:asciiTheme="minorHAnsi" w:hAnsiTheme="minorHAnsi" w:cstheme="minorHAnsi"/>
                <w:b/>
                <w:bCs/>
                <w:color w:val="000000"/>
                <w:sz w:val="16"/>
                <w:szCs w:val="18"/>
              </w:rPr>
              <w:t>Лікарський препарат</w:t>
            </w:r>
          </w:p>
        </w:tc>
        <w:tc>
          <w:tcPr>
            <w:tcW w:w="1085" w:type="dxa"/>
            <w:vMerge w:val="restart"/>
            <w:tcBorders>
              <w:left w:val="nil"/>
              <w:bottom w:val="nil"/>
              <w:right w:val="nil"/>
            </w:tcBorders>
            <w:shd w:val="clear" w:color="auto" w:fill="C1C8E4"/>
            <w:vAlign w:val="center"/>
          </w:tcPr>
          <w:p w:rsidR="005225B5" w:rsidRPr="006263CF" w:rsidRDefault="005225B5" w:rsidP="00815B61">
            <w:pPr>
              <w:jc w:val="center"/>
              <w:rPr>
                <w:rFonts w:asciiTheme="minorHAnsi" w:hAnsiTheme="minorHAnsi" w:cstheme="minorHAnsi"/>
                <w:sz w:val="18"/>
              </w:rPr>
            </w:pPr>
            <w:r w:rsidRPr="006263CF">
              <w:rPr>
                <w:rFonts w:asciiTheme="minorHAnsi" w:hAnsiTheme="minorHAnsi" w:cstheme="minorHAnsi"/>
                <w:b/>
                <w:bCs/>
                <w:color w:val="000000"/>
                <w:sz w:val="16"/>
                <w:szCs w:val="18"/>
              </w:rPr>
              <w:t>Добова доза залежно від маси тіла</w:t>
            </w:r>
            <w:r w:rsidRPr="006263CF">
              <w:rPr>
                <w:rFonts w:asciiTheme="minorHAnsi" w:hAnsiTheme="minorHAnsi" w:cstheme="minorHAnsi"/>
                <w:b/>
                <w:bCs/>
                <w:color w:val="000000"/>
                <w:sz w:val="16"/>
                <w:szCs w:val="18"/>
                <w:vertAlign w:val="superscript"/>
              </w:rPr>
              <w:t>b</w:t>
            </w:r>
          </w:p>
        </w:tc>
        <w:tc>
          <w:tcPr>
            <w:tcW w:w="1416" w:type="dxa"/>
            <w:vMerge w:val="restart"/>
            <w:tcBorders>
              <w:left w:val="nil"/>
              <w:bottom w:val="nil"/>
              <w:right w:val="nil"/>
            </w:tcBorders>
            <w:shd w:val="clear" w:color="auto" w:fill="C1C8E4"/>
            <w:vAlign w:val="center"/>
          </w:tcPr>
          <w:p w:rsidR="005225B5" w:rsidRPr="006263CF" w:rsidRDefault="005225B5" w:rsidP="00815B61">
            <w:pPr>
              <w:jc w:val="center"/>
              <w:rPr>
                <w:rFonts w:asciiTheme="minorHAnsi" w:hAnsiTheme="minorHAnsi" w:cstheme="minorHAnsi"/>
                <w:sz w:val="18"/>
              </w:rPr>
            </w:pPr>
            <w:r w:rsidRPr="006263CF">
              <w:rPr>
                <w:rFonts w:asciiTheme="minorHAnsi" w:hAnsiTheme="minorHAnsi" w:cstheme="minorHAnsi"/>
                <w:b/>
                <w:bCs/>
                <w:color w:val="000000"/>
                <w:sz w:val="16"/>
                <w:szCs w:val="18"/>
              </w:rPr>
              <w:t>Формулювання</w:t>
            </w:r>
          </w:p>
        </w:tc>
        <w:tc>
          <w:tcPr>
            <w:tcW w:w="6714" w:type="dxa"/>
            <w:gridSpan w:val="7"/>
            <w:tcBorders>
              <w:left w:val="nil"/>
              <w:bottom w:val="nil"/>
              <w:right w:val="nil"/>
            </w:tcBorders>
            <w:shd w:val="clear" w:color="auto" w:fill="C1C8E4"/>
            <w:vAlign w:val="center"/>
          </w:tcPr>
          <w:p w:rsidR="005225B5" w:rsidRPr="006263CF" w:rsidRDefault="005225B5" w:rsidP="00815B61">
            <w:pPr>
              <w:jc w:val="center"/>
              <w:rPr>
                <w:rFonts w:asciiTheme="minorHAnsi" w:hAnsiTheme="minorHAnsi" w:cstheme="minorHAnsi"/>
                <w:sz w:val="18"/>
              </w:rPr>
            </w:pPr>
            <w:r w:rsidRPr="006263CF">
              <w:rPr>
                <w:rFonts w:asciiTheme="minorHAnsi" w:hAnsiTheme="minorHAnsi" w:cstheme="minorHAnsi"/>
                <w:b/>
                <w:bCs/>
                <w:color w:val="000000"/>
                <w:sz w:val="16"/>
                <w:szCs w:val="18"/>
              </w:rPr>
              <w:t>Маса тіла серед пацієнтів, яким ще не виповнилося 15 років</w:t>
            </w:r>
            <w:r w:rsidRPr="006263CF">
              <w:rPr>
                <w:rFonts w:asciiTheme="minorHAnsi" w:hAnsiTheme="minorHAnsi" w:cstheme="minorHAnsi"/>
                <w:b/>
                <w:bCs/>
                <w:color w:val="000000"/>
                <w:sz w:val="16"/>
                <w:szCs w:val="18"/>
                <w:vertAlign w:val="superscript"/>
              </w:rPr>
              <w:t>a</w:t>
            </w:r>
          </w:p>
        </w:tc>
        <w:tc>
          <w:tcPr>
            <w:tcW w:w="754" w:type="dxa"/>
            <w:vMerge w:val="restart"/>
            <w:tcBorders>
              <w:left w:val="nil"/>
              <w:bottom w:val="nil"/>
              <w:right w:val="nil"/>
            </w:tcBorders>
            <w:shd w:val="clear" w:color="auto" w:fill="C1C8E4"/>
            <w:vAlign w:val="center"/>
          </w:tcPr>
          <w:p w:rsidR="005225B5" w:rsidRPr="006263CF" w:rsidRDefault="005225B5" w:rsidP="00815B61">
            <w:pPr>
              <w:ind w:left="43" w:right="5"/>
              <w:jc w:val="center"/>
              <w:rPr>
                <w:rFonts w:asciiTheme="minorHAnsi" w:hAnsiTheme="minorHAnsi" w:cstheme="minorHAnsi"/>
                <w:sz w:val="18"/>
              </w:rPr>
            </w:pPr>
            <w:r w:rsidRPr="006263CF">
              <w:rPr>
                <w:rFonts w:asciiTheme="minorHAnsi" w:hAnsiTheme="minorHAnsi" w:cstheme="minorHAnsi"/>
                <w:b/>
                <w:bCs/>
                <w:color w:val="000000"/>
                <w:sz w:val="16"/>
                <w:szCs w:val="18"/>
              </w:rPr>
              <w:t>Звичні добові дози</w:t>
            </w:r>
            <w:r w:rsidRPr="006263CF">
              <w:rPr>
                <w:rFonts w:asciiTheme="minorHAnsi" w:hAnsiTheme="minorHAnsi" w:cstheme="minorHAnsi"/>
                <w:b/>
                <w:bCs/>
                <w:color w:val="000000"/>
                <w:sz w:val="16"/>
                <w:szCs w:val="18"/>
                <w:vertAlign w:val="superscript"/>
              </w:rPr>
              <w:t>b</w:t>
            </w:r>
          </w:p>
        </w:tc>
        <w:tc>
          <w:tcPr>
            <w:tcW w:w="1622" w:type="dxa"/>
            <w:vMerge w:val="restart"/>
            <w:tcBorders>
              <w:left w:val="nil"/>
              <w:bottom w:val="nil"/>
              <w:right w:val="nil"/>
            </w:tcBorders>
            <w:shd w:val="clear" w:color="auto" w:fill="C1C8E4"/>
            <w:vAlign w:val="center"/>
          </w:tcPr>
          <w:p w:rsidR="005225B5" w:rsidRPr="006263CF" w:rsidRDefault="005225B5" w:rsidP="00815B61">
            <w:pPr>
              <w:ind w:left="38"/>
              <w:jc w:val="center"/>
              <w:rPr>
                <w:rFonts w:asciiTheme="minorHAnsi" w:hAnsiTheme="minorHAnsi" w:cstheme="minorHAnsi"/>
                <w:sz w:val="18"/>
              </w:rPr>
            </w:pPr>
            <w:r w:rsidRPr="006263CF">
              <w:rPr>
                <w:rFonts w:asciiTheme="minorHAnsi" w:hAnsiTheme="minorHAnsi" w:cstheme="minorHAnsi"/>
                <w:b/>
                <w:bCs/>
                <w:color w:val="000000"/>
                <w:sz w:val="16"/>
                <w:szCs w:val="18"/>
              </w:rPr>
              <w:t>Коментарі</w:t>
            </w:r>
          </w:p>
        </w:tc>
      </w:tr>
      <w:tr w:rsidR="005225B5" w:rsidRPr="006263CF" w:rsidTr="00815B61">
        <w:trPr>
          <w:trHeight w:hRule="exact" w:val="538"/>
        </w:trPr>
        <w:tc>
          <w:tcPr>
            <w:tcW w:w="1138" w:type="dxa"/>
            <w:vMerge/>
            <w:tcBorders>
              <w:top w:val="nil"/>
              <w:left w:val="nil"/>
              <w:right w:val="nil"/>
            </w:tcBorders>
            <w:shd w:val="clear" w:color="auto" w:fill="FFFFFF"/>
          </w:tcPr>
          <w:p w:rsidR="005225B5" w:rsidRPr="006263CF" w:rsidRDefault="005225B5" w:rsidP="006263CF">
            <w:pPr>
              <w:rPr>
                <w:rFonts w:asciiTheme="minorHAnsi" w:hAnsiTheme="minorHAnsi" w:cstheme="minorHAnsi"/>
                <w:sz w:val="18"/>
              </w:rPr>
            </w:pPr>
          </w:p>
          <w:p w:rsidR="005225B5" w:rsidRPr="006263CF" w:rsidRDefault="005225B5" w:rsidP="006263CF">
            <w:pPr>
              <w:rPr>
                <w:rFonts w:asciiTheme="minorHAnsi" w:hAnsiTheme="minorHAnsi" w:cstheme="minorHAnsi"/>
                <w:sz w:val="18"/>
              </w:rPr>
            </w:pPr>
          </w:p>
        </w:tc>
        <w:tc>
          <w:tcPr>
            <w:tcW w:w="1368" w:type="dxa"/>
            <w:vMerge/>
            <w:tcBorders>
              <w:top w:val="nil"/>
              <w:left w:val="nil"/>
              <w:bottom w:val="nil"/>
              <w:right w:val="nil"/>
            </w:tcBorders>
            <w:shd w:val="clear" w:color="auto" w:fill="FFFFFF"/>
          </w:tcPr>
          <w:p w:rsidR="005225B5" w:rsidRPr="006263CF" w:rsidRDefault="005225B5" w:rsidP="006263CF">
            <w:pPr>
              <w:rPr>
                <w:rFonts w:asciiTheme="minorHAnsi" w:hAnsiTheme="minorHAnsi" w:cstheme="minorHAnsi"/>
                <w:sz w:val="18"/>
              </w:rPr>
            </w:pPr>
          </w:p>
          <w:p w:rsidR="005225B5" w:rsidRPr="006263CF" w:rsidRDefault="005225B5" w:rsidP="006263CF">
            <w:pPr>
              <w:rPr>
                <w:rFonts w:asciiTheme="minorHAnsi" w:hAnsiTheme="minorHAnsi" w:cstheme="minorHAnsi"/>
                <w:sz w:val="18"/>
              </w:rPr>
            </w:pPr>
          </w:p>
        </w:tc>
        <w:tc>
          <w:tcPr>
            <w:tcW w:w="1085" w:type="dxa"/>
            <w:vMerge/>
            <w:tcBorders>
              <w:top w:val="nil"/>
              <w:left w:val="nil"/>
              <w:bottom w:val="nil"/>
              <w:right w:val="nil"/>
            </w:tcBorders>
            <w:shd w:val="clear" w:color="auto" w:fill="FFFFFF"/>
          </w:tcPr>
          <w:p w:rsidR="005225B5" w:rsidRPr="006263CF" w:rsidRDefault="005225B5" w:rsidP="006263CF">
            <w:pPr>
              <w:rPr>
                <w:rFonts w:asciiTheme="minorHAnsi" w:hAnsiTheme="minorHAnsi" w:cstheme="minorHAnsi"/>
                <w:sz w:val="18"/>
              </w:rPr>
            </w:pPr>
          </w:p>
          <w:p w:rsidR="005225B5" w:rsidRPr="006263CF" w:rsidRDefault="005225B5" w:rsidP="006263CF">
            <w:pPr>
              <w:rPr>
                <w:rFonts w:asciiTheme="minorHAnsi" w:hAnsiTheme="minorHAnsi" w:cstheme="minorHAnsi"/>
                <w:sz w:val="18"/>
              </w:rPr>
            </w:pPr>
          </w:p>
        </w:tc>
        <w:tc>
          <w:tcPr>
            <w:tcW w:w="1416" w:type="dxa"/>
            <w:vMerge/>
            <w:tcBorders>
              <w:top w:val="nil"/>
              <w:left w:val="nil"/>
              <w:right w:val="nil"/>
            </w:tcBorders>
            <w:shd w:val="clear" w:color="auto" w:fill="FFFFFF"/>
          </w:tcPr>
          <w:p w:rsidR="005225B5" w:rsidRPr="006263CF" w:rsidRDefault="005225B5" w:rsidP="006263CF">
            <w:pPr>
              <w:rPr>
                <w:rFonts w:asciiTheme="minorHAnsi" w:hAnsiTheme="minorHAnsi" w:cstheme="minorHAnsi"/>
                <w:sz w:val="18"/>
              </w:rPr>
            </w:pPr>
          </w:p>
          <w:p w:rsidR="005225B5" w:rsidRPr="006263CF" w:rsidRDefault="005225B5" w:rsidP="006263CF">
            <w:pPr>
              <w:rPr>
                <w:rFonts w:asciiTheme="minorHAnsi" w:hAnsiTheme="minorHAnsi" w:cstheme="minorHAnsi"/>
                <w:sz w:val="18"/>
              </w:rPr>
            </w:pPr>
          </w:p>
        </w:tc>
        <w:tc>
          <w:tcPr>
            <w:tcW w:w="955" w:type="dxa"/>
            <w:tcBorders>
              <w:top w:val="nil"/>
              <w:left w:val="nil"/>
              <w:right w:val="nil"/>
            </w:tcBorders>
            <w:shd w:val="clear" w:color="auto" w:fill="C1C8E4"/>
            <w:vAlign w:val="center"/>
          </w:tcPr>
          <w:p w:rsidR="005225B5" w:rsidRPr="006263CF" w:rsidRDefault="005225B5" w:rsidP="00815B61">
            <w:pPr>
              <w:jc w:val="center"/>
              <w:rPr>
                <w:rFonts w:asciiTheme="minorHAnsi" w:hAnsiTheme="minorHAnsi" w:cstheme="minorHAnsi"/>
                <w:sz w:val="18"/>
              </w:rPr>
            </w:pPr>
            <w:r w:rsidRPr="006263CF">
              <w:rPr>
                <w:rFonts w:asciiTheme="minorHAnsi" w:hAnsiTheme="minorHAnsi" w:cstheme="minorHAnsi"/>
                <w:b/>
                <w:bCs/>
                <w:color w:val="000000"/>
                <w:sz w:val="16"/>
                <w:szCs w:val="18"/>
              </w:rPr>
              <w:t>5-6 кг</w:t>
            </w:r>
          </w:p>
        </w:tc>
        <w:tc>
          <w:tcPr>
            <w:tcW w:w="926" w:type="dxa"/>
            <w:tcBorders>
              <w:top w:val="nil"/>
              <w:left w:val="nil"/>
              <w:right w:val="nil"/>
            </w:tcBorders>
            <w:shd w:val="clear" w:color="auto" w:fill="C1C8E4"/>
            <w:vAlign w:val="center"/>
          </w:tcPr>
          <w:p w:rsidR="005225B5" w:rsidRPr="006263CF" w:rsidRDefault="005225B5" w:rsidP="00815B61">
            <w:pPr>
              <w:jc w:val="center"/>
              <w:rPr>
                <w:rFonts w:asciiTheme="minorHAnsi" w:hAnsiTheme="minorHAnsi" w:cstheme="minorHAnsi"/>
                <w:sz w:val="18"/>
              </w:rPr>
            </w:pPr>
            <w:r w:rsidRPr="006263CF">
              <w:rPr>
                <w:rFonts w:asciiTheme="minorHAnsi" w:hAnsiTheme="minorHAnsi" w:cstheme="minorHAnsi"/>
                <w:b/>
                <w:bCs/>
                <w:color w:val="000000"/>
                <w:sz w:val="16"/>
                <w:szCs w:val="18"/>
              </w:rPr>
              <w:t>7-9 кг</w:t>
            </w:r>
          </w:p>
        </w:tc>
        <w:tc>
          <w:tcPr>
            <w:tcW w:w="950" w:type="dxa"/>
            <w:tcBorders>
              <w:top w:val="nil"/>
              <w:left w:val="nil"/>
              <w:right w:val="nil"/>
            </w:tcBorders>
            <w:shd w:val="clear" w:color="auto" w:fill="C1C8E4"/>
            <w:vAlign w:val="center"/>
          </w:tcPr>
          <w:p w:rsidR="005225B5" w:rsidRPr="006263CF" w:rsidRDefault="005225B5" w:rsidP="00815B61">
            <w:pPr>
              <w:jc w:val="center"/>
              <w:rPr>
                <w:rFonts w:asciiTheme="minorHAnsi" w:hAnsiTheme="minorHAnsi" w:cstheme="minorHAnsi"/>
                <w:sz w:val="18"/>
              </w:rPr>
            </w:pPr>
            <w:r w:rsidRPr="006263CF">
              <w:rPr>
                <w:rFonts w:asciiTheme="minorHAnsi" w:hAnsiTheme="minorHAnsi" w:cstheme="minorHAnsi"/>
                <w:b/>
                <w:bCs/>
                <w:color w:val="000000"/>
                <w:sz w:val="16"/>
                <w:szCs w:val="18"/>
              </w:rPr>
              <w:t>10-15 кг</w:t>
            </w:r>
          </w:p>
        </w:tc>
        <w:tc>
          <w:tcPr>
            <w:tcW w:w="931" w:type="dxa"/>
            <w:tcBorders>
              <w:top w:val="nil"/>
              <w:left w:val="nil"/>
              <w:right w:val="nil"/>
            </w:tcBorders>
            <w:shd w:val="clear" w:color="auto" w:fill="C1C8E4"/>
            <w:vAlign w:val="center"/>
          </w:tcPr>
          <w:p w:rsidR="005225B5" w:rsidRPr="006263CF" w:rsidRDefault="005225B5" w:rsidP="00815B61">
            <w:pPr>
              <w:jc w:val="center"/>
              <w:rPr>
                <w:rFonts w:asciiTheme="minorHAnsi" w:hAnsiTheme="minorHAnsi" w:cstheme="minorHAnsi"/>
                <w:sz w:val="18"/>
              </w:rPr>
            </w:pPr>
            <w:r w:rsidRPr="006263CF">
              <w:rPr>
                <w:rFonts w:asciiTheme="minorHAnsi" w:hAnsiTheme="minorHAnsi" w:cstheme="minorHAnsi"/>
                <w:b/>
                <w:bCs/>
                <w:color w:val="000000"/>
                <w:sz w:val="16"/>
                <w:szCs w:val="18"/>
              </w:rPr>
              <w:t>16-23 кг</w:t>
            </w:r>
          </w:p>
        </w:tc>
        <w:tc>
          <w:tcPr>
            <w:tcW w:w="994" w:type="dxa"/>
            <w:tcBorders>
              <w:top w:val="nil"/>
              <w:left w:val="nil"/>
              <w:right w:val="nil"/>
            </w:tcBorders>
            <w:shd w:val="clear" w:color="auto" w:fill="C1C8E4"/>
            <w:vAlign w:val="center"/>
          </w:tcPr>
          <w:p w:rsidR="005225B5" w:rsidRPr="006263CF" w:rsidRDefault="005225B5" w:rsidP="00815B61">
            <w:pPr>
              <w:jc w:val="center"/>
              <w:rPr>
                <w:rFonts w:asciiTheme="minorHAnsi" w:hAnsiTheme="minorHAnsi" w:cstheme="minorHAnsi"/>
                <w:sz w:val="18"/>
              </w:rPr>
            </w:pPr>
            <w:r w:rsidRPr="006263CF">
              <w:rPr>
                <w:rFonts w:asciiTheme="minorHAnsi" w:hAnsiTheme="minorHAnsi" w:cstheme="minorHAnsi"/>
                <w:b/>
                <w:bCs/>
                <w:color w:val="000000"/>
                <w:sz w:val="16"/>
                <w:szCs w:val="18"/>
              </w:rPr>
              <w:t>24-30 кг</w:t>
            </w:r>
          </w:p>
        </w:tc>
        <w:tc>
          <w:tcPr>
            <w:tcW w:w="926" w:type="dxa"/>
            <w:tcBorders>
              <w:top w:val="nil"/>
              <w:left w:val="nil"/>
              <w:right w:val="nil"/>
            </w:tcBorders>
            <w:shd w:val="clear" w:color="auto" w:fill="C1C8E4"/>
            <w:vAlign w:val="center"/>
          </w:tcPr>
          <w:p w:rsidR="005225B5" w:rsidRPr="006263CF" w:rsidRDefault="005225B5" w:rsidP="00815B61">
            <w:pPr>
              <w:jc w:val="center"/>
              <w:rPr>
                <w:rFonts w:asciiTheme="minorHAnsi" w:hAnsiTheme="minorHAnsi" w:cstheme="minorHAnsi"/>
                <w:sz w:val="18"/>
              </w:rPr>
            </w:pPr>
            <w:r w:rsidRPr="006263CF">
              <w:rPr>
                <w:rFonts w:asciiTheme="minorHAnsi" w:hAnsiTheme="minorHAnsi" w:cstheme="minorHAnsi"/>
                <w:b/>
                <w:bCs/>
                <w:color w:val="000000"/>
                <w:sz w:val="16"/>
                <w:szCs w:val="18"/>
              </w:rPr>
              <w:t>31-34 кг</w:t>
            </w:r>
          </w:p>
        </w:tc>
        <w:tc>
          <w:tcPr>
            <w:tcW w:w="1032" w:type="dxa"/>
            <w:tcBorders>
              <w:top w:val="nil"/>
              <w:left w:val="nil"/>
              <w:right w:val="nil"/>
            </w:tcBorders>
            <w:shd w:val="clear" w:color="auto" w:fill="C1C8E4"/>
            <w:vAlign w:val="center"/>
          </w:tcPr>
          <w:p w:rsidR="005225B5" w:rsidRPr="006263CF" w:rsidRDefault="005225B5" w:rsidP="00815B61">
            <w:pPr>
              <w:jc w:val="center"/>
              <w:rPr>
                <w:rFonts w:asciiTheme="minorHAnsi" w:hAnsiTheme="minorHAnsi" w:cstheme="minorHAnsi"/>
                <w:sz w:val="18"/>
              </w:rPr>
            </w:pPr>
            <w:r w:rsidRPr="006263CF">
              <w:rPr>
                <w:rFonts w:asciiTheme="minorHAnsi" w:hAnsiTheme="minorHAnsi" w:cstheme="minorHAnsi"/>
                <w:b/>
                <w:bCs/>
                <w:color w:val="000000"/>
                <w:sz w:val="16"/>
                <w:szCs w:val="18"/>
              </w:rPr>
              <w:t>&gt;34 кг</w:t>
            </w:r>
          </w:p>
        </w:tc>
        <w:tc>
          <w:tcPr>
            <w:tcW w:w="754" w:type="dxa"/>
            <w:vMerge/>
            <w:tcBorders>
              <w:top w:val="nil"/>
              <w:left w:val="nil"/>
              <w:right w:val="nil"/>
            </w:tcBorders>
            <w:shd w:val="clear" w:color="auto" w:fill="FFFFFF"/>
          </w:tcPr>
          <w:p w:rsidR="005225B5" w:rsidRPr="006263CF" w:rsidRDefault="005225B5" w:rsidP="006263CF">
            <w:pPr>
              <w:jc w:val="center"/>
              <w:rPr>
                <w:rFonts w:asciiTheme="minorHAnsi" w:hAnsiTheme="minorHAnsi" w:cstheme="minorHAnsi"/>
                <w:sz w:val="18"/>
              </w:rPr>
            </w:pPr>
          </w:p>
          <w:p w:rsidR="005225B5" w:rsidRPr="006263CF" w:rsidRDefault="005225B5" w:rsidP="006263CF">
            <w:pPr>
              <w:jc w:val="center"/>
              <w:rPr>
                <w:rFonts w:asciiTheme="minorHAnsi" w:hAnsiTheme="minorHAnsi" w:cstheme="minorHAnsi"/>
                <w:sz w:val="18"/>
              </w:rPr>
            </w:pPr>
          </w:p>
        </w:tc>
        <w:tc>
          <w:tcPr>
            <w:tcW w:w="1622" w:type="dxa"/>
            <w:vMerge/>
            <w:tcBorders>
              <w:top w:val="nil"/>
              <w:left w:val="nil"/>
              <w:bottom w:val="nil"/>
              <w:right w:val="nil"/>
            </w:tcBorders>
            <w:shd w:val="clear" w:color="auto" w:fill="FFFFFF"/>
          </w:tcPr>
          <w:p w:rsidR="005225B5" w:rsidRPr="006263CF" w:rsidRDefault="005225B5" w:rsidP="006263CF">
            <w:pPr>
              <w:jc w:val="center"/>
              <w:rPr>
                <w:rFonts w:asciiTheme="minorHAnsi" w:hAnsiTheme="minorHAnsi" w:cstheme="minorHAnsi"/>
                <w:sz w:val="18"/>
              </w:rPr>
            </w:pPr>
          </w:p>
          <w:p w:rsidR="005225B5" w:rsidRPr="006263CF" w:rsidRDefault="005225B5" w:rsidP="006263CF">
            <w:pPr>
              <w:jc w:val="center"/>
              <w:rPr>
                <w:rFonts w:asciiTheme="minorHAnsi" w:hAnsiTheme="minorHAnsi" w:cstheme="minorHAnsi"/>
                <w:sz w:val="18"/>
              </w:rPr>
            </w:pPr>
          </w:p>
        </w:tc>
      </w:tr>
      <w:tr w:rsidR="005225B5" w:rsidRPr="006263CF" w:rsidTr="00815B61">
        <w:trPr>
          <w:trHeight w:hRule="exact" w:val="738"/>
        </w:trPr>
        <w:tc>
          <w:tcPr>
            <w:tcW w:w="1138" w:type="dxa"/>
            <w:vMerge w:val="restart"/>
            <w:tcBorders>
              <w:top w:val="nil"/>
              <w:left w:val="nil"/>
              <w:bottom w:val="single" w:sz="4" w:space="0" w:color="1F61AA"/>
              <w:right w:val="nil"/>
            </w:tcBorders>
            <w:shd w:val="clear" w:color="auto" w:fill="FFFFFF"/>
            <w:vAlign w:val="center"/>
          </w:tcPr>
          <w:p w:rsidR="005225B5" w:rsidRPr="006263CF" w:rsidRDefault="005225B5" w:rsidP="00815B61">
            <w:pPr>
              <w:jc w:val="center"/>
              <w:rPr>
                <w:rFonts w:asciiTheme="minorHAnsi" w:hAnsiTheme="minorHAnsi" w:cstheme="minorHAnsi"/>
                <w:sz w:val="18"/>
              </w:rPr>
            </w:pPr>
            <w:r w:rsidRPr="006263CF">
              <w:rPr>
                <w:rFonts w:asciiTheme="minorHAnsi" w:hAnsiTheme="minorHAnsi" w:cstheme="minorHAnsi"/>
                <w:b/>
                <w:bCs/>
                <w:color w:val="000000"/>
                <w:sz w:val="24"/>
                <w:szCs w:val="28"/>
              </w:rPr>
              <w:t>С</w:t>
            </w:r>
          </w:p>
        </w:tc>
        <w:tc>
          <w:tcPr>
            <w:tcW w:w="1368" w:type="dxa"/>
            <w:vMerge w:val="restart"/>
            <w:tcBorders>
              <w:top w:val="nil"/>
              <w:left w:val="nil"/>
              <w:bottom w:val="nil"/>
              <w:right w:val="nil"/>
            </w:tcBorders>
            <w:shd w:val="clear" w:color="auto" w:fill="FFFFFF"/>
            <w:vAlign w:val="center"/>
          </w:tcPr>
          <w:p w:rsidR="005225B5" w:rsidRPr="006263CF" w:rsidRDefault="005225B5" w:rsidP="00815B61">
            <w:pPr>
              <w:ind w:left="-113" w:right="-86"/>
              <w:jc w:val="center"/>
              <w:rPr>
                <w:rFonts w:asciiTheme="minorHAnsi" w:hAnsiTheme="minorHAnsi" w:cstheme="minorHAnsi"/>
                <w:sz w:val="18"/>
              </w:rPr>
            </w:pPr>
            <w:r w:rsidRPr="006263CF">
              <w:rPr>
                <w:rFonts w:asciiTheme="minorHAnsi" w:hAnsiTheme="minorHAnsi" w:cstheme="minorHAnsi"/>
                <w:i/>
                <w:iCs/>
                <w:color w:val="000000"/>
                <w:sz w:val="16"/>
                <w:szCs w:val="18"/>
              </w:rPr>
              <w:t>П</w:t>
            </w:r>
            <w:r w:rsidRPr="006263CF">
              <w:rPr>
                <w:rFonts w:asciiTheme="minorHAnsi" w:hAnsiTheme="minorHAnsi" w:cstheme="minorHAnsi"/>
                <w:color w:val="000000"/>
                <w:sz w:val="16"/>
                <w:szCs w:val="18"/>
              </w:rPr>
              <w:t>-аміносаліцилова кислота</w:t>
            </w:r>
          </w:p>
        </w:tc>
        <w:tc>
          <w:tcPr>
            <w:tcW w:w="1085" w:type="dxa"/>
            <w:tcBorders>
              <w:top w:val="nil"/>
              <w:left w:val="nil"/>
              <w:bottom w:val="nil"/>
              <w:right w:val="nil"/>
            </w:tcBorders>
            <w:shd w:val="clear" w:color="auto" w:fill="FFFFFF"/>
            <w:vAlign w:val="center"/>
          </w:tcPr>
          <w:p w:rsidR="005225B5" w:rsidRPr="006263CF" w:rsidRDefault="005225B5" w:rsidP="00815B61">
            <w:pPr>
              <w:jc w:val="center"/>
              <w:rPr>
                <w:rFonts w:asciiTheme="minorHAnsi" w:hAnsiTheme="minorHAnsi" w:cstheme="minorHAnsi"/>
                <w:sz w:val="18"/>
              </w:rPr>
            </w:pPr>
          </w:p>
        </w:tc>
        <w:tc>
          <w:tcPr>
            <w:tcW w:w="1416" w:type="dxa"/>
            <w:tcBorders>
              <w:top w:val="nil"/>
              <w:left w:val="nil"/>
              <w:bottom w:val="single" w:sz="4" w:space="0" w:color="1F61AA"/>
              <w:right w:val="nil"/>
            </w:tcBorders>
            <w:shd w:val="clear" w:color="auto" w:fill="FFFFFF"/>
            <w:vAlign w:val="center"/>
          </w:tcPr>
          <w:p w:rsidR="005225B5" w:rsidRPr="006263CF" w:rsidRDefault="005225B5" w:rsidP="00815B61">
            <w:pPr>
              <w:ind w:left="55" w:right="5"/>
              <w:jc w:val="center"/>
              <w:rPr>
                <w:rFonts w:asciiTheme="minorHAnsi" w:hAnsiTheme="minorHAnsi" w:cstheme="minorHAnsi"/>
                <w:sz w:val="18"/>
              </w:rPr>
            </w:pPr>
            <w:r w:rsidRPr="006263CF">
              <w:rPr>
                <w:rFonts w:asciiTheme="minorHAnsi" w:hAnsiTheme="minorHAnsi" w:cstheme="minorHAnsi"/>
                <w:color w:val="000000"/>
                <w:sz w:val="16"/>
                <w:szCs w:val="18"/>
              </w:rPr>
              <w:t>ПАС кислота (4г) саше</w:t>
            </w:r>
          </w:p>
        </w:tc>
        <w:tc>
          <w:tcPr>
            <w:tcW w:w="955" w:type="dxa"/>
            <w:tcBorders>
              <w:top w:val="nil"/>
              <w:left w:val="nil"/>
              <w:bottom w:val="single" w:sz="4" w:space="0" w:color="1F61AA"/>
              <w:right w:val="nil"/>
            </w:tcBorders>
            <w:shd w:val="clear" w:color="auto" w:fill="FFFFFF"/>
            <w:vAlign w:val="center"/>
          </w:tcPr>
          <w:p w:rsidR="005225B5" w:rsidRPr="006263CF" w:rsidRDefault="005225B5" w:rsidP="00815B61">
            <w:pPr>
              <w:ind w:left="55" w:right="5"/>
              <w:jc w:val="center"/>
              <w:rPr>
                <w:rFonts w:asciiTheme="minorHAnsi" w:hAnsiTheme="minorHAnsi" w:cstheme="minorHAnsi"/>
                <w:sz w:val="18"/>
              </w:rPr>
            </w:pPr>
            <w:r w:rsidRPr="006263CF">
              <w:rPr>
                <w:rFonts w:asciiTheme="minorHAnsi" w:hAnsiTheme="minorHAnsi" w:cstheme="minorHAnsi"/>
                <w:color w:val="000000"/>
                <w:sz w:val="16"/>
                <w:szCs w:val="18"/>
              </w:rPr>
              <w:t>0,5-0,75 г 2 рази на день</w:t>
            </w:r>
          </w:p>
        </w:tc>
        <w:tc>
          <w:tcPr>
            <w:tcW w:w="926" w:type="dxa"/>
            <w:tcBorders>
              <w:top w:val="nil"/>
              <w:left w:val="nil"/>
              <w:bottom w:val="single" w:sz="4" w:space="0" w:color="1F61AA"/>
              <w:right w:val="nil"/>
            </w:tcBorders>
            <w:shd w:val="clear" w:color="auto" w:fill="FFFFFF"/>
            <w:vAlign w:val="center"/>
          </w:tcPr>
          <w:p w:rsidR="005225B5" w:rsidRPr="006263CF" w:rsidRDefault="005225B5" w:rsidP="00815B61">
            <w:pPr>
              <w:ind w:left="55" w:right="5"/>
              <w:jc w:val="center"/>
              <w:rPr>
                <w:rFonts w:asciiTheme="minorHAnsi" w:hAnsiTheme="minorHAnsi" w:cstheme="minorHAnsi"/>
                <w:sz w:val="18"/>
              </w:rPr>
            </w:pPr>
            <w:r w:rsidRPr="006263CF">
              <w:rPr>
                <w:rFonts w:asciiTheme="minorHAnsi" w:hAnsiTheme="minorHAnsi" w:cstheme="minorHAnsi"/>
                <w:color w:val="000000"/>
                <w:sz w:val="16"/>
                <w:szCs w:val="18"/>
              </w:rPr>
              <w:t>0,75-1 г 2 рази на день</w:t>
            </w:r>
          </w:p>
        </w:tc>
        <w:tc>
          <w:tcPr>
            <w:tcW w:w="950" w:type="dxa"/>
            <w:tcBorders>
              <w:top w:val="nil"/>
              <w:left w:val="nil"/>
              <w:bottom w:val="single" w:sz="4" w:space="0" w:color="1F61AA"/>
              <w:right w:val="nil"/>
            </w:tcBorders>
            <w:shd w:val="clear" w:color="auto" w:fill="FFFFFF"/>
            <w:vAlign w:val="center"/>
          </w:tcPr>
          <w:p w:rsidR="005225B5" w:rsidRPr="006263CF" w:rsidRDefault="005225B5" w:rsidP="00815B61">
            <w:pPr>
              <w:ind w:left="55" w:right="5"/>
              <w:jc w:val="center"/>
              <w:rPr>
                <w:rFonts w:asciiTheme="minorHAnsi" w:hAnsiTheme="minorHAnsi" w:cstheme="minorHAnsi"/>
                <w:sz w:val="18"/>
              </w:rPr>
            </w:pPr>
            <w:r w:rsidRPr="006263CF">
              <w:rPr>
                <w:rFonts w:asciiTheme="minorHAnsi" w:hAnsiTheme="minorHAnsi" w:cstheme="minorHAnsi"/>
                <w:color w:val="000000"/>
                <w:sz w:val="16"/>
                <w:szCs w:val="18"/>
              </w:rPr>
              <w:t>1-2 г 2 рази на день</w:t>
            </w:r>
          </w:p>
        </w:tc>
        <w:tc>
          <w:tcPr>
            <w:tcW w:w="931" w:type="dxa"/>
            <w:tcBorders>
              <w:top w:val="nil"/>
              <w:left w:val="nil"/>
              <w:bottom w:val="single" w:sz="4" w:space="0" w:color="1F61AA"/>
              <w:right w:val="nil"/>
            </w:tcBorders>
            <w:shd w:val="clear" w:color="auto" w:fill="FFFFFF"/>
            <w:vAlign w:val="center"/>
          </w:tcPr>
          <w:p w:rsidR="005225B5" w:rsidRPr="006263CF" w:rsidRDefault="005225B5" w:rsidP="00815B61">
            <w:pPr>
              <w:ind w:left="55" w:right="5"/>
              <w:jc w:val="center"/>
              <w:rPr>
                <w:rFonts w:asciiTheme="minorHAnsi" w:hAnsiTheme="minorHAnsi" w:cstheme="minorHAnsi"/>
                <w:sz w:val="18"/>
              </w:rPr>
            </w:pPr>
            <w:r w:rsidRPr="006263CF">
              <w:rPr>
                <w:rFonts w:asciiTheme="minorHAnsi" w:hAnsiTheme="minorHAnsi" w:cstheme="minorHAnsi"/>
                <w:color w:val="000000"/>
                <w:sz w:val="16"/>
                <w:szCs w:val="18"/>
              </w:rPr>
              <w:t>2-3 г 2 рази на день</w:t>
            </w:r>
          </w:p>
        </w:tc>
        <w:tc>
          <w:tcPr>
            <w:tcW w:w="994" w:type="dxa"/>
            <w:tcBorders>
              <w:top w:val="nil"/>
              <w:left w:val="nil"/>
              <w:bottom w:val="single" w:sz="4" w:space="0" w:color="1F61AA"/>
              <w:right w:val="nil"/>
            </w:tcBorders>
            <w:shd w:val="clear" w:color="auto" w:fill="FFFFFF"/>
            <w:vAlign w:val="center"/>
          </w:tcPr>
          <w:p w:rsidR="005225B5" w:rsidRPr="006263CF" w:rsidRDefault="005225B5" w:rsidP="00815B61">
            <w:pPr>
              <w:ind w:left="55" w:right="5"/>
              <w:jc w:val="center"/>
              <w:rPr>
                <w:rFonts w:asciiTheme="minorHAnsi" w:hAnsiTheme="minorHAnsi" w:cstheme="minorHAnsi"/>
                <w:sz w:val="18"/>
              </w:rPr>
            </w:pPr>
            <w:r w:rsidRPr="006263CF">
              <w:rPr>
                <w:rFonts w:asciiTheme="minorHAnsi" w:hAnsiTheme="minorHAnsi" w:cstheme="minorHAnsi"/>
                <w:color w:val="000000"/>
                <w:sz w:val="16"/>
                <w:szCs w:val="18"/>
              </w:rPr>
              <w:t>3-3,5 г 2 рази на день</w:t>
            </w:r>
          </w:p>
        </w:tc>
        <w:tc>
          <w:tcPr>
            <w:tcW w:w="926" w:type="dxa"/>
            <w:tcBorders>
              <w:top w:val="nil"/>
              <w:left w:val="nil"/>
              <w:bottom w:val="single" w:sz="4" w:space="0" w:color="1F61AA"/>
              <w:right w:val="nil"/>
            </w:tcBorders>
            <w:shd w:val="clear" w:color="auto" w:fill="FFFFFF"/>
            <w:vAlign w:val="center"/>
          </w:tcPr>
          <w:p w:rsidR="005225B5" w:rsidRPr="006263CF" w:rsidRDefault="005225B5" w:rsidP="00815B61">
            <w:pPr>
              <w:ind w:left="55" w:right="5"/>
              <w:jc w:val="center"/>
              <w:rPr>
                <w:rFonts w:asciiTheme="minorHAnsi" w:hAnsiTheme="minorHAnsi" w:cstheme="minorHAnsi"/>
                <w:sz w:val="18"/>
              </w:rPr>
            </w:pPr>
            <w:r w:rsidRPr="006263CF">
              <w:rPr>
                <w:rFonts w:asciiTheme="minorHAnsi" w:hAnsiTheme="minorHAnsi" w:cstheme="minorHAnsi"/>
                <w:color w:val="000000"/>
                <w:sz w:val="16"/>
                <w:szCs w:val="18"/>
              </w:rPr>
              <w:t>(&gt;14 р)</w:t>
            </w:r>
          </w:p>
        </w:tc>
        <w:tc>
          <w:tcPr>
            <w:tcW w:w="1032" w:type="dxa"/>
            <w:tcBorders>
              <w:top w:val="nil"/>
              <w:left w:val="nil"/>
              <w:bottom w:val="single" w:sz="4" w:space="0" w:color="1F61AA"/>
              <w:right w:val="nil"/>
            </w:tcBorders>
            <w:shd w:val="clear" w:color="auto" w:fill="FFFFFF"/>
            <w:vAlign w:val="center"/>
          </w:tcPr>
          <w:p w:rsidR="005225B5" w:rsidRPr="006263CF" w:rsidRDefault="005225B5" w:rsidP="00815B61">
            <w:pPr>
              <w:ind w:left="55" w:right="5"/>
              <w:jc w:val="center"/>
              <w:rPr>
                <w:rFonts w:asciiTheme="minorHAnsi" w:hAnsiTheme="minorHAnsi" w:cstheme="minorHAnsi"/>
                <w:sz w:val="18"/>
              </w:rPr>
            </w:pPr>
            <w:r w:rsidRPr="006263CF">
              <w:rPr>
                <w:rFonts w:asciiTheme="minorHAnsi" w:hAnsiTheme="minorHAnsi" w:cstheme="minorHAnsi"/>
                <w:color w:val="000000"/>
                <w:sz w:val="16"/>
                <w:szCs w:val="18"/>
              </w:rPr>
              <w:t>(&gt;14 р)</w:t>
            </w:r>
          </w:p>
        </w:tc>
        <w:tc>
          <w:tcPr>
            <w:tcW w:w="754" w:type="dxa"/>
            <w:tcBorders>
              <w:top w:val="nil"/>
              <w:left w:val="nil"/>
              <w:bottom w:val="single" w:sz="4" w:space="0" w:color="1F61AA"/>
              <w:right w:val="nil"/>
            </w:tcBorders>
            <w:shd w:val="clear" w:color="auto" w:fill="FFFFFF"/>
            <w:vAlign w:val="center"/>
          </w:tcPr>
          <w:p w:rsidR="005225B5" w:rsidRPr="006263CF" w:rsidRDefault="005225B5" w:rsidP="00815B61">
            <w:pPr>
              <w:jc w:val="center"/>
              <w:rPr>
                <w:rFonts w:asciiTheme="minorHAnsi" w:hAnsiTheme="minorHAnsi" w:cstheme="minorHAnsi"/>
                <w:sz w:val="18"/>
              </w:rPr>
            </w:pPr>
            <w:r w:rsidRPr="006263CF">
              <w:rPr>
                <w:rFonts w:asciiTheme="minorHAnsi" w:hAnsiTheme="minorHAnsi" w:cstheme="minorHAnsi"/>
                <w:color w:val="000000"/>
                <w:sz w:val="16"/>
                <w:szCs w:val="18"/>
              </w:rPr>
              <w:t>-</w:t>
            </w:r>
          </w:p>
        </w:tc>
        <w:tc>
          <w:tcPr>
            <w:tcW w:w="1622" w:type="dxa"/>
            <w:vMerge w:val="restart"/>
            <w:tcBorders>
              <w:top w:val="nil"/>
              <w:left w:val="nil"/>
              <w:bottom w:val="nil"/>
              <w:right w:val="nil"/>
            </w:tcBorders>
            <w:shd w:val="clear" w:color="auto" w:fill="FFFFFF"/>
            <w:vAlign w:val="center"/>
          </w:tcPr>
          <w:p w:rsidR="005225B5" w:rsidRPr="006263CF" w:rsidRDefault="005225B5" w:rsidP="00815B61">
            <w:pPr>
              <w:ind w:left="38" w:right="130"/>
              <w:jc w:val="center"/>
              <w:rPr>
                <w:rFonts w:asciiTheme="minorHAnsi" w:hAnsiTheme="minorHAnsi" w:cstheme="minorHAnsi"/>
                <w:sz w:val="18"/>
              </w:rPr>
            </w:pPr>
            <w:r w:rsidRPr="006263CF">
              <w:rPr>
                <w:rFonts w:asciiTheme="minorHAnsi" w:hAnsiTheme="minorHAnsi" w:cstheme="minorHAnsi"/>
                <w:color w:val="000000"/>
                <w:sz w:val="16"/>
                <w:szCs w:val="18"/>
              </w:rPr>
              <w:t>Повну дозу можна давати один раз на день, якщо переноситься.</w:t>
            </w:r>
          </w:p>
        </w:tc>
      </w:tr>
      <w:tr w:rsidR="005225B5" w:rsidRPr="006263CF" w:rsidTr="00815B61">
        <w:trPr>
          <w:trHeight w:hRule="exact" w:val="1287"/>
        </w:trPr>
        <w:tc>
          <w:tcPr>
            <w:tcW w:w="1138" w:type="dxa"/>
            <w:vMerge/>
            <w:tcBorders>
              <w:top w:val="nil"/>
              <w:left w:val="nil"/>
              <w:bottom w:val="single" w:sz="4" w:space="0" w:color="1F61AA"/>
              <w:right w:val="nil"/>
            </w:tcBorders>
            <w:shd w:val="clear" w:color="auto" w:fill="FFFFFF"/>
            <w:vAlign w:val="center"/>
          </w:tcPr>
          <w:p w:rsidR="005225B5" w:rsidRPr="006263CF" w:rsidRDefault="005225B5" w:rsidP="00815B61">
            <w:pPr>
              <w:jc w:val="center"/>
              <w:rPr>
                <w:rFonts w:asciiTheme="minorHAnsi" w:hAnsiTheme="minorHAnsi" w:cstheme="minorHAnsi"/>
                <w:sz w:val="18"/>
              </w:rPr>
            </w:pPr>
          </w:p>
          <w:p w:rsidR="005225B5" w:rsidRPr="006263CF" w:rsidRDefault="005225B5" w:rsidP="00815B61">
            <w:pPr>
              <w:jc w:val="center"/>
              <w:rPr>
                <w:rFonts w:asciiTheme="minorHAnsi" w:hAnsiTheme="minorHAnsi" w:cstheme="minorHAnsi"/>
                <w:sz w:val="18"/>
              </w:rPr>
            </w:pPr>
          </w:p>
        </w:tc>
        <w:tc>
          <w:tcPr>
            <w:tcW w:w="1368" w:type="dxa"/>
            <w:vMerge/>
            <w:tcBorders>
              <w:top w:val="nil"/>
              <w:left w:val="nil"/>
              <w:bottom w:val="nil"/>
              <w:right w:val="nil"/>
            </w:tcBorders>
            <w:shd w:val="clear" w:color="auto" w:fill="FFFFFF"/>
            <w:vAlign w:val="center"/>
          </w:tcPr>
          <w:p w:rsidR="005225B5" w:rsidRPr="006263CF" w:rsidRDefault="005225B5" w:rsidP="00815B61">
            <w:pPr>
              <w:jc w:val="center"/>
              <w:rPr>
                <w:rFonts w:asciiTheme="minorHAnsi" w:hAnsiTheme="minorHAnsi" w:cstheme="minorHAnsi"/>
                <w:sz w:val="18"/>
              </w:rPr>
            </w:pPr>
          </w:p>
          <w:p w:rsidR="005225B5" w:rsidRPr="006263CF" w:rsidRDefault="005225B5" w:rsidP="00815B61">
            <w:pPr>
              <w:jc w:val="center"/>
              <w:rPr>
                <w:rFonts w:asciiTheme="minorHAnsi" w:hAnsiTheme="minorHAnsi" w:cstheme="minorHAnsi"/>
                <w:sz w:val="18"/>
              </w:rPr>
            </w:pPr>
          </w:p>
        </w:tc>
        <w:tc>
          <w:tcPr>
            <w:tcW w:w="1085" w:type="dxa"/>
            <w:tcBorders>
              <w:top w:val="nil"/>
              <w:left w:val="nil"/>
              <w:bottom w:val="nil"/>
              <w:right w:val="nil"/>
            </w:tcBorders>
            <w:shd w:val="clear" w:color="auto" w:fill="FFFFFF"/>
            <w:vAlign w:val="center"/>
          </w:tcPr>
          <w:p w:rsidR="005225B5" w:rsidRPr="006263CF" w:rsidRDefault="005225B5" w:rsidP="00815B61">
            <w:pPr>
              <w:ind w:left="62" w:right="101"/>
              <w:jc w:val="center"/>
              <w:rPr>
                <w:rFonts w:asciiTheme="minorHAnsi" w:hAnsiTheme="minorHAnsi" w:cstheme="minorHAnsi"/>
                <w:sz w:val="18"/>
              </w:rPr>
            </w:pPr>
            <w:r w:rsidRPr="006263CF">
              <w:rPr>
                <w:rFonts w:asciiTheme="minorHAnsi" w:hAnsiTheme="minorHAnsi" w:cstheme="minorHAnsi"/>
                <w:color w:val="000000"/>
                <w:sz w:val="16"/>
                <w:szCs w:val="18"/>
              </w:rPr>
              <w:t>200-300 мг/кг у 2 прийоми</w:t>
            </w:r>
          </w:p>
        </w:tc>
        <w:tc>
          <w:tcPr>
            <w:tcW w:w="1416" w:type="dxa"/>
            <w:tcBorders>
              <w:top w:val="single" w:sz="4" w:space="0" w:color="1F61AA"/>
              <w:left w:val="nil"/>
              <w:bottom w:val="single" w:sz="4" w:space="0" w:color="1F61AA"/>
              <w:right w:val="nil"/>
            </w:tcBorders>
            <w:shd w:val="clear" w:color="auto" w:fill="FFFFFF"/>
            <w:vAlign w:val="center"/>
          </w:tcPr>
          <w:p w:rsidR="005225B5" w:rsidRPr="006263CF" w:rsidRDefault="005225B5" w:rsidP="00815B61">
            <w:pPr>
              <w:ind w:left="55" w:right="5"/>
              <w:jc w:val="center"/>
              <w:rPr>
                <w:rFonts w:asciiTheme="minorHAnsi" w:hAnsiTheme="minorHAnsi" w:cstheme="minorHAnsi"/>
                <w:sz w:val="18"/>
              </w:rPr>
            </w:pPr>
            <w:r w:rsidRPr="006263CF">
              <w:rPr>
                <w:rFonts w:asciiTheme="minorHAnsi" w:hAnsiTheme="minorHAnsi" w:cstheme="minorHAnsi"/>
                <w:color w:val="000000"/>
                <w:sz w:val="16"/>
                <w:szCs w:val="18"/>
              </w:rPr>
              <w:t>ПАС(п-аміносаліцилова кислота) та натрієва сіль</w:t>
            </w:r>
          </w:p>
          <w:p w:rsidR="005225B5" w:rsidRPr="006263CF" w:rsidRDefault="005225B5" w:rsidP="00815B61">
            <w:pPr>
              <w:ind w:left="55" w:right="5"/>
              <w:jc w:val="center"/>
              <w:rPr>
                <w:rFonts w:asciiTheme="minorHAnsi" w:hAnsiTheme="minorHAnsi" w:cstheme="minorHAnsi"/>
                <w:sz w:val="18"/>
              </w:rPr>
            </w:pPr>
            <w:r w:rsidRPr="006263CF">
              <w:rPr>
                <w:rFonts w:asciiTheme="minorHAnsi" w:hAnsiTheme="minorHAnsi" w:cstheme="minorHAnsi"/>
                <w:color w:val="000000"/>
                <w:sz w:val="16"/>
                <w:szCs w:val="18"/>
              </w:rPr>
              <w:t>(дорівнює</w:t>
            </w:r>
          </w:p>
          <w:p w:rsidR="005225B5" w:rsidRPr="006263CF" w:rsidRDefault="005225B5" w:rsidP="00815B61">
            <w:pPr>
              <w:ind w:left="55" w:right="5"/>
              <w:jc w:val="center"/>
              <w:rPr>
                <w:rFonts w:asciiTheme="minorHAnsi" w:hAnsiTheme="minorHAnsi" w:cstheme="minorHAnsi"/>
                <w:sz w:val="18"/>
              </w:rPr>
            </w:pPr>
            <w:r w:rsidRPr="006263CF">
              <w:rPr>
                <w:rFonts w:asciiTheme="minorHAnsi" w:hAnsiTheme="minorHAnsi" w:cstheme="minorHAnsi"/>
                <w:color w:val="000000"/>
                <w:sz w:val="16"/>
                <w:szCs w:val="18"/>
              </w:rPr>
              <w:t>4 г ПАС кислоти)</w:t>
            </w:r>
          </w:p>
          <w:p w:rsidR="005225B5" w:rsidRPr="006263CF" w:rsidRDefault="005225B5" w:rsidP="00815B61">
            <w:pPr>
              <w:ind w:left="55" w:right="5"/>
              <w:jc w:val="center"/>
              <w:rPr>
                <w:rFonts w:asciiTheme="minorHAnsi" w:hAnsiTheme="minorHAnsi" w:cstheme="minorHAnsi"/>
                <w:sz w:val="18"/>
              </w:rPr>
            </w:pPr>
            <w:r w:rsidRPr="006263CF">
              <w:rPr>
                <w:rFonts w:asciiTheme="minorHAnsi" w:hAnsiTheme="minorHAnsi" w:cstheme="minorHAnsi"/>
                <w:color w:val="000000"/>
                <w:sz w:val="16"/>
                <w:szCs w:val="18"/>
              </w:rPr>
              <w:t>саше</w:t>
            </w:r>
          </w:p>
        </w:tc>
        <w:tc>
          <w:tcPr>
            <w:tcW w:w="955" w:type="dxa"/>
            <w:tcBorders>
              <w:top w:val="single" w:sz="4" w:space="0" w:color="1F61AA"/>
              <w:left w:val="nil"/>
              <w:bottom w:val="single" w:sz="4" w:space="0" w:color="1F61AA"/>
              <w:right w:val="nil"/>
            </w:tcBorders>
            <w:shd w:val="clear" w:color="auto" w:fill="FFFFFF"/>
            <w:vAlign w:val="center"/>
          </w:tcPr>
          <w:p w:rsidR="005225B5" w:rsidRPr="006263CF" w:rsidRDefault="005225B5" w:rsidP="00815B61">
            <w:pPr>
              <w:ind w:left="55" w:right="5"/>
              <w:jc w:val="center"/>
              <w:rPr>
                <w:rFonts w:asciiTheme="minorHAnsi" w:hAnsiTheme="minorHAnsi" w:cstheme="minorHAnsi"/>
                <w:sz w:val="18"/>
              </w:rPr>
            </w:pPr>
            <w:r w:rsidRPr="006263CF">
              <w:rPr>
                <w:rFonts w:asciiTheme="minorHAnsi" w:hAnsiTheme="minorHAnsi" w:cstheme="minorHAnsi"/>
                <w:color w:val="000000"/>
                <w:sz w:val="16"/>
                <w:szCs w:val="18"/>
              </w:rPr>
              <w:t>0,5-0,75 г 2 рази на день</w:t>
            </w:r>
          </w:p>
        </w:tc>
        <w:tc>
          <w:tcPr>
            <w:tcW w:w="926" w:type="dxa"/>
            <w:tcBorders>
              <w:top w:val="single" w:sz="4" w:space="0" w:color="1F61AA"/>
              <w:left w:val="nil"/>
              <w:bottom w:val="single" w:sz="4" w:space="0" w:color="1F61AA"/>
              <w:right w:val="nil"/>
            </w:tcBorders>
            <w:shd w:val="clear" w:color="auto" w:fill="FFFFFF"/>
            <w:vAlign w:val="center"/>
          </w:tcPr>
          <w:p w:rsidR="005225B5" w:rsidRPr="006263CF" w:rsidRDefault="005225B5" w:rsidP="00815B61">
            <w:pPr>
              <w:ind w:left="55" w:right="5"/>
              <w:jc w:val="center"/>
              <w:rPr>
                <w:rFonts w:asciiTheme="minorHAnsi" w:hAnsiTheme="minorHAnsi" w:cstheme="minorHAnsi"/>
                <w:sz w:val="18"/>
              </w:rPr>
            </w:pPr>
            <w:r w:rsidRPr="006263CF">
              <w:rPr>
                <w:rFonts w:asciiTheme="minorHAnsi" w:hAnsiTheme="minorHAnsi" w:cstheme="minorHAnsi"/>
                <w:color w:val="000000"/>
                <w:sz w:val="16"/>
                <w:szCs w:val="18"/>
              </w:rPr>
              <w:t>0,75-1 г 2 рази на день</w:t>
            </w:r>
          </w:p>
        </w:tc>
        <w:tc>
          <w:tcPr>
            <w:tcW w:w="950" w:type="dxa"/>
            <w:tcBorders>
              <w:top w:val="single" w:sz="4" w:space="0" w:color="1F61AA"/>
              <w:left w:val="nil"/>
              <w:bottom w:val="single" w:sz="4" w:space="0" w:color="1F61AA"/>
              <w:right w:val="nil"/>
            </w:tcBorders>
            <w:shd w:val="clear" w:color="auto" w:fill="FFFFFF"/>
            <w:vAlign w:val="center"/>
          </w:tcPr>
          <w:p w:rsidR="005225B5" w:rsidRPr="006263CF" w:rsidRDefault="005225B5" w:rsidP="00815B61">
            <w:pPr>
              <w:ind w:left="55" w:right="5"/>
              <w:jc w:val="center"/>
              <w:rPr>
                <w:rFonts w:asciiTheme="minorHAnsi" w:hAnsiTheme="minorHAnsi" w:cstheme="minorHAnsi"/>
                <w:sz w:val="18"/>
              </w:rPr>
            </w:pPr>
            <w:r w:rsidRPr="006263CF">
              <w:rPr>
                <w:rFonts w:asciiTheme="minorHAnsi" w:hAnsiTheme="minorHAnsi" w:cstheme="minorHAnsi"/>
                <w:color w:val="000000"/>
                <w:sz w:val="16"/>
                <w:szCs w:val="18"/>
              </w:rPr>
              <w:t>1-2 г 2 рази на день</w:t>
            </w:r>
          </w:p>
        </w:tc>
        <w:tc>
          <w:tcPr>
            <w:tcW w:w="931" w:type="dxa"/>
            <w:tcBorders>
              <w:top w:val="single" w:sz="4" w:space="0" w:color="1F61AA"/>
              <w:left w:val="nil"/>
              <w:bottom w:val="single" w:sz="4" w:space="0" w:color="1F61AA"/>
              <w:right w:val="nil"/>
            </w:tcBorders>
            <w:shd w:val="clear" w:color="auto" w:fill="FFFFFF"/>
            <w:vAlign w:val="center"/>
          </w:tcPr>
          <w:p w:rsidR="005225B5" w:rsidRPr="006263CF" w:rsidRDefault="005225B5" w:rsidP="00815B61">
            <w:pPr>
              <w:ind w:left="55" w:right="5"/>
              <w:jc w:val="center"/>
              <w:rPr>
                <w:rFonts w:asciiTheme="minorHAnsi" w:hAnsiTheme="minorHAnsi" w:cstheme="minorHAnsi"/>
                <w:sz w:val="18"/>
              </w:rPr>
            </w:pPr>
            <w:r w:rsidRPr="006263CF">
              <w:rPr>
                <w:rFonts w:asciiTheme="minorHAnsi" w:hAnsiTheme="minorHAnsi" w:cstheme="minorHAnsi"/>
                <w:color w:val="000000"/>
                <w:sz w:val="16"/>
                <w:szCs w:val="18"/>
              </w:rPr>
              <w:t>2-3 г 2 рази на день</w:t>
            </w:r>
          </w:p>
        </w:tc>
        <w:tc>
          <w:tcPr>
            <w:tcW w:w="994" w:type="dxa"/>
            <w:tcBorders>
              <w:top w:val="single" w:sz="4" w:space="0" w:color="1F61AA"/>
              <w:left w:val="nil"/>
              <w:bottom w:val="single" w:sz="4" w:space="0" w:color="1F61AA"/>
              <w:right w:val="nil"/>
            </w:tcBorders>
            <w:shd w:val="clear" w:color="auto" w:fill="FFFFFF"/>
            <w:vAlign w:val="center"/>
          </w:tcPr>
          <w:p w:rsidR="005225B5" w:rsidRPr="006263CF" w:rsidRDefault="005225B5" w:rsidP="00815B61">
            <w:pPr>
              <w:ind w:left="55" w:right="5"/>
              <w:jc w:val="center"/>
              <w:rPr>
                <w:rFonts w:asciiTheme="minorHAnsi" w:hAnsiTheme="minorHAnsi" w:cstheme="minorHAnsi"/>
                <w:sz w:val="18"/>
              </w:rPr>
            </w:pPr>
            <w:r w:rsidRPr="006263CF">
              <w:rPr>
                <w:rFonts w:asciiTheme="minorHAnsi" w:hAnsiTheme="minorHAnsi" w:cstheme="minorHAnsi"/>
                <w:color w:val="000000"/>
                <w:sz w:val="16"/>
                <w:szCs w:val="18"/>
              </w:rPr>
              <w:t>3-3,5 г 2 рази на день</w:t>
            </w:r>
          </w:p>
        </w:tc>
        <w:tc>
          <w:tcPr>
            <w:tcW w:w="926" w:type="dxa"/>
            <w:tcBorders>
              <w:top w:val="single" w:sz="4" w:space="0" w:color="1F61AA"/>
              <w:left w:val="nil"/>
              <w:bottom w:val="single" w:sz="4" w:space="0" w:color="1F61AA"/>
              <w:right w:val="nil"/>
            </w:tcBorders>
            <w:shd w:val="clear" w:color="auto" w:fill="FFFFFF"/>
            <w:vAlign w:val="center"/>
          </w:tcPr>
          <w:p w:rsidR="005225B5" w:rsidRPr="006263CF" w:rsidRDefault="005225B5" w:rsidP="00815B61">
            <w:pPr>
              <w:ind w:left="55" w:right="5"/>
              <w:jc w:val="center"/>
              <w:rPr>
                <w:rFonts w:asciiTheme="minorHAnsi" w:hAnsiTheme="minorHAnsi" w:cstheme="minorHAnsi"/>
                <w:sz w:val="18"/>
              </w:rPr>
            </w:pPr>
            <w:r w:rsidRPr="006263CF">
              <w:rPr>
                <w:rFonts w:asciiTheme="minorHAnsi" w:hAnsiTheme="minorHAnsi" w:cstheme="minorHAnsi"/>
                <w:color w:val="000000"/>
                <w:sz w:val="16"/>
                <w:szCs w:val="18"/>
              </w:rPr>
              <w:t>(&gt;14 р)</w:t>
            </w:r>
          </w:p>
        </w:tc>
        <w:tc>
          <w:tcPr>
            <w:tcW w:w="1032" w:type="dxa"/>
            <w:tcBorders>
              <w:top w:val="single" w:sz="4" w:space="0" w:color="1F61AA"/>
              <w:left w:val="nil"/>
              <w:bottom w:val="single" w:sz="4" w:space="0" w:color="1F61AA"/>
              <w:right w:val="nil"/>
            </w:tcBorders>
            <w:shd w:val="clear" w:color="auto" w:fill="FFFFFF"/>
            <w:vAlign w:val="center"/>
          </w:tcPr>
          <w:p w:rsidR="005225B5" w:rsidRPr="006263CF" w:rsidRDefault="005225B5" w:rsidP="00815B61">
            <w:pPr>
              <w:ind w:left="55" w:right="5"/>
              <w:jc w:val="center"/>
              <w:rPr>
                <w:rFonts w:asciiTheme="minorHAnsi" w:hAnsiTheme="minorHAnsi" w:cstheme="minorHAnsi"/>
                <w:sz w:val="18"/>
              </w:rPr>
            </w:pPr>
            <w:r w:rsidRPr="006263CF">
              <w:rPr>
                <w:rFonts w:asciiTheme="minorHAnsi" w:hAnsiTheme="minorHAnsi" w:cstheme="minorHAnsi"/>
                <w:color w:val="000000"/>
                <w:sz w:val="16"/>
                <w:szCs w:val="18"/>
              </w:rPr>
              <w:t>(&gt;14 р)</w:t>
            </w:r>
          </w:p>
        </w:tc>
        <w:tc>
          <w:tcPr>
            <w:tcW w:w="754" w:type="dxa"/>
            <w:tcBorders>
              <w:top w:val="single" w:sz="4" w:space="0" w:color="1F61AA"/>
              <w:left w:val="nil"/>
              <w:bottom w:val="single" w:sz="4" w:space="0" w:color="1F61AA"/>
              <w:right w:val="nil"/>
            </w:tcBorders>
            <w:shd w:val="clear" w:color="auto" w:fill="FFFFFF"/>
            <w:vAlign w:val="center"/>
          </w:tcPr>
          <w:p w:rsidR="005225B5" w:rsidRPr="006263CF" w:rsidRDefault="005225B5" w:rsidP="00815B61">
            <w:pPr>
              <w:jc w:val="center"/>
              <w:rPr>
                <w:rFonts w:asciiTheme="minorHAnsi" w:hAnsiTheme="minorHAnsi" w:cstheme="minorHAnsi"/>
                <w:sz w:val="18"/>
              </w:rPr>
            </w:pPr>
          </w:p>
        </w:tc>
        <w:tc>
          <w:tcPr>
            <w:tcW w:w="1622" w:type="dxa"/>
            <w:vMerge/>
            <w:tcBorders>
              <w:top w:val="nil"/>
              <w:left w:val="nil"/>
              <w:bottom w:val="nil"/>
              <w:right w:val="nil"/>
            </w:tcBorders>
            <w:shd w:val="clear" w:color="auto" w:fill="FFFFFF"/>
            <w:vAlign w:val="center"/>
          </w:tcPr>
          <w:p w:rsidR="005225B5" w:rsidRPr="006263CF" w:rsidRDefault="005225B5" w:rsidP="00815B61">
            <w:pPr>
              <w:jc w:val="center"/>
              <w:rPr>
                <w:rFonts w:asciiTheme="minorHAnsi" w:hAnsiTheme="minorHAnsi" w:cstheme="minorHAnsi"/>
                <w:sz w:val="18"/>
              </w:rPr>
            </w:pPr>
          </w:p>
          <w:p w:rsidR="005225B5" w:rsidRPr="006263CF" w:rsidRDefault="005225B5" w:rsidP="00815B61">
            <w:pPr>
              <w:jc w:val="center"/>
              <w:rPr>
                <w:rFonts w:asciiTheme="minorHAnsi" w:hAnsiTheme="minorHAnsi" w:cstheme="minorHAnsi"/>
                <w:sz w:val="18"/>
              </w:rPr>
            </w:pPr>
          </w:p>
        </w:tc>
      </w:tr>
      <w:tr w:rsidR="005225B5" w:rsidRPr="006263CF" w:rsidTr="00815B61">
        <w:trPr>
          <w:trHeight w:hRule="exact" w:val="1561"/>
        </w:trPr>
        <w:tc>
          <w:tcPr>
            <w:tcW w:w="1138" w:type="dxa"/>
            <w:vMerge/>
            <w:tcBorders>
              <w:top w:val="nil"/>
              <w:left w:val="nil"/>
              <w:bottom w:val="single" w:sz="4" w:space="0" w:color="1F61AA"/>
              <w:right w:val="nil"/>
            </w:tcBorders>
            <w:shd w:val="clear" w:color="auto" w:fill="FFFFFF"/>
            <w:vAlign w:val="center"/>
          </w:tcPr>
          <w:p w:rsidR="005225B5" w:rsidRPr="006263CF" w:rsidRDefault="005225B5" w:rsidP="00815B61">
            <w:pPr>
              <w:jc w:val="center"/>
              <w:rPr>
                <w:rFonts w:asciiTheme="minorHAnsi" w:hAnsiTheme="minorHAnsi" w:cstheme="minorHAnsi"/>
                <w:sz w:val="18"/>
              </w:rPr>
            </w:pPr>
          </w:p>
          <w:p w:rsidR="005225B5" w:rsidRPr="006263CF" w:rsidRDefault="005225B5" w:rsidP="00815B61">
            <w:pPr>
              <w:jc w:val="center"/>
              <w:rPr>
                <w:rFonts w:asciiTheme="minorHAnsi" w:hAnsiTheme="minorHAnsi" w:cstheme="minorHAnsi"/>
                <w:sz w:val="18"/>
              </w:rPr>
            </w:pPr>
          </w:p>
        </w:tc>
        <w:tc>
          <w:tcPr>
            <w:tcW w:w="1368" w:type="dxa"/>
            <w:vMerge/>
            <w:tcBorders>
              <w:top w:val="nil"/>
              <w:left w:val="nil"/>
              <w:bottom w:val="single" w:sz="4" w:space="0" w:color="1F61AA"/>
              <w:right w:val="nil"/>
            </w:tcBorders>
            <w:shd w:val="clear" w:color="auto" w:fill="FFFFFF"/>
            <w:vAlign w:val="center"/>
          </w:tcPr>
          <w:p w:rsidR="005225B5" w:rsidRPr="006263CF" w:rsidRDefault="005225B5" w:rsidP="00815B61">
            <w:pPr>
              <w:jc w:val="center"/>
              <w:rPr>
                <w:rFonts w:asciiTheme="minorHAnsi" w:hAnsiTheme="minorHAnsi" w:cstheme="minorHAnsi"/>
                <w:sz w:val="18"/>
              </w:rPr>
            </w:pPr>
          </w:p>
          <w:p w:rsidR="005225B5" w:rsidRPr="006263CF" w:rsidRDefault="005225B5" w:rsidP="00815B61">
            <w:pPr>
              <w:jc w:val="center"/>
              <w:rPr>
                <w:rFonts w:asciiTheme="minorHAnsi" w:hAnsiTheme="minorHAnsi" w:cstheme="minorHAnsi"/>
                <w:sz w:val="18"/>
              </w:rPr>
            </w:pPr>
          </w:p>
        </w:tc>
        <w:tc>
          <w:tcPr>
            <w:tcW w:w="1085" w:type="dxa"/>
            <w:tcBorders>
              <w:top w:val="nil"/>
              <w:left w:val="nil"/>
              <w:bottom w:val="single" w:sz="4" w:space="0" w:color="1F61AA"/>
              <w:right w:val="nil"/>
            </w:tcBorders>
            <w:shd w:val="clear" w:color="auto" w:fill="FFFFFF"/>
            <w:vAlign w:val="center"/>
          </w:tcPr>
          <w:p w:rsidR="005225B5" w:rsidRPr="006263CF" w:rsidRDefault="005225B5" w:rsidP="00815B61">
            <w:pPr>
              <w:jc w:val="center"/>
              <w:rPr>
                <w:rFonts w:asciiTheme="minorHAnsi" w:hAnsiTheme="minorHAnsi" w:cstheme="minorHAnsi"/>
                <w:sz w:val="18"/>
              </w:rPr>
            </w:pPr>
            <w:r w:rsidRPr="006263CF">
              <w:rPr>
                <w:rFonts w:asciiTheme="minorHAnsi" w:hAnsiTheme="minorHAnsi" w:cstheme="minorHAnsi"/>
                <w:color w:val="000000"/>
                <w:sz w:val="16"/>
                <w:szCs w:val="18"/>
              </w:rPr>
              <w:t>дози</w:t>
            </w:r>
          </w:p>
        </w:tc>
        <w:tc>
          <w:tcPr>
            <w:tcW w:w="1416" w:type="dxa"/>
            <w:tcBorders>
              <w:top w:val="single" w:sz="4" w:space="0" w:color="1F61AA"/>
              <w:left w:val="nil"/>
              <w:bottom w:val="single" w:sz="4" w:space="0" w:color="1F61AA"/>
              <w:right w:val="nil"/>
            </w:tcBorders>
            <w:shd w:val="clear" w:color="auto" w:fill="FFFFFF"/>
            <w:vAlign w:val="center"/>
          </w:tcPr>
          <w:p w:rsidR="005225B5" w:rsidRPr="006263CF" w:rsidRDefault="005225B5" w:rsidP="00815B61">
            <w:pPr>
              <w:ind w:left="55" w:right="5"/>
              <w:jc w:val="center"/>
              <w:rPr>
                <w:rFonts w:asciiTheme="minorHAnsi" w:hAnsiTheme="minorHAnsi" w:cstheme="minorHAnsi"/>
                <w:sz w:val="18"/>
              </w:rPr>
            </w:pPr>
            <w:r w:rsidRPr="006263CF">
              <w:rPr>
                <w:rFonts w:asciiTheme="minorHAnsi" w:hAnsiTheme="minorHAnsi" w:cstheme="minorHAnsi"/>
                <w:color w:val="000000"/>
                <w:sz w:val="16"/>
                <w:szCs w:val="18"/>
              </w:rPr>
              <w:t>ПАС(п-аміносаліцилова кислота) та натрієва сіль</w:t>
            </w:r>
          </w:p>
          <w:p w:rsidR="005225B5" w:rsidRPr="006263CF" w:rsidRDefault="005225B5" w:rsidP="00815B61">
            <w:pPr>
              <w:ind w:left="55" w:right="5"/>
              <w:jc w:val="center"/>
              <w:rPr>
                <w:rFonts w:asciiTheme="minorHAnsi" w:hAnsiTheme="minorHAnsi" w:cstheme="minorHAnsi"/>
                <w:sz w:val="18"/>
              </w:rPr>
            </w:pPr>
            <w:r w:rsidRPr="006263CF">
              <w:rPr>
                <w:rFonts w:asciiTheme="minorHAnsi" w:hAnsiTheme="minorHAnsi" w:cstheme="minorHAnsi"/>
                <w:color w:val="000000"/>
                <w:sz w:val="16"/>
                <w:szCs w:val="18"/>
              </w:rPr>
              <w:t>60% w/w (9,2 г;</w:t>
            </w:r>
          </w:p>
          <w:p w:rsidR="005225B5" w:rsidRPr="006263CF" w:rsidRDefault="005225B5" w:rsidP="00815B61">
            <w:pPr>
              <w:ind w:left="55" w:right="5"/>
              <w:jc w:val="center"/>
              <w:rPr>
                <w:rFonts w:asciiTheme="minorHAnsi" w:hAnsiTheme="minorHAnsi" w:cstheme="minorHAnsi"/>
                <w:sz w:val="18"/>
              </w:rPr>
            </w:pPr>
            <w:r w:rsidRPr="006263CF">
              <w:rPr>
                <w:rFonts w:asciiTheme="minorHAnsi" w:hAnsiTheme="minorHAnsi" w:cstheme="minorHAnsi"/>
                <w:color w:val="000000"/>
                <w:sz w:val="16"/>
                <w:szCs w:val="18"/>
              </w:rPr>
              <w:t>дорівнює</w:t>
            </w:r>
          </w:p>
          <w:p w:rsidR="005225B5" w:rsidRPr="006263CF" w:rsidRDefault="005225B5" w:rsidP="00815B61">
            <w:pPr>
              <w:ind w:left="55" w:right="5"/>
              <w:jc w:val="center"/>
              <w:rPr>
                <w:rFonts w:asciiTheme="minorHAnsi" w:hAnsiTheme="minorHAnsi" w:cstheme="minorHAnsi"/>
                <w:sz w:val="18"/>
              </w:rPr>
            </w:pPr>
            <w:r w:rsidRPr="006263CF">
              <w:rPr>
                <w:rFonts w:asciiTheme="minorHAnsi" w:hAnsiTheme="minorHAnsi" w:cstheme="minorHAnsi"/>
                <w:color w:val="000000"/>
                <w:sz w:val="16"/>
                <w:szCs w:val="18"/>
              </w:rPr>
              <w:t>4 г ПАС кислоти)</w:t>
            </w:r>
          </w:p>
          <w:p w:rsidR="005225B5" w:rsidRPr="006263CF" w:rsidRDefault="005225B5" w:rsidP="00815B61">
            <w:pPr>
              <w:ind w:left="55" w:right="5"/>
              <w:jc w:val="center"/>
              <w:rPr>
                <w:rFonts w:asciiTheme="minorHAnsi" w:hAnsiTheme="minorHAnsi" w:cstheme="minorHAnsi"/>
                <w:sz w:val="18"/>
              </w:rPr>
            </w:pPr>
            <w:r w:rsidRPr="006263CF">
              <w:rPr>
                <w:rFonts w:asciiTheme="minorHAnsi" w:hAnsiTheme="minorHAnsi" w:cstheme="minorHAnsi"/>
                <w:color w:val="000000"/>
                <w:sz w:val="16"/>
                <w:szCs w:val="18"/>
              </w:rPr>
              <w:t>саше</w:t>
            </w:r>
          </w:p>
        </w:tc>
        <w:tc>
          <w:tcPr>
            <w:tcW w:w="955" w:type="dxa"/>
            <w:tcBorders>
              <w:top w:val="single" w:sz="4" w:space="0" w:color="1F61AA"/>
              <w:left w:val="nil"/>
              <w:bottom w:val="single" w:sz="4" w:space="0" w:color="1F61AA"/>
              <w:right w:val="nil"/>
            </w:tcBorders>
            <w:shd w:val="clear" w:color="auto" w:fill="FFFFFF"/>
            <w:vAlign w:val="center"/>
          </w:tcPr>
          <w:p w:rsidR="005225B5" w:rsidRPr="006263CF" w:rsidRDefault="005225B5" w:rsidP="00815B61">
            <w:pPr>
              <w:ind w:left="55" w:right="5"/>
              <w:jc w:val="center"/>
              <w:rPr>
                <w:rFonts w:asciiTheme="minorHAnsi" w:hAnsiTheme="minorHAnsi" w:cstheme="minorHAnsi"/>
                <w:sz w:val="18"/>
              </w:rPr>
            </w:pPr>
            <w:r w:rsidRPr="006263CF">
              <w:rPr>
                <w:rFonts w:asciiTheme="minorHAnsi" w:hAnsiTheme="minorHAnsi" w:cstheme="minorHAnsi"/>
                <w:color w:val="000000"/>
                <w:sz w:val="16"/>
                <w:szCs w:val="18"/>
              </w:rPr>
              <w:t>1,5 г 2 рази на день</w:t>
            </w:r>
          </w:p>
        </w:tc>
        <w:tc>
          <w:tcPr>
            <w:tcW w:w="926" w:type="dxa"/>
            <w:tcBorders>
              <w:top w:val="single" w:sz="4" w:space="0" w:color="1F61AA"/>
              <w:left w:val="nil"/>
              <w:bottom w:val="single" w:sz="4" w:space="0" w:color="1F61AA"/>
              <w:right w:val="nil"/>
            </w:tcBorders>
            <w:shd w:val="clear" w:color="auto" w:fill="FFFFFF"/>
            <w:vAlign w:val="center"/>
          </w:tcPr>
          <w:p w:rsidR="005225B5" w:rsidRPr="006263CF" w:rsidRDefault="005225B5" w:rsidP="00815B61">
            <w:pPr>
              <w:ind w:left="55" w:right="5"/>
              <w:jc w:val="center"/>
              <w:rPr>
                <w:rFonts w:asciiTheme="minorHAnsi" w:hAnsiTheme="minorHAnsi" w:cstheme="minorHAnsi"/>
                <w:sz w:val="18"/>
              </w:rPr>
            </w:pPr>
            <w:r w:rsidRPr="006263CF">
              <w:rPr>
                <w:rFonts w:asciiTheme="minorHAnsi" w:hAnsiTheme="minorHAnsi" w:cstheme="minorHAnsi"/>
                <w:color w:val="000000"/>
                <w:sz w:val="16"/>
                <w:szCs w:val="18"/>
              </w:rPr>
              <w:t>2-3 г 2 рази на день</w:t>
            </w:r>
          </w:p>
        </w:tc>
        <w:tc>
          <w:tcPr>
            <w:tcW w:w="950" w:type="dxa"/>
            <w:tcBorders>
              <w:top w:val="single" w:sz="4" w:space="0" w:color="1F61AA"/>
              <w:left w:val="nil"/>
              <w:bottom w:val="single" w:sz="4" w:space="0" w:color="1F61AA"/>
              <w:right w:val="nil"/>
            </w:tcBorders>
            <w:shd w:val="clear" w:color="auto" w:fill="FFFFFF"/>
            <w:vAlign w:val="center"/>
          </w:tcPr>
          <w:p w:rsidR="005225B5" w:rsidRPr="006263CF" w:rsidRDefault="005225B5" w:rsidP="00815B61">
            <w:pPr>
              <w:ind w:left="55" w:right="5"/>
              <w:jc w:val="center"/>
              <w:rPr>
                <w:rFonts w:asciiTheme="minorHAnsi" w:hAnsiTheme="minorHAnsi" w:cstheme="minorHAnsi"/>
                <w:sz w:val="18"/>
              </w:rPr>
            </w:pPr>
            <w:r w:rsidRPr="006263CF">
              <w:rPr>
                <w:rFonts w:asciiTheme="minorHAnsi" w:hAnsiTheme="minorHAnsi" w:cstheme="minorHAnsi"/>
                <w:color w:val="000000"/>
                <w:sz w:val="16"/>
                <w:szCs w:val="18"/>
              </w:rPr>
              <w:t>3-4 г 2 рази на день</w:t>
            </w:r>
          </w:p>
        </w:tc>
        <w:tc>
          <w:tcPr>
            <w:tcW w:w="931" w:type="dxa"/>
            <w:tcBorders>
              <w:top w:val="single" w:sz="4" w:space="0" w:color="1F61AA"/>
              <w:left w:val="nil"/>
              <w:bottom w:val="single" w:sz="4" w:space="0" w:color="1F61AA"/>
              <w:right w:val="nil"/>
            </w:tcBorders>
            <w:shd w:val="clear" w:color="auto" w:fill="FFFFFF"/>
            <w:vAlign w:val="center"/>
          </w:tcPr>
          <w:p w:rsidR="005225B5" w:rsidRPr="006263CF" w:rsidRDefault="005225B5" w:rsidP="00815B61">
            <w:pPr>
              <w:ind w:left="55" w:right="5"/>
              <w:jc w:val="center"/>
              <w:rPr>
                <w:rFonts w:asciiTheme="minorHAnsi" w:hAnsiTheme="minorHAnsi" w:cstheme="minorHAnsi"/>
                <w:sz w:val="18"/>
              </w:rPr>
            </w:pPr>
            <w:r w:rsidRPr="006263CF">
              <w:rPr>
                <w:rFonts w:asciiTheme="minorHAnsi" w:hAnsiTheme="minorHAnsi" w:cstheme="minorHAnsi"/>
                <w:color w:val="000000"/>
                <w:sz w:val="16"/>
                <w:szCs w:val="18"/>
              </w:rPr>
              <w:t>4 або 6 г 2 рази на день</w:t>
            </w:r>
          </w:p>
        </w:tc>
        <w:tc>
          <w:tcPr>
            <w:tcW w:w="994" w:type="dxa"/>
            <w:tcBorders>
              <w:top w:val="single" w:sz="4" w:space="0" w:color="1F61AA"/>
              <w:left w:val="nil"/>
              <w:bottom w:val="single" w:sz="4" w:space="0" w:color="1F61AA"/>
              <w:right w:val="nil"/>
            </w:tcBorders>
            <w:shd w:val="clear" w:color="auto" w:fill="FFFFFF"/>
            <w:vAlign w:val="center"/>
          </w:tcPr>
          <w:p w:rsidR="005225B5" w:rsidRPr="006263CF" w:rsidRDefault="005225B5" w:rsidP="00815B61">
            <w:pPr>
              <w:ind w:left="55" w:right="5"/>
              <w:jc w:val="center"/>
              <w:rPr>
                <w:rFonts w:asciiTheme="minorHAnsi" w:hAnsiTheme="minorHAnsi" w:cstheme="minorHAnsi"/>
                <w:sz w:val="18"/>
              </w:rPr>
            </w:pPr>
            <w:r w:rsidRPr="006263CF">
              <w:rPr>
                <w:rFonts w:asciiTheme="minorHAnsi" w:hAnsiTheme="minorHAnsi" w:cstheme="minorHAnsi"/>
                <w:color w:val="000000"/>
                <w:sz w:val="16"/>
                <w:szCs w:val="18"/>
              </w:rPr>
              <w:t>6 або 8 г 2 рази на день</w:t>
            </w:r>
          </w:p>
        </w:tc>
        <w:tc>
          <w:tcPr>
            <w:tcW w:w="926" w:type="dxa"/>
            <w:tcBorders>
              <w:top w:val="single" w:sz="4" w:space="0" w:color="1F61AA"/>
              <w:left w:val="nil"/>
              <w:bottom w:val="single" w:sz="4" w:space="0" w:color="1F61AA"/>
              <w:right w:val="nil"/>
            </w:tcBorders>
            <w:shd w:val="clear" w:color="auto" w:fill="FFFFFF"/>
            <w:vAlign w:val="center"/>
          </w:tcPr>
          <w:p w:rsidR="005225B5" w:rsidRPr="006263CF" w:rsidRDefault="005225B5" w:rsidP="00815B61">
            <w:pPr>
              <w:ind w:left="55" w:right="5"/>
              <w:jc w:val="center"/>
              <w:rPr>
                <w:rFonts w:asciiTheme="minorHAnsi" w:hAnsiTheme="minorHAnsi" w:cstheme="minorHAnsi"/>
                <w:sz w:val="18"/>
              </w:rPr>
            </w:pPr>
            <w:r w:rsidRPr="006263CF">
              <w:rPr>
                <w:rFonts w:asciiTheme="minorHAnsi" w:hAnsiTheme="minorHAnsi" w:cstheme="minorHAnsi"/>
                <w:color w:val="000000"/>
                <w:sz w:val="16"/>
                <w:szCs w:val="18"/>
              </w:rPr>
              <w:t>8-12 г 2 рази на день</w:t>
            </w:r>
          </w:p>
        </w:tc>
        <w:tc>
          <w:tcPr>
            <w:tcW w:w="1032" w:type="dxa"/>
            <w:tcBorders>
              <w:top w:val="single" w:sz="4" w:space="0" w:color="1F61AA"/>
              <w:left w:val="nil"/>
              <w:bottom w:val="single" w:sz="4" w:space="0" w:color="1F61AA"/>
              <w:right w:val="nil"/>
            </w:tcBorders>
            <w:shd w:val="clear" w:color="auto" w:fill="FFFFFF"/>
            <w:vAlign w:val="center"/>
          </w:tcPr>
          <w:p w:rsidR="005225B5" w:rsidRPr="006263CF" w:rsidRDefault="005225B5" w:rsidP="00815B61">
            <w:pPr>
              <w:ind w:left="55" w:right="5"/>
              <w:jc w:val="center"/>
              <w:rPr>
                <w:rFonts w:asciiTheme="minorHAnsi" w:hAnsiTheme="minorHAnsi" w:cstheme="minorHAnsi"/>
                <w:sz w:val="18"/>
              </w:rPr>
            </w:pPr>
            <w:r w:rsidRPr="006263CF">
              <w:rPr>
                <w:rFonts w:asciiTheme="minorHAnsi" w:hAnsiTheme="minorHAnsi" w:cstheme="minorHAnsi"/>
                <w:color w:val="000000"/>
                <w:sz w:val="16"/>
                <w:szCs w:val="18"/>
              </w:rPr>
              <w:t>8-12 г 2 рази на день</w:t>
            </w:r>
          </w:p>
        </w:tc>
        <w:tc>
          <w:tcPr>
            <w:tcW w:w="754" w:type="dxa"/>
            <w:tcBorders>
              <w:top w:val="single" w:sz="4" w:space="0" w:color="1F61AA"/>
              <w:left w:val="nil"/>
              <w:bottom w:val="single" w:sz="4" w:space="0" w:color="1F61AA"/>
              <w:right w:val="nil"/>
            </w:tcBorders>
            <w:shd w:val="clear" w:color="auto" w:fill="FFFFFF"/>
            <w:vAlign w:val="center"/>
          </w:tcPr>
          <w:p w:rsidR="005225B5" w:rsidRPr="006263CF" w:rsidRDefault="005225B5" w:rsidP="00815B61">
            <w:pPr>
              <w:jc w:val="center"/>
              <w:rPr>
                <w:rFonts w:asciiTheme="minorHAnsi" w:hAnsiTheme="minorHAnsi" w:cstheme="minorHAnsi"/>
                <w:sz w:val="18"/>
              </w:rPr>
            </w:pPr>
            <w:r w:rsidRPr="006263CF">
              <w:rPr>
                <w:rFonts w:asciiTheme="minorHAnsi" w:hAnsiTheme="minorHAnsi" w:cstheme="minorHAnsi"/>
                <w:color w:val="000000"/>
                <w:sz w:val="16"/>
                <w:szCs w:val="18"/>
              </w:rPr>
              <w:t>-</w:t>
            </w:r>
          </w:p>
        </w:tc>
        <w:tc>
          <w:tcPr>
            <w:tcW w:w="1622" w:type="dxa"/>
            <w:vMerge/>
            <w:tcBorders>
              <w:top w:val="nil"/>
              <w:left w:val="nil"/>
              <w:bottom w:val="single" w:sz="4" w:space="0" w:color="1F61AA"/>
              <w:right w:val="nil"/>
            </w:tcBorders>
            <w:shd w:val="clear" w:color="auto" w:fill="FFFFFF"/>
            <w:vAlign w:val="center"/>
          </w:tcPr>
          <w:p w:rsidR="005225B5" w:rsidRPr="006263CF" w:rsidRDefault="005225B5" w:rsidP="00815B61">
            <w:pPr>
              <w:jc w:val="center"/>
              <w:rPr>
                <w:rFonts w:asciiTheme="minorHAnsi" w:hAnsiTheme="minorHAnsi" w:cstheme="minorHAnsi"/>
                <w:sz w:val="18"/>
              </w:rPr>
            </w:pPr>
          </w:p>
          <w:p w:rsidR="005225B5" w:rsidRPr="006263CF" w:rsidRDefault="005225B5" w:rsidP="00815B61">
            <w:pPr>
              <w:jc w:val="center"/>
              <w:rPr>
                <w:rFonts w:asciiTheme="minorHAnsi" w:hAnsiTheme="minorHAnsi" w:cstheme="minorHAnsi"/>
                <w:sz w:val="18"/>
              </w:rPr>
            </w:pPr>
          </w:p>
        </w:tc>
      </w:tr>
      <w:tr w:rsidR="005225B5" w:rsidRPr="006263CF" w:rsidTr="00815B61">
        <w:trPr>
          <w:trHeight w:hRule="exact" w:val="1144"/>
        </w:trPr>
        <w:tc>
          <w:tcPr>
            <w:tcW w:w="1138" w:type="dxa"/>
            <w:vMerge w:val="restart"/>
            <w:tcBorders>
              <w:top w:val="single" w:sz="4" w:space="0" w:color="1F61AA"/>
              <w:left w:val="nil"/>
              <w:bottom w:val="nil"/>
              <w:right w:val="nil"/>
            </w:tcBorders>
            <w:shd w:val="clear" w:color="auto" w:fill="FFFFFF"/>
            <w:vAlign w:val="center"/>
          </w:tcPr>
          <w:p w:rsidR="005225B5" w:rsidRPr="006263CF" w:rsidRDefault="005225B5" w:rsidP="00815B61">
            <w:pPr>
              <w:ind w:left="34"/>
              <w:jc w:val="center"/>
              <w:rPr>
                <w:rFonts w:asciiTheme="minorHAnsi" w:hAnsiTheme="minorHAnsi" w:cstheme="minorHAnsi"/>
                <w:sz w:val="18"/>
              </w:rPr>
            </w:pPr>
            <w:r w:rsidRPr="006263CF">
              <w:rPr>
                <w:rFonts w:asciiTheme="minorHAnsi" w:hAnsiTheme="minorHAnsi" w:cstheme="minorHAnsi"/>
                <w:color w:val="000000"/>
                <w:sz w:val="16"/>
                <w:szCs w:val="18"/>
              </w:rPr>
              <w:t>Інші медикаменти</w:t>
            </w:r>
            <w:r w:rsidRPr="006263CF">
              <w:rPr>
                <w:rFonts w:asciiTheme="minorHAnsi" w:hAnsiTheme="minorHAnsi" w:cstheme="minorHAnsi"/>
                <w:color w:val="000000"/>
                <w:sz w:val="16"/>
                <w:szCs w:val="18"/>
                <w:vertAlign w:val="superscript"/>
              </w:rPr>
              <w:t>h</w:t>
            </w:r>
          </w:p>
        </w:tc>
        <w:tc>
          <w:tcPr>
            <w:tcW w:w="1368" w:type="dxa"/>
            <w:vMerge w:val="restart"/>
            <w:tcBorders>
              <w:top w:val="single" w:sz="4" w:space="0" w:color="1F61AA"/>
              <w:left w:val="nil"/>
              <w:bottom w:val="single" w:sz="4" w:space="0" w:color="1F61AA"/>
              <w:right w:val="nil"/>
            </w:tcBorders>
            <w:shd w:val="clear" w:color="auto" w:fill="FFFFFF"/>
            <w:vAlign w:val="center"/>
          </w:tcPr>
          <w:p w:rsidR="005225B5" w:rsidRPr="006263CF" w:rsidRDefault="005225B5" w:rsidP="00815B61">
            <w:pPr>
              <w:jc w:val="center"/>
              <w:rPr>
                <w:rFonts w:asciiTheme="minorHAnsi" w:hAnsiTheme="minorHAnsi" w:cstheme="minorHAnsi"/>
                <w:sz w:val="18"/>
              </w:rPr>
            </w:pPr>
            <w:r w:rsidRPr="006263CF">
              <w:rPr>
                <w:rFonts w:asciiTheme="minorHAnsi" w:hAnsiTheme="minorHAnsi" w:cstheme="minorHAnsi"/>
                <w:color w:val="000000"/>
                <w:sz w:val="16"/>
                <w:szCs w:val="18"/>
              </w:rPr>
              <w:t>Ізоніазид</w:t>
            </w:r>
          </w:p>
        </w:tc>
        <w:tc>
          <w:tcPr>
            <w:tcW w:w="1085" w:type="dxa"/>
            <w:vMerge w:val="restart"/>
            <w:tcBorders>
              <w:top w:val="single" w:sz="4" w:space="0" w:color="1F61AA"/>
              <w:left w:val="nil"/>
              <w:bottom w:val="single" w:sz="4" w:space="0" w:color="1F61AA"/>
              <w:right w:val="nil"/>
            </w:tcBorders>
            <w:shd w:val="clear" w:color="auto" w:fill="FFFFFF"/>
            <w:vAlign w:val="center"/>
          </w:tcPr>
          <w:p w:rsidR="005225B5" w:rsidRPr="006263CF" w:rsidRDefault="005225B5" w:rsidP="00815B61">
            <w:pPr>
              <w:jc w:val="center"/>
              <w:rPr>
                <w:rFonts w:asciiTheme="minorHAnsi" w:hAnsiTheme="minorHAnsi" w:cstheme="minorHAnsi"/>
                <w:sz w:val="18"/>
              </w:rPr>
            </w:pPr>
            <w:r w:rsidRPr="006263CF">
              <w:rPr>
                <w:rFonts w:asciiTheme="minorHAnsi" w:hAnsiTheme="minorHAnsi" w:cstheme="minorHAnsi"/>
                <w:color w:val="000000"/>
                <w:sz w:val="16"/>
                <w:szCs w:val="18"/>
              </w:rPr>
              <w:t>15-20</w:t>
            </w:r>
          </w:p>
          <w:p w:rsidR="005225B5" w:rsidRPr="006263CF" w:rsidRDefault="005225B5" w:rsidP="00815B61">
            <w:pPr>
              <w:jc w:val="center"/>
              <w:rPr>
                <w:rFonts w:asciiTheme="minorHAnsi" w:hAnsiTheme="minorHAnsi" w:cstheme="minorHAnsi"/>
                <w:sz w:val="18"/>
              </w:rPr>
            </w:pPr>
            <w:r w:rsidRPr="006263CF">
              <w:rPr>
                <w:rFonts w:asciiTheme="minorHAnsi" w:hAnsiTheme="minorHAnsi" w:cstheme="minorHAnsi"/>
                <w:color w:val="000000"/>
                <w:sz w:val="16"/>
                <w:szCs w:val="18"/>
              </w:rPr>
              <w:t>мг/кг</w:t>
            </w:r>
          </w:p>
          <w:p w:rsidR="005225B5" w:rsidRPr="006263CF" w:rsidRDefault="005225B5" w:rsidP="00815B61">
            <w:pPr>
              <w:jc w:val="center"/>
              <w:rPr>
                <w:rFonts w:asciiTheme="minorHAnsi" w:hAnsiTheme="minorHAnsi" w:cstheme="minorHAnsi"/>
                <w:sz w:val="18"/>
              </w:rPr>
            </w:pPr>
            <w:r w:rsidRPr="006263CF">
              <w:rPr>
                <w:rFonts w:asciiTheme="minorHAnsi" w:hAnsiTheme="minorHAnsi" w:cstheme="minorHAnsi"/>
                <w:color w:val="000000"/>
                <w:sz w:val="16"/>
                <w:szCs w:val="18"/>
              </w:rPr>
              <w:t>(висока доза)</w:t>
            </w:r>
          </w:p>
        </w:tc>
        <w:tc>
          <w:tcPr>
            <w:tcW w:w="1416" w:type="dxa"/>
            <w:tcBorders>
              <w:top w:val="single" w:sz="4" w:space="0" w:color="1F61AA"/>
              <w:left w:val="nil"/>
              <w:bottom w:val="single" w:sz="4" w:space="0" w:color="1F61AA"/>
              <w:right w:val="nil"/>
            </w:tcBorders>
            <w:shd w:val="clear" w:color="auto" w:fill="FFFFFF"/>
            <w:vAlign w:val="center"/>
          </w:tcPr>
          <w:p w:rsidR="005225B5" w:rsidRPr="006263CF" w:rsidRDefault="005225B5" w:rsidP="00815B61">
            <w:pPr>
              <w:ind w:left="55" w:right="5"/>
              <w:jc w:val="center"/>
              <w:rPr>
                <w:rFonts w:asciiTheme="minorHAnsi" w:hAnsiTheme="minorHAnsi" w:cstheme="minorHAnsi"/>
                <w:sz w:val="18"/>
              </w:rPr>
            </w:pPr>
            <w:r w:rsidRPr="006263CF">
              <w:rPr>
                <w:rFonts w:asciiTheme="minorHAnsi" w:hAnsiTheme="minorHAnsi" w:cstheme="minorHAnsi"/>
                <w:color w:val="000000"/>
                <w:sz w:val="16"/>
                <w:szCs w:val="18"/>
              </w:rPr>
              <w:t>50 мг / 5 мл роз</w:t>
            </w:r>
          </w:p>
        </w:tc>
        <w:tc>
          <w:tcPr>
            <w:tcW w:w="955" w:type="dxa"/>
            <w:tcBorders>
              <w:top w:val="single" w:sz="4" w:space="0" w:color="1F61AA"/>
              <w:left w:val="nil"/>
              <w:bottom w:val="single" w:sz="4" w:space="0" w:color="1F61AA"/>
              <w:right w:val="nil"/>
            </w:tcBorders>
            <w:shd w:val="clear" w:color="auto" w:fill="FFFFFF"/>
            <w:vAlign w:val="center"/>
          </w:tcPr>
          <w:p w:rsidR="005225B5" w:rsidRPr="006263CF" w:rsidRDefault="005225B5" w:rsidP="00815B61">
            <w:pPr>
              <w:ind w:left="55" w:right="5"/>
              <w:jc w:val="center"/>
              <w:rPr>
                <w:rFonts w:asciiTheme="minorHAnsi" w:hAnsiTheme="minorHAnsi" w:cstheme="minorHAnsi"/>
                <w:sz w:val="18"/>
              </w:rPr>
            </w:pPr>
            <w:r w:rsidRPr="006263CF">
              <w:rPr>
                <w:rFonts w:asciiTheme="minorHAnsi" w:hAnsiTheme="minorHAnsi" w:cstheme="minorHAnsi"/>
                <w:color w:val="000000"/>
                <w:sz w:val="16"/>
                <w:szCs w:val="18"/>
              </w:rPr>
              <w:t>8-10 мл</w:t>
            </w:r>
          </w:p>
        </w:tc>
        <w:tc>
          <w:tcPr>
            <w:tcW w:w="926" w:type="dxa"/>
            <w:tcBorders>
              <w:top w:val="single" w:sz="4" w:space="0" w:color="1F61AA"/>
              <w:left w:val="nil"/>
              <w:bottom w:val="single" w:sz="4" w:space="0" w:color="1F61AA"/>
              <w:right w:val="nil"/>
            </w:tcBorders>
            <w:shd w:val="clear" w:color="auto" w:fill="FFFFFF"/>
            <w:vAlign w:val="center"/>
          </w:tcPr>
          <w:p w:rsidR="005225B5" w:rsidRPr="006263CF" w:rsidRDefault="005225B5" w:rsidP="00815B61">
            <w:pPr>
              <w:ind w:left="55" w:right="5"/>
              <w:jc w:val="center"/>
              <w:rPr>
                <w:rFonts w:asciiTheme="minorHAnsi" w:hAnsiTheme="minorHAnsi" w:cstheme="minorHAnsi"/>
                <w:sz w:val="18"/>
              </w:rPr>
            </w:pPr>
            <w:r w:rsidRPr="006263CF">
              <w:rPr>
                <w:rFonts w:asciiTheme="minorHAnsi" w:hAnsiTheme="minorHAnsi" w:cstheme="minorHAnsi"/>
                <w:color w:val="000000"/>
                <w:sz w:val="16"/>
                <w:szCs w:val="18"/>
              </w:rPr>
              <w:t>15 мл</w:t>
            </w:r>
          </w:p>
        </w:tc>
        <w:tc>
          <w:tcPr>
            <w:tcW w:w="950" w:type="dxa"/>
            <w:tcBorders>
              <w:top w:val="single" w:sz="4" w:space="0" w:color="1F61AA"/>
              <w:left w:val="nil"/>
              <w:bottom w:val="single" w:sz="4" w:space="0" w:color="1F61AA"/>
              <w:right w:val="nil"/>
            </w:tcBorders>
            <w:shd w:val="clear" w:color="auto" w:fill="FFFFFF"/>
            <w:vAlign w:val="center"/>
          </w:tcPr>
          <w:p w:rsidR="005225B5" w:rsidRPr="006263CF" w:rsidRDefault="005225B5" w:rsidP="00815B61">
            <w:pPr>
              <w:ind w:left="55" w:right="5"/>
              <w:jc w:val="center"/>
              <w:rPr>
                <w:rFonts w:asciiTheme="minorHAnsi" w:hAnsiTheme="minorHAnsi" w:cstheme="minorHAnsi"/>
                <w:sz w:val="18"/>
              </w:rPr>
            </w:pPr>
            <w:r w:rsidRPr="006263CF">
              <w:rPr>
                <w:rFonts w:asciiTheme="minorHAnsi" w:hAnsiTheme="minorHAnsi" w:cstheme="minorHAnsi"/>
                <w:color w:val="000000"/>
                <w:sz w:val="16"/>
                <w:szCs w:val="18"/>
              </w:rPr>
              <w:t>20 мл</w:t>
            </w:r>
          </w:p>
        </w:tc>
        <w:tc>
          <w:tcPr>
            <w:tcW w:w="931" w:type="dxa"/>
            <w:tcBorders>
              <w:top w:val="single" w:sz="4" w:space="0" w:color="1F61AA"/>
              <w:left w:val="nil"/>
              <w:bottom w:val="single" w:sz="4" w:space="0" w:color="1F61AA"/>
              <w:right w:val="nil"/>
            </w:tcBorders>
            <w:shd w:val="clear" w:color="auto" w:fill="FFFFFF"/>
            <w:vAlign w:val="center"/>
          </w:tcPr>
          <w:p w:rsidR="005225B5" w:rsidRPr="006263CF" w:rsidRDefault="005225B5" w:rsidP="00815B61">
            <w:pPr>
              <w:ind w:left="55" w:right="5"/>
              <w:jc w:val="center"/>
              <w:rPr>
                <w:rFonts w:asciiTheme="minorHAnsi" w:hAnsiTheme="minorHAnsi" w:cstheme="minorHAnsi"/>
                <w:sz w:val="18"/>
              </w:rPr>
            </w:pPr>
            <w:r w:rsidRPr="006263CF">
              <w:rPr>
                <w:rFonts w:asciiTheme="minorHAnsi" w:hAnsiTheme="minorHAnsi" w:cstheme="minorHAnsi"/>
                <w:color w:val="000000"/>
                <w:sz w:val="16"/>
                <w:szCs w:val="18"/>
              </w:rPr>
              <w:t>-</w:t>
            </w:r>
          </w:p>
        </w:tc>
        <w:tc>
          <w:tcPr>
            <w:tcW w:w="994" w:type="dxa"/>
            <w:tcBorders>
              <w:top w:val="single" w:sz="4" w:space="0" w:color="1F61AA"/>
              <w:left w:val="nil"/>
              <w:bottom w:val="single" w:sz="4" w:space="0" w:color="1F61AA"/>
              <w:right w:val="nil"/>
            </w:tcBorders>
            <w:shd w:val="clear" w:color="auto" w:fill="FFFFFF"/>
            <w:vAlign w:val="center"/>
          </w:tcPr>
          <w:p w:rsidR="005225B5" w:rsidRPr="006263CF" w:rsidRDefault="005225B5" w:rsidP="00815B61">
            <w:pPr>
              <w:ind w:left="55" w:right="5"/>
              <w:jc w:val="center"/>
              <w:rPr>
                <w:rFonts w:asciiTheme="minorHAnsi" w:hAnsiTheme="minorHAnsi" w:cstheme="minorHAnsi"/>
                <w:sz w:val="18"/>
              </w:rPr>
            </w:pPr>
            <w:r w:rsidRPr="006263CF">
              <w:rPr>
                <w:rFonts w:asciiTheme="minorHAnsi" w:hAnsiTheme="minorHAnsi" w:cstheme="minorHAnsi"/>
                <w:color w:val="000000"/>
                <w:sz w:val="16"/>
                <w:szCs w:val="18"/>
              </w:rPr>
              <w:t>-</w:t>
            </w:r>
          </w:p>
        </w:tc>
        <w:tc>
          <w:tcPr>
            <w:tcW w:w="926" w:type="dxa"/>
            <w:tcBorders>
              <w:top w:val="single" w:sz="4" w:space="0" w:color="1F61AA"/>
              <w:left w:val="nil"/>
              <w:bottom w:val="single" w:sz="4" w:space="0" w:color="1F61AA"/>
              <w:right w:val="nil"/>
            </w:tcBorders>
            <w:shd w:val="clear" w:color="auto" w:fill="FFFFFF"/>
            <w:vAlign w:val="center"/>
          </w:tcPr>
          <w:p w:rsidR="005225B5" w:rsidRPr="006263CF" w:rsidRDefault="005225B5" w:rsidP="00815B61">
            <w:pPr>
              <w:ind w:left="55" w:right="5"/>
              <w:jc w:val="center"/>
              <w:rPr>
                <w:rFonts w:asciiTheme="minorHAnsi" w:hAnsiTheme="minorHAnsi" w:cstheme="minorHAnsi"/>
                <w:sz w:val="18"/>
              </w:rPr>
            </w:pPr>
            <w:r w:rsidRPr="006263CF">
              <w:rPr>
                <w:rFonts w:asciiTheme="minorHAnsi" w:hAnsiTheme="minorHAnsi" w:cstheme="minorHAnsi"/>
                <w:color w:val="000000"/>
                <w:sz w:val="16"/>
                <w:szCs w:val="18"/>
              </w:rPr>
              <w:t>-</w:t>
            </w:r>
          </w:p>
        </w:tc>
        <w:tc>
          <w:tcPr>
            <w:tcW w:w="1032" w:type="dxa"/>
            <w:tcBorders>
              <w:top w:val="single" w:sz="4" w:space="0" w:color="1F61AA"/>
              <w:left w:val="nil"/>
              <w:bottom w:val="single" w:sz="4" w:space="0" w:color="1F61AA"/>
              <w:right w:val="nil"/>
            </w:tcBorders>
            <w:shd w:val="clear" w:color="auto" w:fill="FFFFFF"/>
            <w:vAlign w:val="center"/>
          </w:tcPr>
          <w:p w:rsidR="005225B5" w:rsidRPr="006263CF" w:rsidRDefault="005225B5" w:rsidP="00815B61">
            <w:pPr>
              <w:ind w:left="55" w:right="5"/>
              <w:jc w:val="center"/>
              <w:rPr>
                <w:rFonts w:asciiTheme="minorHAnsi" w:hAnsiTheme="minorHAnsi" w:cstheme="minorHAnsi"/>
                <w:sz w:val="18"/>
              </w:rPr>
            </w:pPr>
            <w:r w:rsidRPr="006263CF">
              <w:rPr>
                <w:rFonts w:asciiTheme="minorHAnsi" w:hAnsiTheme="minorHAnsi" w:cstheme="minorHAnsi"/>
                <w:color w:val="000000"/>
                <w:sz w:val="16"/>
                <w:szCs w:val="18"/>
              </w:rPr>
              <w:t>-</w:t>
            </w:r>
          </w:p>
        </w:tc>
        <w:tc>
          <w:tcPr>
            <w:tcW w:w="754" w:type="dxa"/>
            <w:vMerge w:val="restart"/>
            <w:tcBorders>
              <w:top w:val="single" w:sz="4" w:space="0" w:color="1F61AA"/>
              <w:left w:val="nil"/>
              <w:bottom w:val="single" w:sz="4" w:space="0" w:color="1F61AA"/>
              <w:right w:val="nil"/>
            </w:tcBorders>
            <w:shd w:val="clear" w:color="auto" w:fill="FFFFFF"/>
            <w:vAlign w:val="center"/>
          </w:tcPr>
          <w:p w:rsidR="005225B5" w:rsidRPr="006263CF" w:rsidRDefault="005225B5" w:rsidP="00815B61">
            <w:pPr>
              <w:jc w:val="center"/>
              <w:rPr>
                <w:rFonts w:asciiTheme="minorHAnsi" w:hAnsiTheme="minorHAnsi" w:cstheme="minorHAnsi"/>
                <w:sz w:val="18"/>
              </w:rPr>
            </w:pPr>
            <w:r w:rsidRPr="006263CF">
              <w:rPr>
                <w:rFonts w:asciiTheme="minorHAnsi" w:hAnsiTheme="minorHAnsi" w:cstheme="minorHAnsi"/>
                <w:color w:val="000000"/>
                <w:sz w:val="16"/>
                <w:szCs w:val="18"/>
              </w:rPr>
              <w:t>-</w:t>
            </w:r>
          </w:p>
        </w:tc>
        <w:tc>
          <w:tcPr>
            <w:tcW w:w="1622" w:type="dxa"/>
            <w:vMerge w:val="restart"/>
            <w:tcBorders>
              <w:top w:val="single" w:sz="4" w:space="0" w:color="1F61AA"/>
              <w:left w:val="nil"/>
              <w:bottom w:val="single" w:sz="4" w:space="0" w:color="1F61AA"/>
              <w:right w:val="nil"/>
            </w:tcBorders>
            <w:shd w:val="clear" w:color="auto" w:fill="FFFFFF"/>
            <w:vAlign w:val="center"/>
          </w:tcPr>
          <w:p w:rsidR="005225B5" w:rsidRPr="006263CF" w:rsidRDefault="005225B5" w:rsidP="00815B61">
            <w:pPr>
              <w:ind w:left="38" w:right="43"/>
              <w:jc w:val="center"/>
              <w:rPr>
                <w:rFonts w:asciiTheme="minorHAnsi" w:hAnsiTheme="minorHAnsi" w:cstheme="minorHAnsi"/>
                <w:sz w:val="18"/>
              </w:rPr>
            </w:pPr>
            <w:r w:rsidRPr="006263CF">
              <w:rPr>
                <w:rFonts w:asciiTheme="minorHAnsi" w:hAnsiTheme="minorHAnsi" w:cstheme="minorHAnsi"/>
                <w:color w:val="000000"/>
                <w:sz w:val="16"/>
                <w:szCs w:val="18"/>
              </w:rPr>
              <w:t>300 мг таблетки ізоніазиду можна застосовувати пацієнтам &gt; 20 кг. Піридоксин завжди призначають з високою дозою ізоніазиду дітям (12,5 мг 1 раз на день у віці &lt;5 років та 25 мг 1 раз на день у віці&gt; 4 роки).</w:t>
            </w:r>
          </w:p>
        </w:tc>
      </w:tr>
      <w:tr w:rsidR="005225B5" w:rsidRPr="006263CF" w:rsidTr="00815B61">
        <w:trPr>
          <w:trHeight w:hRule="exact" w:val="1401"/>
        </w:trPr>
        <w:tc>
          <w:tcPr>
            <w:tcW w:w="1138" w:type="dxa"/>
            <w:vMerge/>
            <w:tcBorders>
              <w:top w:val="nil"/>
              <w:left w:val="nil"/>
              <w:bottom w:val="nil"/>
              <w:right w:val="nil"/>
            </w:tcBorders>
            <w:shd w:val="clear" w:color="auto" w:fill="FFFFFF"/>
            <w:vAlign w:val="center"/>
          </w:tcPr>
          <w:p w:rsidR="005225B5" w:rsidRPr="006263CF" w:rsidRDefault="005225B5" w:rsidP="00815B61">
            <w:pPr>
              <w:jc w:val="center"/>
              <w:rPr>
                <w:rFonts w:asciiTheme="minorHAnsi" w:hAnsiTheme="minorHAnsi" w:cstheme="minorHAnsi"/>
                <w:sz w:val="18"/>
              </w:rPr>
            </w:pPr>
          </w:p>
          <w:p w:rsidR="005225B5" w:rsidRPr="006263CF" w:rsidRDefault="005225B5" w:rsidP="00815B61">
            <w:pPr>
              <w:jc w:val="center"/>
              <w:rPr>
                <w:rFonts w:asciiTheme="minorHAnsi" w:hAnsiTheme="minorHAnsi" w:cstheme="minorHAnsi"/>
                <w:sz w:val="18"/>
              </w:rPr>
            </w:pPr>
          </w:p>
        </w:tc>
        <w:tc>
          <w:tcPr>
            <w:tcW w:w="1368" w:type="dxa"/>
            <w:vMerge/>
            <w:tcBorders>
              <w:top w:val="single" w:sz="4" w:space="0" w:color="1F61AA"/>
              <w:left w:val="nil"/>
              <w:bottom w:val="single" w:sz="4" w:space="0" w:color="1F61AA"/>
              <w:right w:val="nil"/>
            </w:tcBorders>
            <w:shd w:val="clear" w:color="auto" w:fill="FFFFFF"/>
            <w:vAlign w:val="center"/>
          </w:tcPr>
          <w:p w:rsidR="005225B5" w:rsidRPr="006263CF" w:rsidRDefault="005225B5" w:rsidP="00815B61">
            <w:pPr>
              <w:jc w:val="center"/>
              <w:rPr>
                <w:rFonts w:asciiTheme="minorHAnsi" w:hAnsiTheme="minorHAnsi" w:cstheme="minorHAnsi"/>
                <w:sz w:val="18"/>
              </w:rPr>
            </w:pPr>
          </w:p>
          <w:p w:rsidR="005225B5" w:rsidRPr="006263CF" w:rsidRDefault="005225B5" w:rsidP="00815B61">
            <w:pPr>
              <w:jc w:val="center"/>
              <w:rPr>
                <w:rFonts w:asciiTheme="minorHAnsi" w:hAnsiTheme="minorHAnsi" w:cstheme="minorHAnsi"/>
                <w:sz w:val="18"/>
              </w:rPr>
            </w:pPr>
          </w:p>
        </w:tc>
        <w:tc>
          <w:tcPr>
            <w:tcW w:w="1085" w:type="dxa"/>
            <w:vMerge/>
            <w:tcBorders>
              <w:top w:val="single" w:sz="4" w:space="0" w:color="1F61AA"/>
              <w:left w:val="nil"/>
              <w:bottom w:val="single" w:sz="4" w:space="0" w:color="1F61AA"/>
              <w:right w:val="nil"/>
            </w:tcBorders>
            <w:shd w:val="clear" w:color="auto" w:fill="FFFFFF"/>
            <w:vAlign w:val="center"/>
          </w:tcPr>
          <w:p w:rsidR="005225B5" w:rsidRPr="006263CF" w:rsidRDefault="005225B5" w:rsidP="00815B61">
            <w:pPr>
              <w:jc w:val="center"/>
              <w:rPr>
                <w:rFonts w:asciiTheme="minorHAnsi" w:hAnsiTheme="minorHAnsi" w:cstheme="minorHAnsi"/>
                <w:sz w:val="18"/>
              </w:rPr>
            </w:pPr>
          </w:p>
          <w:p w:rsidR="005225B5" w:rsidRPr="006263CF" w:rsidRDefault="005225B5" w:rsidP="00815B61">
            <w:pPr>
              <w:jc w:val="center"/>
              <w:rPr>
                <w:rFonts w:asciiTheme="minorHAnsi" w:hAnsiTheme="minorHAnsi" w:cstheme="minorHAnsi"/>
                <w:sz w:val="18"/>
              </w:rPr>
            </w:pPr>
          </w:p>
        </w:tc>
        <w:tc>
          <w:tcPr>
            <w:tcW w:w="1416" w:type="dxa"/>
            <w:tcBorders>
              <w:top w:val="single" w:sz="4" w:space="0" w:color="1F61AA"/>
              <w:left w:val="nil"/>
              <w:bottom w:val="single" w:sz="4" w:space="0" w:color="1F61AA"/>
              <w:right w:val="nil"/>
            </w:tcBorders>
            <w:shd w:val="clear" w:color="auto" w:fill="FFFFFF"/>
            <w:vAlign w:val="center"/>
          </w:tcPr>
          <w:p w:rsidR="005225B5" w:rsidRPr="006263CF" w:rsidRDefault="005225B5" w:rsidP="00815B61">
            <w:pPr>
              <w:ind w:left="55" w:right="5"/>
              <w:jc w:val="center"/>
              <w:rPr>
                <w:rFonts w:asciiTheme="minorHAnsi" w:hAnsiTheme="minorHAnsi" w:cstheme="minorHAnsi"/>
                <w:sz w:val="18"/>
              </w:rPr>
            </w:pPr>
            <w:r w:rsidRPr="006263CF">
              <w:rPr>
                <w:rFonts w:asciiTheme="minorHAnsi" w:hAnsiTheme="minorHAnsi" w:cstheme="minorHAnsi"/>
                <w:color w:val="000000"/>
                <w:sz w:val="16"/>
                <w:szCs w:val="18"/>
              </w:rPr>
              <w:t>100 мг таб</w:t>
            </w:r>
          </w:p>
        </w:tc>
        <w:tc>
          <w:tcPr>
            <w:tcW w:w="955" w:type="dxa"/>
            <w:tcBorders>
              <w:top w:val="single" w:sz="4" w:space="0" w:color="1F61AA"/>
              <w:left w:val="nil"/>
              <w:bottom w:val="single" w:sz="4" w:space="0" w:color="1F61AA"/>
              <w:right w:val="nil"/>
            </w:tcBorders>
            <w:shd w:val="clear" w:color="auto" w:fill="FFFFFF"/>
            <w:vAlign w:val="center"/>
          </w:tcPr>
          <w:p w:rsidR="005225B5" w:rsidRPr="006263CF" w:rsidRDefault="005225B5" w:rsidP="00815B61">
            <w:pPr>
              <w:ind w:left="55" w:right="5"/>
              <w:jc w:val="center"/>
              <w:rPr>
                <w:rFonts w:asciiTheme="minorHAnsi" w:hAnsiTheme="minorHAnsi" w:cstheme="minorHAnsi"/>
                <w:sz w:val="18"/>
              </w:rPr>
            </w:pPr>
            <w:r w:rsidRPr="006263CF">
              <w:rPr>
                <w:rFonts w:asciiTheme="minorHAnsi" w:hAnsiTheme="minorHAnsi" w:cstheme="minorHAnsi"/>
                <w:color w:val="000000"/>
                <w:sz w:val="16"/>
                <w:szCs w:val="18"/>
              </w:rPr>
              <w:t>1</w:t>
            </w:r>
          </w:p>
        </w:tc>
        <w:tc>
          <w:tcPr>
            <w:tcW w:w="926" w:type="dxa"/>
            <w:tcBorders>
              <w:top w:val="single" w:sz="4" w:space="0" w:color="1F61AA"/>
              <w:left w:val="nil"/>
              <w:bottom w:val="single" w:sz="4" w:space="0" w:color="1F61AA"/>
              <w:right w:val="nil"/>
            </w:tcBorders>
            <w:shd w:val="clear" w:color="auto" w:fill="FFFFFF"/>
            <w:vAlign w:val="center"/>
          </w:tcPr>
          <w:p w:rsidR="005225B5" w:rsidRPr="006263CF" w:rsidRDefault="005225B5" w:rsidP="00815B61">
            <w:pPr>
              <w:ind w:left="55" w:right="5"/>
              <w:jc w:val="center"/>
              <w:rPr>
                <w:rFonts w:asciiTheme="minorHAnsi" w:hAnsiTheme="minorHAnsi" w:cstheme="minorHAnsi"/>
                <w:sz w:val="18"/>
              </w:rPr>
            </w:pPr>
            <w:r w:rsidRPr="006263CF">
              <w:rPr>
                <w:rFonts w:asciiTheme="minorHAnsi" w:hAnsiTheme="minorHAnsi" w:cstheme="minorHAnsi"/>
                <w:color w:val="000000"/>
                <w:sz w:val="16"/>
                <w:szCs w:val="18"/>
              </w:rPr>
              <w:t>1,5</w:t>
            </w:r>
          </w:p>
        </w:tc>
        <w:tc>
          <w:tcPr>
            <w:tcW w:w="950" w:type="dxa"/>
            <w:tcBorders>
              <w:top w:val="single" w:sz="4" w:space="0" w:color="1F61AA"/>
              <w:left w:val="nil"/>
              <w:bottom w:val="single" w:sz="4" w:space="0" w:color="1F61AA"/>
              <w:right w:val="nil"/>
            </w:tcBorders>
            <w:shd w:val="clear" w:color="auto" w:fill="FFFFFF"/>
            <w:vAlign w:val="center"/>
          </w:tcPr>
          <w:p w:rsidR="005225B5" w:rsidRPr="006263CF" w:rsidRDefault="005225B5" w:rsidP="00815B61">
            <w:pPr>
              <w:ind w:left="55" w:right="5"/>
              <w:jc w:val="center"/>
              <w:rPr>
                <w:rFonts w:asciiTheme="minorHAnsi" w:hAnsiTheme="minorHAnsi" w:cstheme="minorHAnsi"/>
                <w:sz w:val="18"/>
              </w:rPr>
            </w:pPr>
            <w:r w:rsidRPr="006263CF">
              <w:rPr>
                <w:rFonts w:asciiTheme="minorHAnsi" w:hAnsiTheme="minorHAnsi" w:cstheme="minorHAnsi"/>
                <w:color w:val="000000"/>
                <w:sz w:val="16"/>
                <w:szCs w:val="18"/>
              </w:rPr>
              <w:t>2</w:t>
            </w:r>
          </w:p>
        </w:tc>
        <w:tc>
          <w:tcPr>
            <w:tcW w:w="931" w:type="dxa"/>
            <w:tcBorders>
              <w:top w:val="single" w:sz="4" w:space="0" w:color="1F61AA"/>
              <w:left w:val="nil"/>
              <w:bottom w:val="single" w:sz="4" w:space="0" w:color="1F61AA"/>
              <w:right w:val="nil"/>
            </w:tcBorders>
            <w:shd w:val="clear" w:color="auto" w:fill="FFFFFF"/>
            <w:vAlign w:val="center"/>
          </w:tcPr>
          <w:p w:rsidR="005225B5" w:rsidRPr="006263CF" w:rsidRDefault="005225B5" w:rsidP="00815B61">
            <w:pPr>
              <w:ind w:left="55" w:right="5"/>
              <w:jc w:val="center"/>
              <w:rPr>
                <w:rFonts w:asciiTheme="minorHAnsi" w:hAnsiTheme="minorHAnsi" w:cstheme="minorHAnsi"/>
                <w:sz w:val="18"/>
              </w:rPr>
            </w:pPr>
            <w:r w:rsidRPr="006263CF">
              <w:rPr>
                <w:rFonts w:asciiTheme="minorHAnsi" w:hAnsiTheme="minorHAnsi" w:cstheme="minorHAnsi"/>
                <w:color w:val="000000"/>
                <w:sz w:val="16"/>
                <w:szCs w:val="18"/>
              </w:rPr>
              <w:t>3</w:t>
            </w:r>
          </w:p>
        </w:tc>
        <w:tc>
          <w:tcPr>
            <w:tcW w:w="994" w:type="dxa"/>
            <w:tcBorders>
              <w:top w:val="single" w:sz="4" w:space="0" w:color="1F61AA"/>
              <w:left w:val="nil"/>
              <w:bottom w:val="single" w:sz="4" w:space="0" w:color="1F61AA"/>
              <w:right w:val="nil"/>
            </w:tcBorders>
            <w:shd w:val="clear" w:color="auto" w:fill="FFFFFF"/>
            <w:vAlign w:val="center"/>
          </w:tcPr>
          <w:p w:rsidR="005225B5" w:rsidRPr="006263CF" w:rsidRDefault="005225B5" w:rsidP="00815B61">
            <w:pPr>
              <w:ind w:left="55" w:right="5"/>
              <w:jc w:val="center"/>
              <w:rPr>
                <w:rFonts w:asciiTheme="minorHAnsi" w:hAnsiTheme="minorHAnsi" w:cstheme="minorHAnsi"/>
                <w:sz w:val="18"/>
              </w:rPr>
            </w:pPr>
            <w:r w:rsidRPr="006263CF">
              <w:rPr>
                <w:rFonts w:asciiTheme="minorHAnsi" w:hAnsiTheme="minorHAnsi" w:cstheme="minorHAnsi"/>
                <w:color w:val="000000"/>
                <w:sz w:val="16"/>
                <w:szCs w:val="18"/>
              </w:rPr>
              <w:t>4</w:t>
            </w:r>
          </w:p>
        </w:tc>
        <w:tc>
          <w:tcPr>
            <w:tcW w:w="926" w:type="dxa"/>
            <w:tcBorders>
              <w:top w:val="single" w:sz="4" w:space="0" w:color="1F61AA"/>
              <w:left w:val="nil"/>
              <w:bottom w:val="single" w:sz="4" w:space="0" w:color="1F61AA"/>
              <w:right w:val="nil"/>
            </w:tcBorders>
            <w:shd w:val="clear" w:color="auto" w:fill="FFFFFF"/>
            <w:vAlign w:val="center"/>
          </w:tcPr>
          <w:p w:rsidR="005225B5" w:rsidRPr="006263CF" w:rsidRDefault="005225B5" w:rsidP="00815B61">
            <w:pPr>
              <w:ind w:left="55" w:right="5"/>
              <w:jc w:val="center"/>
              <w:rPr>
                <w:rFonts w:asciiTheme="minorHAnsi" w:hAnsiTheme="minorHAnsi" w:cstheme="minorHAnsi"/>
                <w:sz w:val="18"/>
              </w:rPr>
            </w:pPr>
            <w:r w:rsidRPr="006263CF">
              <w:rPr>
                <w:rFonts w:asciiTheme="minorHAnsi" w:hAnsiTheme="minorHAnsi" w:cstheme="minorHAnsi"/>
                <w:color w:val="000000"/>
                <w:sz w:val="16"/>
                <w:szCs w:val="18"/>
              </w:rPr>
              <w:t>4</w:t>
            </w:r>
          </w:p>
        </w:tc>
        <w:tc>
          <w:tcPr>
            <w:tcW w:w="1032" w:type="dxa"/>
            <w:tcBorders>
              <w:top w:val="single" w:sz="4" w:space="0" w:color="1F61AA"/>
              <w:left w:val="nil"/>
              <w:bottom w:val="single" w:sz="4" w:space="0" w:color="1F61AA"/>
              <w:right w:val="nil"/>
            </w:tcBorders>
            <w:shd w:val="clear" w:color="auto" w:fill="FFFFFF"/>
            <w:vAlign w:val="center"/>
          </w:tcPr>
          <w:p w:rsidR="005225B5" w:rsidRPr="006263CF" w:rsidRDefault="005225B5" w:rsidP="00815B61">
            <w:pPr>
              <w:ind w:left="55" w:right="5"/>
              <w:jc w:val="center"/>
              <w:rPr>
                <w:rFonts w:asciiTheme="minorHAnsi" w:hAnsiTheme="minorHAnsi" w:cstheme="minorHAnsi"/>
                <w:sz w:val="18"/>
              </w:rPr>
            </w:pPr>
            <w:r w:rsidRPr="006263CF">
              <w:rPr>
                <w:rFonts w:asciiTheme="minorHAnsi" w:hAnsiTheme="minorHAnsi" w:cstheme="minorHAnsi"/>
                <w:color w:val="000000"/>
                <w:sz w:val="16"/>
                <w:szCs w:val="18"/>
              </w:rPr>
              <w:t>(&gt;14 р)</w:t>
            </w:r>
          </w:p>
        </w:tc>
        <w:tc>
          <w:tcPr>
            <w:tcW w:w="754" w:type="dxa"/>
            <w:vMerge/>
            <w:tcBorders>
              <w:top w:val="single" w:sz="4" w:space="0" w:color="1F61AA"/>
              <w:left w:val="nil"/>
              <w:bottom w:val="single" w:sz="4" w:space="0" w:color="1F61AA"/>
              <w:right w:val="nil"/>
            </w:tcBorders>
            <w:shd w:val="clear" w:color="auto" w:fill="FFFFFF"/>
            <w:vAlign w:val="center"/>
          </w:tcPr>
          <w:p w:rsidR="005225B5" w:rsidRPr="006263CF" w:rsidRDefault="005225B5" w:rsidP="00815B61">
            <w:pPr>
              <w:jc w:val="center"/>
              <w:rPr>
                <w:rFonts w:asciiTheme="minorHAnsi" w:hAnsiTheme="minorHAnsi" w:cstheme="minorHAnsi"/>
                <w:sz w:val="18"/>
              </w:rPr>
            </w:pPr>
          </w:p>
          <w:p w:rsidR="005225B5" w:rsidRPr="006263CF" w:rsidRDefault="005225B5" w:rsidP="00815B61">
            <w:pPr>
              <w:jc w:val="center"/>
              <w:rPr>
                <w:rFonts w:asciiTheme="minorHAnsi" w:hAnsiTheme="minorHAnsi" w:cstheme="minorHAnsi"/>
                <w:sz w:val="18"/>
              </w:rPr>
            </w:pPr>
          </w:p>
        </w:tc>
        <w:tc>
          <w:tcPr>
            <w:tcW w:w="1622" w:type="dxa"/>
            <w:vMerge/>
            <w:tcBorders>
              <w:top w:val="single" w:sz="4" w:space="0" w:color="1F61AA"/>
              <w:left w:val="nil"/>
              <w:bottom w:val="single" w:sz="4" w:space="0" w:color="1F61AA"/>
              <w:right w:val="nil"/>
            </w:tcBorders>
            <w:shd w:val="clear" w:color="auto" w:fill="FFFFFF"/>
            <w:vAlign w:val="center"/>
          </w:tcPr>
          <w:p w:rsidR="005225B5" w:rsidRPr="006263CF" w:rsidRDefault="005225B5" w:rsidP="00815B61">
            <w:pPr>
              <w:jc w:val="center"/>
              <w:rPr>
                <w:rFonts w:asciiTheme="minorHAnsi" w:hAnsiTheme="minorHAnsi" w:cstheme="minorHAnsi"/>
                <w:sz w:val="18"/>
              </w:rPr>
            </w:pPr>
          </w:p>
          <w:p w:rsidR="005225B5" w:rsidRPr="006263CF" w:rsidRDefault="005225B5" w:rsidP="00815B61">
            <w:pPr>
              <w:jc w:val="center"/>
              <w:rPr>
                <w:rFonts w:asciiTheme="minorHAnsi" w:hAnsiTheme="minorHAnsi" w:cstheme="minorHAnsi"/>
                <w:sz w:val="18"/>
              </w:rPr>
            </w:pPr>
          </w:p>
        </w:tc>
      </w:tr>
      <w:tr w:rsidR="005225B5" w:rsidRPr="006263CF" w:rsidTr="00815B61">
        <w:trPr>
          <w:trHeight w:hRule="exact" w:val="2130"/>
        </w:trPr>
        <w:tc>
          <w:tcPr>
            <w:tcW w:w="1138" w:type="dxa"/>
            <w:vMerge/>
            <w:tcBorders>
              <w:top w:val="nil"/>
              <w:left w:val="nil"/>
              <w:bottom w:val="single" w:sz="4" w:space="0" w:color="1F61AA"/>
              <w:right w:val="nil"/>
            </w:tcBorders>
            <w:shd w:val="clear" w:color="auto" w:fill="FFFFFF"/>
            <w:vAlign w:val="center"/>
          </w:tcPr>
          <w:p w:rsidR="005225B5" w:rsidRPr="006263CF" w:rsidRDefault="005225B5" w:rsidP="00815B61">
            <w:pPr>
              <w:jc w:val="center"/>
              <w:rPr>
                <w:rFonts w:asciiTheme="minorHAnsi" w:hAnsiTheme="minorHAnsi" w:cstheme="minorHAnsi"/>
                <w:sz w:val="18"/>
              </w:rPr>
            </w:pPr>
          </w:p>
          <w:p w:rsidR="005225B5" w:rsidRPr="006263CF" w:rsidRDefault="005225B5" w:rsidP="00815B61">
            <w:pPr>
              <w:jc w:val="center"/>
              <w:rPr>
                <w:rFonts w:asciiTheme="minorHAnsi" w:hAnsiTheme="minorHAnsi" w:cstheme="minorHAnsi"/>
                <w:sz w:val="18"/>
              </w:rPr>
            </w:pPr>
          </w:p>
        </w:tc>
        <w:tc>
          <w:tcPr>
            <w:tcW w:w="1368" w:type="dxa"/>
            <w:tcBorders>
              <w:top w:val="single" w:sz="4" w:space="0" w:color="1F61AA"/>
              <w:left w:val="nil"/>
              <w:bottom w:val="single" w:sz="4" w:space="0" w:color="1F61AA"/>
              <w:right w:val="nil"/>
            </w:tcBorders>
            <w:shd w:val="clear" w:color="auto" w:fill="FFFFFF"/>
            <w:vAlign w:val="center"/>
          </w:tcPr>
          <w:p w:rsidR="005225B5" w:rsidRPr="006263CF" w:rsidRDefault="005225B5" w:rsidP="00815B61">
            <w:pPr>
              <w:jc w:val="center"/>
              <w:rPr>
                <w:rFonts w:asciiTheme="minorHAnsi" w:hAnsiTheme="minorHAnsi" w:cstheme="minorHAnsi"/>
                <w:sz w:val="18"/>
              </w:rPr>
            </w:pPr>
            <w:r w:rsidRPr="006263CF">
              <w:rPr>
                <w:rFonts w:asciiTheme="minorHAnsi" w:hAnsiTheme="minorHAnsi" w:cstheme="minorHAnsi"/>
                <w:color w:val="000000"/>
                <w:sz w:val="16"/>
                <w:szCs w:val="18"/>
              </w:rPr>
              <w:t>Клавуланова кислота</w:t>
            </w:r>
            <w:r w:rsidRPr="006263CF">
              <w:rPr>
                <w:rFonts w:asciiTheme="minorHAnsi" w:hAnsiTheme="minorHAnsi" w:cstheme="minorHAnsi"/>
                <w:color w:val="000000"/>
                <w:sz w:val="16"/>
                <w:szCs w:val="18"/>
                <w:vertAlign w:val="superscript"/>
              </w:rPr>
              <w:t>і</w:t>
            </w:r>
          </w:p>
        </w:tc>
        <w:tc>
          <w:tcPr>
            <w:tcW w:w="1085" w:type="dxa"/>
            <w:tcBorders>
              <w:top w:val="single" w:sz="4" w:space="0" w:color="1F61AA"/>
              <w:left w:val="nil"/>
              <w:bottom w:val="single" w:sz="4" w:space="0" w:color="1F61AA"/>
              <w:right w:val="nil"/>
            </w:tcBorders>
            <w:shd w:val="clear" w:color="auto" w:fill="FFFFFF"/>
            <w:vAlign w:val="center"/>
          </w:tcPr>
          <w:p w:rsidR="005225B5" w:rsidRPr="006263CF" w:rsidRDefault="005225B5" w:rsidP="00815B61">
            <w:pPr>
              <w:jc w:val="center"/>
              <w:rPr>
                <w:rFonts w:asciiTheme="minorHAnsi" w:hAnsiTheme="minorHAnsi" w:cstheme="minorHAnsi"/>
                <w:sz w:val="18"/>
              </w:rPr>
            </w:pPr>
            <w:r w:rsidRPr="006263CF">
              <w:rPr>
                <w:rFonts w:asciiTheme="minorHAnsi" w:hAnsiTheme="minorHAnsi" w:cstheme="minorHAnsi"/>
                <w:color w:val="000000"/>
                <w:sz w:val="16"/>
                <w:szCs w:val="18"/>
              </w:rPr>
              <w:t>-</w:t>
            </w:r>
          </w:p>
        </w:tc>
        <w:tc>
          <w:tcPr>
            <w:tcW w:w="1416" w:type="dxa"/>
            <w:tcBorders>
              <w:top w:val="single" w:sz="4" w:space="0" w:color="1F61AA"/>
              <w:left w:val="nil"/>
              <w:bottom w:val="single" w:sz="4" w:space="0" w:color="1F61AA"/>
              <w:right w:val="nil"/>
            </w:tcBorders>
            <w:shd w:val="clear" w:color="auto" w:fill="FFFFFF"/>
            <w:vAlign w:val="center"/>
          </w:tcPr>
          <w:p w:rsidR="005225B5" w:rsidRPr="006263CF" w:rsidRDefault="005225B5" w:rsidP="00815B61">
            <w:pPr>
              <w:ind w:left="55" w:right="5"/>
              <w:jc w:val="center"/>
              <w:rPr>
                <w:rFonts w:asciiTheme="minorHAnsi" w:hAnsiTheme="minorHAnsi" w:cstheme="minorHAnsi"/>
                <w:sz w:val="18"/>
              </w:rPr>
            </w:pPr>
            <w:r w:rsidRPr="006263CF">
              <w:rPr>
                <w:rFonts w:asciiTheme="minorHAnsi" w:hAnsiTheme="minorHAnsi" w:cstheme="minorHAnsi"/>
                <w:color w:val="000000"/>
                <w:sz w:val="16"/>
                <w:szCs w:val="18"/>
              </w:rPr>
              <w:t>62,5 мг</w:t>
            </w:r>
          </w:p>
          <w:p w:rsidR="005225B5" w:rsidRPr="006263CF" w:rsidRDefault="005225B5" w:rsidP="00815B61">
            <w:pPr>
              <w:ind w:left="55" w:right="5"/>
              <w:jc w:val="center"/>
              <w:rPr>
                <w:rFonts w:asciiTheme="minorHAnsi" w:hAnsiTheme="minorHAnsi" w:cstheme="minorHAnsi"/>
                <w:sz w:val="18"/>
              </w:rPr>
            </w:pPr>
            <w:r w:rsidRPr="006263CF">
              <w:rPr>
                <w:rFonts w:asciiTheme="minorHAnsi" w:hAnsiTheme="minorHAnsi" w:cstheme="minorHAnsi"/>
                <w:color w:val="000000"/>
                <w:sz w:val="16"/>
                <w:szCs w:val="18"/>
              </w:rPr>
              <w:t>Клавуланова кислота</w:t>
            </w:r>
          </w:p>
          <w:p w:rsidR="005225B5" w:rsidRPr="006263CF" w:rsidRDefault="005225B5" w:rsidP="00815B61">
            <w:pPr>
              <w:ind w:left="55" w:right="5"/>
              <w:jc w:val="center"/>
              <w:rPr>
                <w:rFonts w:asciiTheme="minorHAnsi" w:hAnsiTheme="minorHAnsi" w:cstheme="minorHAnsi"/>
                <w:sz w:val="18"/>
              </w:rPr>
            </w:pPr>
            <w:r w:rsidRPr="006263CF">
              <w:rPr>
                <w:rFonts w:asciiTheme="minorHAnsi" w:hAnsiTheme="minorHAnsi" w:cstheme="minorHAnsi"/>
                <w:color w:val="000000"/>
                <w:sz w:val="16"/>
                <w:szCs w:val="18"/>
              </w:rPr>
              <w:t>як амоксицилін/</w:t>
            </w:r>
          </w:p>
          <w:p w:rsidR="005225B5" w:rsidRPr="006263CF" w:rsidRDefault="005225B5" w:rsidP="00815B61">
            <w:pPr>
              <w:ind w:left="55" w:right="5"/>
              <w:jc w:val="center"/>
              <w:rPr>
                <w:rFonts w:asciiTheme="minorHAnsi" w:hAnsiTheme="minorHAnsi" w:cstheme="minorHAnsi"/>
                <w:sz w:val="18"/>
              </w:rPr>
            </w:pPr>
            <w:r w:rsidRPr="006263CF">
              <w:rPr>
                <w:rFonts w:asciiTheme="minorHAnsi" w:hAnsiTheme="minorHAnsi" w:cstheme="minorHAnsi"/>
                <w:color w:val="000000"/>
                <w:sz w:val="16"/>
                <w:szCs w:val="18"/>
              </w:rPr>
              <w:t>клавуланат,</w:t>
            </w:r>
          </w:p>
          <w:p w:rsidR="005225B5" w:rsidRPr="006263CF" w:rsidRDefault="005225B5" w:rsidP="00815B61">
            <w:pPr>
              <w:ind w:left="55" w:right="5"/>
              <w:jc w:val="center"/>
              <w:rPr>
                <w:rFonts w:asciiTheme="minorHAnsi" w:hAnsiTheme="minorHAnsi" w:cstheme="minorHAnsi"/>
                <w:sz w:val="18"/>
              </w:rPr>
            </w:pPr>
            <w:r w:rsidRPr="006263CF">
              <w:rPr>
                <w:rFonts w:asciiTheme="minorHAnsi" w:hAnsiTheme="minorHAnsi" w:cstheme="minorHAnsi"/>
                <w:color w:val="000000"/>
                <w:sz w:val="16"/>
                <w:szCs w:val="18"/>
              </w:rPr>
              <w:t>250 мг/62.5 мг,</w:t>
            </w:r>
          </w:p>
          <w:p w:rsidR="005225B5" w:rsidRPr="006263CF" w:rsidRDefault="005225B5" w:rsidP="00815B61">
            <w:pPr>
              <w:ind w:left="55" w:right="5"/>
              <w:jc w:val="center"/>
              <w:rPr>
                <w:rFonts w:asciiTheme="minorHAnsi" w:hAnsiTheme="minorHAnsi" w:cstheme="minorHAnsi"/>
                <w:sz w:val="18"/>
              </w:rPr>
            </w:pPr>
            <w:r w:rsidRPr="006263CF">
              <w:rPr>
                <w:rFonts w:asciiTheme="minorHAnsi" w:hAnsiTheme="minorHAnsi" w:cstheme="minorHAnsi"/>
                <w:color w:val="000000"/>
                <w:sz w:val="16"/>
                <w:szCs w:val="18"/>
              </w:rPr>
              <w:t>порошок для перорального застосування</w:t>
            </w:r>
          </w:p>
          <w:p w:rsidR="005225B5" w:rsidRPr="006263CF" w:rsidRDefault="005225B5" w:rsidP="00815B61">
            <w:pPr>
              <w:ind w:left="55" w:right="5"/>
              <w:jc w:val="center"/>
              <w:rPr>
                <w:rFonts w:asciiTheme="minorHAnsi" w:hAnsiTheme="minorHAnsi" w:cstheme="minorHAnsi"/>
                <w:sz w:val="18"/>
              </w:rPr>
            </w:pPr>
            <w:r w:rsidRPr="006263CF">
              <w:rPr>
                <w:rFonts w:asciiTheme="minorHAnsi" w:hAnsiTheme="minorHAnsi" w:cstheme="minorHAnsi"/>
                <w:color w:val="000000"/>
                <w:sz w:val="16"/>
                <w:szCs w:val="18"/>
              </w:rPr>
              <w:t>Розчину, 5 мл</w:t>
            </w:r>
          </w:p>
        </w:tc>
        <w:tc>
          <w:tcPr>
            <w:tcW w:w="955" w:type="dxa"/>
            <w:tcBorders>
              <w:top w:val="single" w:sz="4" w:space="0" w:color="1F61AA"/>
              <w:left w:val="nil"/>
              <w:bottom w:val="single" w:sz="4" w:space="0" w:color="1F61AA"/>
              <w:right w:val="nil"/>
            </w:tcBorders>
            <w:shd w:val="clear" w:color="auto" w:fill="FFFFFF"/>
            <w:vAlign w:val="center"/>
          </w:tcPr>
          <w:p w:rsidR="005225B5" w:rsidRPr="006263CF" w:rsidRDefault="005225B5" w:rsidP="00815B61">
            <w:pPr>
              <w:ind w:left="55" w:right="5"/>
              <w:jc w:val="center"/>
              <w:rPr>
                <w:rFonts w:asciiTheme="minorHAnsi" w:hAnsiTheme="minorHAnsi" w:cstheme="minorHAnsi"/>
                <w:sz w:val="18"/>
              </w:rPr>
            </w:pPr>
            <w:r w:rsidRPr="006263CF">
              <w:rPr>
                <w:rFonts w:asciiTheme="minorHAnsi" w:hAnsiTheme="minorHAnsi" w:cstheme="minorHAnsi"/>
                <w:color w:val="000000"/>
                <w:sz w:val="16"/>
                <w:szCs w:val="18"/>
              </w:rPr>
              <w:t>2 мл 2 рази на день</w:t>
            </w:r>
            <w:r w:rsidRPr="006263CF">
              <w:rPr>
                <w:rFonts w:asciiTheme="minorHAnsi" w:hAnsiTheme="minorHAnsi" w:cstheme="minorHAnsi"/>
                <w:color w:val="000000"/>
                <w:sz w:val="16"/>
                <w:szCs w:val="18"/>
                <w:vertAlign w:val="superscript"/>
              </w:rPr>
              <w:t>і</w:t>
            </w:r>
          </w:p>
        </w:tc>
        <w:tc>
          <w:tcPr>
            <w:tcW w:w="926" w:type="dxa"/>
            <w:tcBorders>
              <w:top w:val="single" w:sz="4" w:space="0" w:color="1F61AA"/>
              <w:left w:val="nil"/>
              <w:bottom w:val="single" w:sz="4" w:space="0" w:color="1F61AA"/>
              <w:right w:val="nil"/>
            </w:tcBorders>
            <w:shd w:val="clear" w:color="auto" w:fill="FFFFFF"/>
            <w:vAlign w:val="center"/>
          </w:tcPr>
          <w:p w:rsidR="005225B5" w:rsidRPr="006263CF" w:rsidRDefault="005225B5" w:rsidP="00815B61">
            <w:pPr>
              <w:ind w:left="55" w:right="5"/>
              <w:jc w:val="center"/>
              <w:rPr>
                <w:rFonts w:asciiTheme="minorHAnsi" w:hAnsiTheme="minorHAnsi" w:cstheme="minorHAnsi"/>
                <w:sz w:val="18"/>
              </w:rPr>
            </w:pPr>
            <w:r w:rsidRPr="006263CF">
              <w:rPr>
                <w:rFonts w:asciiTheme="minorHAnsi" w:hAnsiTheme="minorHAnsi" w:cstheme="minorHAnsi"/>
                <w:color w:val="000000"/>
                <w:sz w:val="16"/>
                <w:szCs w:val="18"/>
              </w:rPr>
              <w:t>3 мл 2 рази на день</w:t>
            </w:r>
            <w:r w:rsidRPr="006263CF">
              <w:rPr>
                <w:rFonts w:asciiTheme="minorHAnsi" w:hAnsiTheme="minorHAnsi" w:cstheme="minorHAnsi"/>
                <w:color w:val="000000"/>
                <w:sz w:val="16"/>
                <w:szCs w:val="18"/>
                <w:vertAlign w:val="superscript"/>
              </w:rPr>
              <w:t>і</w:t>
            </w:r>
          </w:p>
        </w:tc>
        <w:tc>
          <w:tcPr>
            <w:tcW w:w="950" w:type="dxa"/>
            <w:tcBorders>
              <w:top w:val="single" w:sz="4" w:space="0" w:color="1F61AA"/>
              <w:left w:val="nil"/>
              <w:bottom w:val="single" w:sz="4" w:space="0" w:color="1F61AA"/>
              <w:right w:val="nil"/>
            </w:tcBorders>
            <w:shd w:val="clear" w:color="auto" w:fill="FFFFFF"/>
            <w:vAlign w:val="center"/>
          </w:tcPr>
          <w:p w:rsidR="005225B5" w:rsidRPr="006263CF" w:rsidRDefault="005225B5" w:rsidP="00815B61">
            <w:pPr>
              <w:ind w:left="55" w:right="5"/>
              <w:jc w:val="center"/>
              <w:rPr>
                <w:rFonts w:asciiTheme="minorHAnsi" w:hAnsiTheme="minorHAnsi" w:cstheme="minorHAnsi"/>
                <w:sz w:val="18"/>
              </w:rPr>
            </w:pPr>
            <w:r w:rsidRPr="006263CF">
              <w:rPr>
                <w:rFonts w:asciiTheme="minorHAnsi" w:hAnsiTheme="minorHAnsi" w:cstheme="minorHAnsi"/>
                <w:color w:val="000000"/>
                <w:sz w:val="16"/>
                <w:szCs w:val="18"/>
              </w:rPr>
              <w:t>5 мл 2 рази на день</w:t>
            </w:r>
            <w:r w:rsidRPr="006263CF">
              <w:rPr>
                <w:rFonts w:asciiTheme="minorHAnsi" w:hAnsiTheme="minorHAnsi" w:cstheme="minorHAnsi"/>
                <w:color w:val="000000"/>
                <w:sz w:val="16"/>
                <w:szCs w:val="18"/>
                <w:vertAlign w:val="superscript"/>
              </w:rPr>
              <w:t>і</w:t>
            </w:r>
          </w:p>
        </w:tc>
        <w:tc>
          <w:tcPr>
            <w:tcW w:w="931" w:type="dxa"/>
            <w:tcBorders>
              <w:top w:val="single" w:sz="4" w:space="0" w:color="1F61AA"/>
              <w:left w:val="nil"/>
              <w:bottom w:val="single" w:sz="4" w:space="0" w:color="1F61AA"/>
              <w:right w:val="nil"/>
            </w:tcBorders>
            <w:shd w:val="clear" w:color="auto" w:fill="FFFFFF"/>
            <w:vAlign w:val="center"/>
          </w:tcPr>
          <w:p w:rsidR="005225B5" w:rsidRPr="006263CF" w:rsidRDefault="005225B5" w:rsidP="00815B61">
            <w:pPr>
              <w:ind w:left="55" w:right="5"/>
              <w:jc w:val="center"/>
              <w:rPr>
                <w:rFonts w:asciiTheme="minorHAnsi" w:hAnsiTheme="minorHAnsi" w:cstheme="minorHAnsi"/>
                <w:sz w:val="18"/>
              </w:rPr>
            </w:pPr>
            <w:r w:rsidRPr="006263CF">
              <w:rPr>
                <w:rFonts w:asciiTheme="minorHAnsi" w:hAnsiTheme="minorHAnsi" w:cstheme="minorHAnsi"/>
                <w:color w:val="000000"/>
                <w:sz w:val="16"/>
                <w:szCs w:val="18"/>
              </w:rPr>
              <w:t>8 мл 2 рази на день</w:t>
            </w:r>
            <w:r w:rsidRPr="006263CF">
              <w:rPr>
                <w:rFonts w:asciiTheme="minorHAnsi" w:hAnsiTheme="minorHAnsi" w:cstheme="minorHAnsi"/>
                <w:color w:val="000000"/>
                <w:sz w:val="16"/>
                <w:szCs w:val="18"/>
                <w:vertAlign w:val="superscript"/>
              </w:rPr>
              <w:t>і</w:t>
            </w:r>
          </w:p>
        </w:tc>
        <w:tc>
          <w:tcPr>
            <w:tcW w:w="994" w:type="dxa"/>
            <w:tcBorders>
              <w:top w:val="single" w:sz="4" w:space="0" w:color="1F61AA"/>
              <w:left w:val="nil"/>
              <w:bottom w:val="single" w:sz="4" w:space="0" w:color="1F61AA"/>
              <w:right w:val="nil"/>
            </w:tcBorders>
            <w:shd w:val="clear" w:color="auto" w:fill="FFFFFF"/>
            <w:vAlign w:val="center"/>
          </w:tcPr>
          <w:p w:rsidR="005225B5" w:rsidRPr="006263CF" w:rsidRDefault="005225B5" w:rsidP="00815B61">
            <w:pPr>
              <w:ind w:left="55" w:right="5"/>
              <w:jc w:val="center"/>
              <w:rPr>
                <w:rFonts w:asciiTheme="minorHAnsi" w:hAnsiTheme="minorHAnsi" w:cstheme="minorHAnsi"/>
                <w:sz w:val="18"/>
              </w:rPr>
            </w:pPr>
            <w:r w:rsidRPr="006263CF">
              <w:rPr>
                <w:rFonts w:asciiTheme="minorHAnsi" w:hAnsiTheme="minorHAnsi" w:cstheme="minorHAnsi"/>
                <w:color w:val="000000"/>
                <w:sz w:val="16"/>
                <w:szCs w:val="18"/>
              </w:rPr>
              <w:t>10 мл 2 рази на день</w:t>
            </w:r>
            <w:r w:rsidRPr="006263CF">
              <w:rPr>
                <w:rFonts w:asciiTheme="minorHAnsi" w:hAnsiTheme="minorHAnsi" w:cstheme="minorHAnsi"/>
                <w:color w:val="000000"/>
                <w:sz w:val="16"/>
                <w:szCs w:val="18"/>
                <w:vertAlign w:val="superscript"/>
              </w:rPr>
              <w:t>і</w:t>
            </w:r>
          </w:p>
        </w:tc>
        <w:tc>
          <w:tcPr>
            <w:tcW w:w="926" w:type="dxa"/>
            <w:tcBorders>
              <w:top w:val="single" w:sz="4" w:space="0" w:color="1F61AA"/>
              <w:left w:val="nil"/>
              <w:bottom w:val="single" w:sz="4" w:space="0" w:color="1F61AA"/>
              <w:right w:val="nil"/>
            </w:tcBorders>
            <w:shd w:val="clear" w:color="auto" w:fill="FFFFFF"/>
            <w:vAlign w:val="center"/>
          </w:tcPr>
          <w:p w:rsidR="005225B5" w:rsidRPr="006263CF" w:rsidRDefault="005225B5" w:rsidP="00815B61">
            <w:pPr>
              <w:ind w:left="55" w:right="5"/>
              <w:jc w:val="center"/>
              <w:rPr>
                <w:rFonts w:asciiTheme="minorHAnsi" w:hAnsiTheme="minorHAnsi" w:cstheme="minorHAnsi"/>
                <w:sz w:val="18"/>
              </w:rPr>
            </w:pPr>
            <w:r w:rsidRPr="006263CF">
              <w:rPr>
                <w:rFonts w:asciiTheme="minorHAnsi" w:hAnsiTheme="minorHAnsi" w:cstheme="minorHAnsi"/>
                <w:color w:val="000000"/>
                <w:sz w:val="16"/>
                <w:szCs w:val="18"/>
              </w:rPr>
              <w:t>(&gt;14 р)</w:t>
            </w:r>
          </w:p>
        </w:tc>
        <w:tc>
          <w:tcPr>
            <w:tcW w:w="1032" w:type="dxa"/>
            <w:tcBorders>
              <w:top w:val="single" w:sz="4" w:space="0" w:color="1F61AA"/>
              <w:left w:val="nil"/>
              <w:bottom w:val="single" w:sz="4" w:space="0" w:color="1F61AA"/>
              <w:right w:val="nil"/>
            </w:tcBorders>
            <w:shd w:val="clear" w:color="auto" w:fill="FFFFFF"/>
            <w:vAlign w:val="center"/>
          </w:tcPr>
          <w:p w:rsidR="005225B5" w:rsidRPr="006263CF" w:rsidRDefault="005225B5" w:rsidP="00815B61">
            <w:pPr>
              <w:ind w:left="55" w:right="5"/>
              <w:jc w:val="center"/>
              <w:rPr>
                <w:rFonts w:asciiTheme="minorHAnsi" w:hAnsiTheme="minorHAnsi" w:cstheme="minorHAnsi"/>
                <w:sz w:val="18"/>
              </w:rPr>
            </w:pPr>
            <w:r w:rsidRPr="006263CF">
              <w:rPr>
                <w:rFonts w:asciiTheme="minorHAnsi" w:hAnsiTheme="minorHAnsi" w:cstheme="minorHAnsi"/>
                <w:color w:val="000000"/>
                <w:sz w:val="16"/>
                <w:szCs w:val="18"/>
              </w:rPr>
              <w:t>(&gt;14 р)</w:t>
            </w:r>
          </w:p>
        </w:tc>
        <w:tc>
          <w:tcPr>
            <w:tcW w:w="754" w:type="dxa"/>
            <w:tcBorders>
              <w:top w:val="single" w:sz="4" w:space="0" w:color="1F61AA"/>
              <w:left w:val="nil"/>
              <w:bottom w:val="single" w:sz="4" w:space="0" w:color="1F61AA"/>
              <w:right w:val="nil"/>
            </w:tcBorders>
            <w:shd w:val="clear" w:color="auto" w:fill="FFFFFF"/>
            <w:vAlign w:val="center"/>
          </w:tcPr>
          <w:p w:rsidR="005225B5" w:rsidRPr="006263CF" w:rsidRDefault="005225B5" w:rsidP="00815B61">
            <w:pPr>
              <w:jc w:val="center"/>
              <w:rPr>
                <w:rFonts w:asciiTheme="minorHAnsi" w:hAnsiTheme="minorHAnsi" w:cstheme="minorHAnsi"/>
                <w:sz w:val="18"/>
              </w:rPr>
            </w:pPr>
            <w:r w:rsidRPr="006263CF">
              <w:rPr>
                <w:rFonts w:asciiTheme="minorHAnsi" w:hAnsiTheme="minorHAnsi" w:cstheme="minorHAnsi"/>
                <w:color w:val="000000"/>
                <w:sz w:val="16"/>
                <w:szCs w:val="18"/>
              </w:rPr>
              <w:t>-</w:t>
            </w:r>
          </w:p>
        </w:tc>
        <w:tc>
          <w:tcPr>
            <w:tcW w:w="1622" w:type="dxa"/>
            <w:tcBorders>
              <w:top w:val="single" w:sz="4" w:space="0" w:color="1F61AA"/>
              <w:left w:val="nil"/>
              <w:bottom w:val="single" w:sz="4" w:space="0" w:color="1F61AA"/>
              <w:right w:val="nil"/>
            </w:tcBorders>
            <w:shd w:val="clear" w:color="auto" w:fill="FFFFFF"/>
            <w:vAlign w:val="center"/>
          </w:tcPr>
          <w:p w:rsidR="005225B5" w:rsidRPr="006263CF" w:rsidRDefault="005225B5" w:rsidP="00815B61">
            <w:pPr>
              <w:ind w:left="38" w:right="10"/>
              <w:jc w:val="center"/>
              <w:rPr>
                <w:rFonts w:asciiTheme="minorHAnsi" w:hAnsiTheme="minorHAnsi" w:cstheme="minorHAnsi"/>
                <w:sz w:val="18"/>
              </w:rPr>
            </w:pPr>
            <w:r w:rsidRPr="006263CF">
              <w:rPr>
                <w:rFonts w:asciiTheme="minorHAnsi" w:hAnsiTheme="minorHAnsi" w:cstheme="minorHAnsi"/>
                <w:color w:val="000000"/>
                <w:sz w:val="16"/>
                <w:szCs w:val="18"/>
              </w:rPr>
              <w:t>Тільки для використання з карбапенемами.</w:t>
            </w:r>
          </w:p>
        </w:tc>
      </w:tr>
      <w:tr w:rsidR="005225B5" w:rsidRPr="006263CF" w:rsidTr="00815B61">
        <w:trPr>
          <w:trHeight w:hRule="exact" w:val="416"/>
        </w:trPr>
        <w:tc>
          <w:tcPr>
            <w:tcW w:w="14097" w:type="dxa"/>
            <w:gridSpan w:val="13"/>
            <w:tcBorders>
              <w:top w:val="single" w:sz="4" w:space="0" w:color="1F61AA"/>
              <w:left w:val="nil"/>
              <w:bottom w:val="nil"/>
              <w:right w:val="nil"/>
            </w:tcBorders>
            <w:shd w:val="clear" w:color="auto" w:fill="FFFFFF"/>
          </w:tcPr>
          <w:p w:rsidR="005225B5" w:rsidRPr="006263CF" w:rsidRDefault="005225B5" w:rsidP="006263CF">
            <w:pPr>
              <w:rPr>
                <w:rFonts w:asciiTheme="minorHAnsi" w:hAnsiTheme="minorHAnsi" w:cstheme="minorHAnsi"/>
                <w:sz w:val="18"/>
              </w:rPr>
            </w:pPr>
            <w:r w:rsidRPr="006263CF">
              <w:rPr>
                <w:rFonts w:asciiTheme="minorHAnsi" w:hAnsiTheme="minorHAnsi" w:cstheme="minorHAnsi"/>
                <w:color w:val="000000"/>
                <w:sz w:val="16"/>
                <w:szCs w:val="18"/>
              </w:rPr>
              <w:t>(&gt; 14 років): дотримуйтесь окремого графіка дозування для пацієнтів віком від 14 років; чер: почергово; bd: 2 рази на день; кап: капсула; dt: таблетки дисперговані; г: грам; в/м: внутрішньом’язово; в/в: внутрішньовенно; кг: кілограм; мл: мілілітр; мг: міліграм; П/С/П: Понеділок, середа, п’ятниця; р-н: розчин; сусп: суспензія; таб: таблетка.</w:t>
            </w:r>
          </w:p>
        </w:tc>
      </w:tr>
    </w:tbl>
    <w:p w:rsidR="005225B5" w:rsidRPr="006263CF" w:rsidRDefault="005225B5" w:rsidP="006263CF">
      <w:pPr>
        <w:rPr>
          <w:rFonts w:asciiTheme="minorHAnsi" w:hAnsiTheme="minorHAnsi" w:cstheme="minorHAnsi"/>
          <w:sz w:val="18"/>
        </w:rPr>
        <w:sectPr w:rsidR="005225B5" w:rsidRPr="006263CF" w:rsidSect="000344A4">
          <w:pgSz w:w="16838" w:h="11904" w:orient="landscape"/>
          <w:pgMar w:top="1411" w:right="1387" w:bottom="142" w:left="1354" w:header="708" w:footer="0" w:gutter="0"/>
          <w:cols w:space="60"/>
          <w:noEndnote/>
        </w:sectPr>
      </w:pPr>
    </w:p>
    <w:p w:rsidR="005225B5" w:rsidRPr="006263CF" w:rsidRDefault="005225B5" w:rsidP="00815B61">
      <w:pPr>
        <w:tabs>
          <w:tab w:val="left" w:pos="142"/>
        </w:tabs>
        <w:ind w:left="182" w:hanging="182"/>
        <w:jc w:val="both"/>
        <w:rPr>
          <w:rFonts w:asciiTheme="minorHAnsi" w:hAnsiTheme="minorHAnsi" w:cstheme="minorHAnsi"/>
          <w:sz w:val="18"/>
        </w:rPr>
      </w:pPr>
      <w:r w:rsidRPr="006263CF">
        <w:rPr>
          <w:rFonts w:asciiTheme="minorHAnsi" w:hAnsiTheme="minorHAnsi" w:cstheme="minorHAnsi"/>
          <w:color w:val="000000"/>
          <w:sz w:val="14"/>
          <w:szCs w:val="16"/>
        </w:rPr>
        <w:lastRenderedPageBreak/>
        <w:t xml:space="preserve">а </w:t>
      </w:r>
      <w:r w:rsidR="00815B61">
        <w:rPr>
          <w:rFonts w:asciiTheme="minorHAnsi" w:hAnsiTheme="minorHAnsi" w:cstheme="minorHAnsi"/>
          <w:color w:val="000000"/>
          <w:sz w:val="14"/>
          <w:szCs w:val="16"/>
        </w:rPr>
        <w:tab/>
      </w:r>
      <w:r w:rsidR="00815B61">
        <w:rPr>
          <w:rFonts w:asciiTheme="minorHAnsi" w:hAnsiTheme="minorHAnsi" w:cstheme="minorHAnsi"/>
          <w:color w:val="000000"/>
          <w:sz w:val="14"/>
          <w:szCs w:val="16"/>
        </w:rPr>
        <w:tab/>
      </w:r>
      <w:r w:rsidRPr="006263CF">
        <w:rPr>
          <w:rFonts w:asciiTheme="minorHAnsi" w:hAnsiTheme="minorHAnsi" w:cstheme="minorHAnsi"/>
          <w:color w:val="000000"/>
          <w:sz w:val="14"/>
          <w:szCs w:val="16"/>
        </w:rPr>
        <w:t>Дозування були встановлені групами з розробки настанов ВООЗ щодо лікування лікарсько-стійкого туберкульозу (оновлені дані за 2018 і 2020 роки) і Глобальної цільовою групою ВООЗ з вивчення фармакокінетики і фармакодинаміки (ФК/ФД) лікарських препаратів для лікування туберкульозу та іншими експертами. Вони засновані на найостанніших оглядах і передовій практиці в області лікування МР/Риф-ТБ. Для певних препаратів дози повідомляли за результатами фармакокінетичного моделювання на основі принципу аллометричного масштабування (Anderson BJ, Holford NH. Mechanism-based concepts of size and maturity in pharmacokinetics. Annu Rev Pharmacol Toxicol 2008;48:303–32). Завдяки фармакокінетичним властивостям деяких лікарських препаратів запропоновані дози можуть перевищувати показники мг/кг на добу, показані тут, для досягнення концентрації в крові, подібної до цільових рівнів у середнього дорослого пацієнта. Пацієнти з масою &gt; 30 кг повинні дотримуватись графіку, як для пацієнтів &gt; 14 років, якщо не вказано інше. Якщо для одного вагового діапазону надаються множинні дози, то вибирається нижчий або вищий варіант в залежності від того, чи знаходиться пацієнт на нижчому або вищому межі діапазону маси тіла. Більш наближене цільове дозування в мг/кг/д повинно бути спрямоване і є доцільнішим при пероральних або парентеральних розчинах та за наявності твердих форм різної дози. Слід уникати розділення таблеток на половинки чи менші частини, якщо це можливо. Терапевтичний моніторинг лікарських препаратів рекомендується застосовувати, коли доза знаходиться у верхньому та нижньому діапазонах, щоб мінімізувати несприятливі терапевтичні наслідки пере- та недостатнього опромінення відповідно (особливо для ін’єкційних засобів, лінезоліду та фторхінолонів).</w:t>
      </w:r>
    </w:p>
    <w:p w:rsidR="005225B5" w:rsidRPr="006263CF" w:rsidRDefault="005225B5" w:rsidP="00815B61">
      <w:pPr>
        <w:tabs>
          <w:tab w:val="left" w:pos="142"/>
        </w:tabs>
        <w:spacing w:before="67"/>
        <w:ind w:left="182" w:hanging="182"/>
        <w:rPr>
          <w:rFonts w:asciiTheme="minorHAnsi" w:hAnsiTheme="minorHAnsi" w:cstheme="minorHAnsi"/>
          <w:sz w:val="18"/>
        </w:rPr>
      </w:pPr>
      <w:r w:rsidRPr="006263CF">
        <w:rPr>
          <w:rFonts w:asciiTheme="minorHAnsi" w:hAnsiTheme="minorHAnsi" w:cstheme="minorHAnsi"/>
          <w:color w:val="000000"/>
          <w:sz w:val="14"/>
          <w:szCs w:val="16"/>
        </w:rPr>
        <w:t xml:space="preserve">b </w:t>
      </w:r>
      <w:r w:rsidR="00815B61">
        <w:rPr>
          <w:rFonts w:asciiTheme="minorHAnsi" w:hAnsiTheme="minorHAnsi" w:cstheme="minorHAnsi"/>
          <w:color w:val="000000"/>
          <w:sz w:val="14"/>
          <w:szCs w:val="16"/>
        </w:rPr>
        <w:tab/>
      </w:r>
      <w:r w:rsidRPr="006263CF">
        <w:rPr>
          <w:rFonts w:asciiTheme="minorHAnsi" w:hAnsiTheme="minorHAnsi" w:cstheme="minorHAnsi"/>
          <w:color w:val="000000"/>
          <w:sz w:val="14"/>
          <w:szCs w:val="16"/>
        </w:rPr>
        <w:t>Лікарі можуть вирішити перевищити ці значення в окремих випадках для поліпшення терапевтичного ефекту.</w:t>
      </w:r>
    </w:p>
    <w:p w:rsidR="005225B5" w:rsidRPr="006263CF" w:rsidRDefault="005225B5" w:rsidP="00815B61">
      <w:pPr>
        <w:tabs>
          <w:tab w:val="left" w:pos="142"/>
        </w:tabs>
        <w:spacing w:before="62"/>
        <w:ind w:left="182" w:hanging="182"/>
        <w:jc w:val="both"/>
        <w:rPr>
          <w:rFonts w:asciiTheme="minorHAnsi" w:hAnsiTheme="minorHAnsi" w:cstheme="minorHAnsi"/>
          <w:sz w:val="18"/>
        </w:rPr>
      </w:pPr>
      <w:r w:rsidRPr="006263CF">
        <w:rPr>
          <w:rFonts w:asciiTheme="minorHAnsi" w:hAnsiTheme="minorHAnsi" w:cstheme="minorHAnsi"/>
          <w:color w:val="000000"/>
          <w:sz w:val="14"/>
          <w:szCs w:val="16"/>
        </w:rPr>
        <w:t xml:space="preserve">c </w:t>
      </w:r>
      <w:r w:rsidR="00815B61">
        <w:rPr>
          <w:rFonts w:asciiTheme="minorHAnsi" w:hAnsiTheme="minorHAnsi" w:cstheme="minorHAnsi"/>
          <w:color w:val="000000"/>
          <w:sz w:val="14"/>
          <w:szCs w:val="16"/>
        </w:rPr>
        <w:tab/>
      </w:r>
      <w:r w:rsidRPr="006263CF">
        <w:rPr>
          <w:rFonts w:asciiTheme="minorHAnsi" w:hAnsiTheme="minorHAnsi" w:cstheme="minorHAnsi"/>
          <w:color w:val="000000"/>
          <w:sz w:val="14"/>
          <w:szCs w:val="16"/>
        </w:rPr>
        <w:t>Розчинення у 10 мл води може полегшити введення препаратів пацієнтам у категоріях з меншою вагою та уникнути фракції твердих рецептур, хоча біодоступність є невизначеною (бажано використовувати дисперговані таблетки, якщо вони є).</w:t>
      </w:r>
    </w:p>
    <w:p w:rsidR="005225B5" w:rsidRPr="006263CF" w:rsidRDefault="005225B5" w:rsidP="00815B61">
      <w:pPr>
        <w:tabs>
          <w:tab w:val="left" w:pos="142"/>
        </w:tabs>
        <w:spacing w:before="67"/>
        <w:ind w:left="182" w:hanging="182"/>
        <w:rPr>
          <w:rFonts w:asciiTheme="minorHAnsi" w:hAnsiTheme="minorHAnsi" w:cstheme="minorHAnsi"/>
          <w:sz w:val="18"/>
        </w:rPr>
      </w:pPr>
      <w:r w:rsidRPr="006263CF">
        <w:rPr>
          <w:rFonts w:asciiTheme="minorHAnsi" w:hAnsiTheme="minorHAnsi" w:cstheme="minorHAnsi"/>
          <w:color w:val="000000"/>
          <w:sz w:val="14"/>
          <w:szCs w:val="16"/>
        </w:rPr>
        <w:t xml:space="preserve">d </w:t>
      </w:r>
      <w:r w:rsidR="00815B61">
        <w:rPr>
          <w:rFonts w:asciiTheme="minorHAnsi" w:hAnsiTheme="minorHAnsi" w:cstheme="minorHAnsi"/>
          <w:color w:val="000000"/>
          <w:sz w:val="14"/>
          <w:szCs w:val="16"/>
        </w:rPr>
        <w:tab/>
      </w:r>
      <w:r w:rsidRPr="006263CF">
        <w:rPr>
          <w:rFonts w:asciiTheme="minorHAnsi" w:hAnsiTheme="minorHAnsi" w:cstheme="minorHAnsi"/>
          <w:color w:val="000000"/>
          <w:sz w:val="14"/>
          <w:szCs w:val="16"/>
        </w:rPr>
        <w:t>Для осіб &gt; 44 кг пропонується доза у розмірі 600 мг.</w:t>
      </w:r>
    </w:p>
    <w:p w:rsidR="005225B5" w:rsidRPr="006263CF" w:rsidRDefault="005225B5" w:rsidP="00815B61">
      <w:pPr>
        <w:tabs>
          <w:tab w:val="left" w:pos="142"/>
        </w:tabs>
        <w:spacing w:before="67"/>
        <w:ind w:left="182" w:hanging="182"/>
        <w:rPr>
          <w:rFonts w:asciiTheme="minorHAnsi" w:hAnsiTheme="minorHAnsi" w:cstheme="minorHAnsi"/>
          <w:sz w:val="18"/>
        </w:rPr>
      </w:pPr>
      <w:r w:rsidRPr="006263CF">
        <w:rPr>
          <w:rFonts w:asciiTheme="minorHAnsi" w:hAnsiTheme="minorHAnsi" w:cstheme="minorHAnsi"/>
          <w:color w:val="000000"/>
          <w:sz w:val="14"/>
          <w:szCs w:val="16"/>
        </w:rPr>
        <w:t xml:space="preserve">e </w:t>
      </w:r>
      <w:r w:rsidR="00815B61">
        <w:rPr>
          <w:rFonts w:asciiTheme="minorHAnsi" w:hAnsiTheme="minorHAnsi" w:cstheme="minorHAnsi"/>
          <w:color w:val="000000"/>
          <w:sz w:val="14"/>
          <w:szCs w:val="16"/>
        </w:rPr>
        <w:tab/>
      </w:r>
      <w:r w:rsidRPr="006263CF">
        <w:rPr>
          <w:rFonts w:asciiTheme="minorHAnsi" w:hAnsiTheme="minorHAnsi" w:cstheme="minorHAnsi"/>
          <w:color w:val="000000"/>
          <w:sz w:val="14"/>
          <w:szCs w:val="16"/>
        </w:rPr>
        <w:t>Очікується, що таблетки стануть доступними найближчим часом.</w:t>
      </w:r>
    </w:p>
    <w:p w:rsidR="005225B5" w:rsidRPr="006263CF" w:rsidRDefault="005225B5" w:rsidP="00815B61">
      <w:pPr>
        <w:tabs>
          <w:tab w:val="left" w:pos="142"/>
        </w:tabs>
        <w:spacing w:before="53"/>
        <w:ind w:left="182" w:right="5" w:hanging="182"/>
        <w:jc w:val="both"/>
        <w:rPr>
          <w:rFonts w:asciiTheme="minorHAnsi" w:hAnsiTheme="minorHAnsi" w:cstheme="minorHAnsi"/>
          <w:sz w:val="18"/>
        </w:rPr>
      </w:pPr>
      <w:r w:rsidRPr="006263CF">
        <w:rPr>
          <w:rFonts w:asciiTheme="minorHAnsi" w:hAnsiTheme="minorHAnsi" w:cstheme="minorHAnsi"/>
          <w:color w:val="000000"/>
          <w:sz w:val="14"/>
          <w:szCs w:val="16"/>
        </w:rPr>
        <w:t xml:space="preserve">f </w:t>
      </w:r>
      <w:r w:rsidR="00815B61">
        <w:rPr>
          <w:rFonts w:asciiTheme="minorHAnsi" w:hAnsiTheme="minorHAnsi" w:cstheme="minorHAnsi"/>
          <w:color w:val="000000"/>
          <w:sz w:val="14"/>
          <w:szCs w:val="16"/>
        </w:rPr>
        <w:tab/>
      </w:r>
      <w:r w:rsidRPr="006263CF">
        <w:rPr>
          <w:rFonts w:asciiTheme="minorHAnsi" w:hAnsiTheme="minorHAnsi" w:cstheme="minorHAnsi"/>
          <w:color w:val="000000"/>
          <w:sz w:val="14"/>
          <w:szCs w:val="16"/>
        </w:rPr>
        <w:t>Може застосовуватися дітьми 3–5 років. Якщо дати дітям таблетку 50 мг, то це не призведе до його накопичення у крові, що спостерігалося в ході випробувань з використанням спеціальних 25 мг дитячих таблеток. Біодоступність може бути додатково змінена, коли таблетку 50 мг розщеплюють, подрібнюють або розчиняють.</w:t>
      </w:r>
    </w:p>
    <w:p w:rsidR="005225B5" w:rsidRPr="006263CF" w:rsidRDefault="005225B5" w:rsidP="00815B61">
      <w:pPr>
        <w:tabs>
          <w:tab w:val="left" w:pos="142"/>
        </w:tabs>
        <w:spacing w:before="53"/>
        <w:ind w:left="182" w:hanging="182"/>
        <w:jc w:val="both"/>
        <w:rPr>
          <w:rFonts w:asciiTheme="minorHAnsi" w:hAnsiTheme="minorHAnsi" w:cstheme="minorHAnsi"/>
          <w:sz w:val="18"/>
        </w:rPr>
      </w:pPr>
      <w:r w:rsidRPr="006263CF">
        <w:rPr>
          <w:rFonts w:asciiTheme="minorHAnsi" w:hAnsiTheme="minorHAnsi" w:cstheme="minorHAnsi"/>
          <w:color w:val="000000"/>
          <w:sz w:val="14"/>
          <w:szCs w:val="16"/>
        </w:rPr>
        <w:t xml:space="preserve">f </w:t>
      </w:r>
      <w:r w:rsidR="00815B61">
        <w:rPr>
          <w:rFonts w:asciiTheme="minorHAnsi" w:hAnsiTheme="minorHAnsi" w:cstheme="minorHAnsi"/>
          <w:color w:val="000000"/>
          <w:sz w:val="14"/>
          <w:szCs w:val="16"/>
        </w:rPr>
        <w:tab/>
      </w:r>
      <w:r w:rsidRPr="006263CF">
        <w:rPr>
          <w:rFonts w:asciiTheme="minorHAnsi" w:hAnsiTheme="minorHAnsi" w:cstheme="minorHAnsi"/>
          <w:color w:val="000000"/>
          <w:sz w:val="14"/>
          <w:szCs w:val="16"/>
        </w:rPr>
        <w:t>Добова доза основана на вазі становить 6 або 7 днів на тиждень (П/С/П планування може дозволити більш високе дозування). Показані обсяги можуть відрізнятися залежно від підготовки. Стрептоміцин можна розводити трьома різними способами. Дозування ближче до верхньої межі мг/кг/добу є більш бажаним. Для використання в/в об'єм може бути збільшений.</w:t>
      </w:r>
    </w:p>
    <w:p w:rsidR="005225B5" w:rsidRPr="006263CF" w:rsidRDefault="005225B5" w:rsidP="00815B61">
      <w:pPr>
        <w:tabs>
          <w:tab w:val="left" w:pos="142"/>
        </w:tabs>
        <w:spacing w:before="62"/>
        <w:ind w:left="182" w:hanging="182"/>
        <w:rPr>
          <w:rFonts w:asciiTheme="minorHAnsi" w:hAnsiTheme="minorHAnsi" w:cstheme="minorHAnsi"/>
          <w:sz w:val="18"/>
        </w:rPr>
      </w:pPr>
      <w:r w:rsidRPr="006263CF">
        <w:rPr>
          <w:rFonts w:asciiTheme="minorHAnsi" w:hAnsiTheme="minorHAnsi" w:cstheme="minorHAnsi"/>
          <w:color w:val="000000"/>
          <w:sz w:val="14"/>
          <w:szCs w:val="16"/>
        </w:rPr>
        <w:t xml:space="preserve">h </w:t>
      </w:r>
      <w:r w:rsidR="00815B61">
        <w:rPr>
          <w:rFonts w:asciiTheme="minorHAnsi" w:hAnsiTheme="minorHAnsi" w:cstheme="minorHAnsi"/>
          <w:color w:val="000000"/>
          <w:sz w:val="14"/>
          <w:szCs w:val="16"/>
        </w:rPr>
        <w:tab/>
      </w:r>
      <w:r w:rsidRPr="006263CF">
        <w:rPr>
          <w:rFonts w:asciiTheme="minorHAnsi" w:hAnsiTheme="minorHAnsi" w:cstheme="minorHAnsi"/>
          <w:color w:val="000000"/>
          <w:sz w:val="14"/>
          <w:szCs w:val="16"/>
        </w:rPr>
        <w:t>Ці препарати рекомендується застосовувати лише як супутні препарати (амоксицилін/клавуланова кислота) або не включати через відсутність даних останнього аналізу щодо довгострокових схем лікування МР-ТБ у дорослих (ізоніазид).</w:t>
      </w:r>
    </w:p>
    <w:p w:rsidR="005225B5" w:rsidRPr="006263CF" w:rsidRDefault="005225B5" w:rsidP="00815B61">
      <w:pPr>
        <w:tabs>
          <w:tab w:val="left" w:pos="142"/>
        </w:tabs>
        <w:spacing w:before="67"/>
        <w:ind w:left="182" w:hanging="182"/>
        <w:rPr>
          <w:rFonts w:asciiTheme="minorHAnsi" w:hAnsiTheme="minorHAnsi" w:cstheme="minorHAnsi"/>
          <w:sz w:val="18"/>
        </w:rPr>
      </w:pPr>
      <w:r w:rsidRPr="006263CF">
        <w:rPr>
          <w:rFonts w:asciiTheme="minorHAnsi" w:hAnsiTheme="minorHAnsi" w:cstheme="minorHAnsi"/>
          <w:color w:val="000000"/>
          <w:sz w:val="14"/>
          <w:szCs w:val="16"/>
        </w:rPr>
        <w:t xml:space="preserve">i </w:t>
      </w:r>
      <w:r w:rsidR="00815B61">
        <w:rPr>
          <w:rFonts w:asciiTheme="minorHAnsi" w:hAnsiTheme="minorHAnsi" w:cstheme="minorHAnsi"/>
          <w:color w:val="000000"/>
          <w:sz w:val="14"/>
          <w:szCs w:val="16"/>
        </w:rPr>
        <w:tab/>
      </w:r>
      <w:r w:rsidRPr="006263CF">
        <w:rPr>
          <w:rFonts w:asciiTheme="minorHAnsi" w:hAnsiTheme="minorHAnsi" w:cstheme="minorHAnsi"/>
          <w:color w:val="000000"/>
          <w:sz w:val="14"/>
          <w:szCs w:val="16"/>
        </w:rPr>
        <w:t>Випускається лише в поєднанні з амоксициліном, як ко-амоксиклав. Тільки для використання з карбапенемами, і в цьому випадку вони даються разом, наприклад 125 мг 2 рази на день або 125 мг 3 рази на день у діапазоні маси тіла від 24 до 30 кг.</w:t>
      </w:r>
    </w:p>
    <w:p w:rsidR="005225B5" w:rsidRPr="006263CF" w:rsidRDefault="005225B5" w:rsidP="006263CF">
      <w:pPr>
        <w:spacing w:before="91"/>
        <w:rPr>
          <w:rFonts w:asciiTheme="minorHAnsi" w:hAnsiTheme="minorHAnsi" w:cstheme="minorHAnsi"/>
        </w:rPr>
      </w:pPr>
      <w:r w:rsidRPr="006263CF">
        <w:rPr>
          <w:rFonts w:asciiTheme="minorHAnsi" w:hAnsiTheme="minorHAnsi" w:cstheme="minorHAnsi"/>
          <w:i/>
          <w:iCs/>
          <w:color w:val="000000"/>
          <w:sz w:val="18"/>
          <w:szCs w:val="18"/>
        </w:rPr>
        <w:t>Детальніше про вживання лікарських препаратів див. у посібнику.</w:t>
      </w:r>
    </w:p>
    <w:p w:rsidR="005225B5" w:rsidRPr="006263CF" w:rsidRDefault="005225B5" w:rsidP="006263CF">
      <w:pPr>
        <w:spacing w:before="91"/>
        <w:rPr>
          <w:rFonts w:asciiTheme="minorHAnsi" w:hAnsiTheme="minorHAnsi" w:cstheme="minorHAnsi"/>
        </w:rPr>
        <w:sectPr w:rsidR="005225B5" w:rsidRPr="006263CF">
          <w:pgSz w:w="16838" w:h="11904" w:orient="landscape"/>
          <w:pgMar w:top="1363" w:right="1416" w:bottom="5539" w:left="1416" w:header="708" w:footer="708" w:gutter="0"/>
          <w:cols w:space="60"/>
          <w:noEndnote/>
        </w:sectPr>
      </w:pPr>
    </w:p>
    <w:p w:rsidR="005225B5" w:rsidRPr="006263CF" w:rsidRDefault="005225B5" w:rsidP="006263CF">
      <w:pPr>
        <w:rPr>
          <w:rFonts w:asciiTheme="minorHAnsi" w:hAnsiTheme="minorHAnsi" w:cstheme="minorHAnsi"/>
        </w:rPr>
      </w:pPr>
    </w:p>
    <w:p w:rsidR="005225B5" w:rsidRPr="006263CF" w:rsidRDefault="005225B5" w:rsidP="006263CF">
      <w:pPr>
        <w:rPr>
          <w:rFonts w:asciiTheme="minorHAnsi" w:hAnsiTheme="minorHAnsi" w:cstheme="minorHAnsi"/>
        </w:rPr>
        <w:sectPr w:rsidR="005225B5" w:rsidRPr="006263CF">
          <w:headerReference w:type="default" r:id="rId53"/>
          <w:footerReference w:type="default" r:id="rId54"/>
          <w:pgSz w:w="11904" w:h="16838"/>
          <w:pgMar w:top="1162" w:right="1114" w:bottom="14626" w:left="1272" w:header="708" w:footer="708" w:gutter="0"/>
          <w:cols w:space="60"/>
          <w:noEndnote/>
        </w:sectPr>
      </w:pPr>
    </w:p>
    <w:p w:rsidR="005225B5" w:rsidRPr="006263CF" w:rsidRDefault="005225B5" w:rsidP="006263CF">
      <w:pPr>
        <w:rPr>
          <w:rFonts w:asciiTheme="minorHAnsi" w:hAnsiTheme="minorHAnsi" w:cstheme="minorHAnsi"/>
        </w:rPr>
      </w:pPr>
    </w:p>
    <w:p w:rsidR="005225B5" w:rsidRPr="006263CF" w:rsidRDefault="005225B5" w:rsidP="006263CF">
      <w:pPr>
        <w:rPr>
          <w:rFonts w:asciiTheme="minorHAnsi" w:hAnsiTheme="minorHAnsi" w:cstheme="minorHAnsi"/>
        </w:rPr>
        <w:sectPr w:rsidR="005225B5" w:rsidRPr="006263CF" w:rsidSect="000344A4">
          <w:headerReference w:type="even" r:id="rId55"/>
          <w:headerReference w:type="default" r:id="rId56"/>
          <w:footerReference w:type="default" r:id="rId57"/>
          <w:pgSz w:w="11904" w:h="16838" w:code="9"/>
          <w:pgMar w:top="979" w:right="1925" w:bottom="14755" w:left="1181" w:header="0" w:footer="0" w:gutter="0"/>
          <w:cols w:space="60"/>
          <w:noEndnote/>
        </w:sectPr>
      </w:pPr>
    </w:p>
    <w:p w:rsidR="005225B5" w:rsidRPr="006263CF" w:rsidRDefault="005225B5" w:rsidP="006263CF">
      <w:pPr>
        <w:rPr>
          <w:rFonts w:asciiTheme="minorHAnsi" w:hAnsiTheme="minorHAnsi" w:cstheme="minorHAnsi"/>
        </w:rPr>
      </w:pPr>
    </w:p>
    <w:p w:rsidR="005225B5" w:rsidRPr="006263CF" w:rsidRDefault="005225B5" w:rsidP="006263CF">
      <w:pPr>
        <w:rPr>
          <w:rFonts w:asciiTheme="minorHAnsi" w:hAnsiTheme="minorHAnsi" w:cstheme="minorHAnsi"/>
        </w:rPr>
        <w:sectPr w:rsidR="005225B5" w:rsidRPr="006263CF" w:rsidSect="000344A4">
          <w:pgSz w:w="11904" w:h="16838" w:code="9"/>
          <w:pgMar w:top="902" w:right="1704" w:bottom="15067" w:left="960" w:header="0" w:footer="0" w:gutter="0"/>
          <w:cols w:space="60"/>
          <w:noEndnote/>
        </w:sectPr>
      </w:pPr>
    </w:p>
    <w:p w:rsidR="005225B5" w:rsidRPr="006263CF" w:rsidRDefault="005225B5" w:rsidP="00815B61">
      <w:pPr>
        <w:framePr w:w="5468" w:h="2003" w:hRule="exact" w:hSpace="10080" w:wrap="notBeside" w:vAnchor="text" w:hAnchor="margin" w:x="999" w:y="12270"/>
        <w:rPr>
          <w:rFonts w:asciiTheme="minorHAnsi" w:hAnsiTheme="minorHAnsi" w:cstheme="minorHAnsi"/>
        </w:rPr>
      </w:pPr>
      <w:r w:rsidRPr="006263CF">
        <w:rPr>
          <w:rFonts w:asciiTheme="minorHAnsi" w:hAnsiTheme="minorHAnsi" w:cstheme="minorHAnsi"/>
          <w:color w:val="FFFFFF"/>
          <w:sz w:val="22"/>
          <w:szCs w:val="22"/>
        </w:rPr>
        <w:lastRenderedPageBreak/>
        <w:t>Для отримання додаткової інформації звертайтеся до:</w:t>
      </w:r>
    </w:p>
    <w:p w:rsidR="005225B5" w:rsidRPr="006263CF" w:rsidRDefault="005225B5" w:rsidP="00815B61">
      <w:pPr>
        <w:framePr w:w="5468" w:h="2003" w:hRule="exact" w:hSpace="10080" w:wrap="notBeside" w:vAnchor="text" w:hAnchor="margin" w:x="999" w:y="12270"/>
        <w:rPr>
          <w:rFonts w:asciiTheme="minorHAnsi" w:hAnsiTheme="minorHAnsi" w:cstheme="minorHAnsi"/>
        </w:rPr>
      </w:pPr>
      <w:r w:rsidRPr="006263CF">
        <w:rPr>
          <w:rFonts w:asciiTheme="minorHAnsi" w:hAnsiTheme="minorHAnsi" w:cstheme="minorHAnsi"/>
          <w:b/>
          <w:bCs/>
          <w:color w:val="FFFFFF"/>
          <w:sz w:val="22"/>
          <w:szCs w:val="22"/>
        </w:rPr>
        <w:t>Всесвітня організація охорони здоров’я</w:t>
      </w:r>
    </w:p>
    <w:p w:rsidR="00815B61" w:rsidRDefault="005225B5" w:rsidP="00815B61">
      <w:pPr>
        <w:framePr w:w="5468" w:h="2003" w:hRule="exact" w:hSpace="10080" w:wrap="notBeside" w:vAnchor="text" w:hAnchor="margin" w:x="999" w:y="12270"/>
        <w:rPr>
          <w:rFonts w:asciiTheme="minorHAnsi" w:hAnsiTheme="minorHAnsi" w:cstheme="minorHAnsi"/>
          <w:color w:val="FFFFFF"/>
          <w:sz w:val="22"/>
          <w:szCs w:val="22"/>
        </w:rPr>
      </w:pPr>
      <w:r w:rsidRPr="006263CF">
        <w:rPr>
          <w:rFonts w:asciiTheme="minorHAnsi" w:hAnsiTheme="minorHAnsi" w:cstheme="minorHAnsi"/>
          <w:color w:val="FFFFFF"/>
          <w:sz w:val="22"/>
          <w:szCs w:val="22"/>
        </w:rPr>
        <w:t xml:space="preserve">20, Avenue Appia CH-1211 Geneva 27 Switzerland </w:t>
      </w:r>
    </w:p>
    <w:p w:rsidR="00815B61" w:rsidRDefault="005225B5" w:rsidP="00815B61">
      <w:pPr>
        <w:framePr w:w="5468" w:h="2003" w:hRule="exact" w:hSpace="10080" w:wrap="notBeside" w:vAnchor="text" w:hAnchor="margin" w:x="999" w:y="12270"/>
        <w:rPr>
          <w:rFonts w:asciiTheme="minorHAnsi" w:hAnsiTheme="minorHAnsi" w:cstheme="minorHAnsi"/>
          <w:color w:val="FFFFFF"/>
          <w:sz w:val="22"/>
          <w:szCs w:val="22"/>
        </w:rPr>
      </w:pPr>
      <w:r w:rsidRPr="006263CF">
        <w:rPr>
          <w:rFonts w:asciiTheme="minorHAnsi" w:hAnsiTheme="minorHAnsi" w:cstheme="minorHAnsi"/>
          <w:color w:val="FFFFFF"/>
          <w:sz w:val="22"/>
          <w:szCs w:val="22"/>
        </w:rPr>
        <w:t xml:space="preserve">Веб-сайт глобальної протитуберкульозної </w:t>
      </w:r>
    </w:p>
    <w:p w:rsidR="005225B5" w:rsidRPr="00815B61" w:rsidRDefault="005225B5" w:rsidP="00815B61">
      <w:pPr>
        <w:framePr w:w="5468" w:h="2003" w:hRule="exact" w:hSpace="10080" w:wrap="notBeside" w:vAnchor="text" w:hAnchor="margin" w:x="999" w:y="12270"/>
        <w:rPr>
          <w:rFonts w:asciiTheme="minorHAnsi" w:hAnsiTheme="minorHAnsi" w:cstheme="minorHAnsi"/>
          <w:color w:val="FFFFFF"/>
          <w:sz w:val="22"/>
          <w:szCs w:val="22"/>
        </w:rPr>
      </w:pPr>
      <w:r w:rsidRPr="006263CF">
        <w:rPr>
          <w:rFonts w:asciiTheme="minorHAnsi" w:hAnsiTheme="minorHAnsi" w:cstheme="minorHAnsi"/>
          <w:color w:val="FFFFFF"/>
          <w:sz w:val="22"/>
          <w:szCs w:val="22"/>
        </w:rPr>
        <w:t xml:space="preserve">програми: </w:t>
      </w:r>
      <w:r w:rsidRPr="00815B61">
        <w:rPr>
          <w:rFonts w:asciiTheme="minorHAnsi" w:hAnsiTheme="minorHAnsi" w:cstheme="minorHAnsi"/>
          <w:color w:val="FFFFFF"/>
          <w:sz w:val="22"/>
          <w:szCs w:val="22"/>
        </w:rPr>
        <w:t>www.who.int/tb</w:t>
      </w:r>
    </w:p>
    <w:p w:rsidR="005225B5" w:rsidRPr="006263CF" w:rsidRDefault="00DD0406" w:rsidP="006263CF">
      <w:pPr>
        <w:rPr>
          <w:rFonts w:asciiTheme="minorHAnsi" w:hAnsiTheme="minorHAnsi" w:cstheme="minorHAnsi"/>
          <w:sz w:val="4"/>
          <w:szCs w:val="2"/>
        </w:rPr>
      </w:pPr>
      <w:r>
        <w:rPr>
          <w:rFonts w:asciiTheme="minorHAnsi" w:hAnsiTheme="minorHAnsi" w:cstheme="minorHAnsi"/>
          <w:noProof/>
          <w:sz w:val="4"/>
          <w:szCs w:val="2"/>
        </w:rPr>
        <w:drawing>
          <wp:anchor distT="0" distB="0" distL="6400800" distR="6400800" simplePos="0" relativeHeight="251677696" behindDoc="1" locked="0" layoutInCell="0" allowOverlap="1" wp14:anchorId="59C19ECC" wp14:editId="73F5CBF4">
            <wp:simplePos x="0" y="0"/>
            <wp:positionH relativeFrom="margin">
              <wp:posOffset>635</wp:posOffset>
            </wp:positionH>
            <wp:positionV relativeFrom="paragraph">
              <wp:posOffset>-10251</wp:posOffset>
            </wp:positionV>
            <wp:extent cx="7553960" cy="10694670"/>
            <wp:effectExtent l="0" t="0" r="889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553960" cy="10694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0406" w:rsidRPr="00815B61" w:rsidRDefault="00DD0406" w:rsidP="00DD0406">
      <w:pPr>
        <w:framePr w:w="1862" w:h="1032" w:hRule="exact" w:hSpace="10080" w:wrap="notBeside" w:vAnchor="text" w:hAnchor="margin" w:x="2084" w:y="14790"/>
        <w:shd w:val="clear" w:color="auto" w:fill="396DA7"/>
        <w:rPr>
          <w:rFonts w:asciiTheme="minorHAnsi" w:hAnsiTheme="minorHAnsi" w:cstheme="minorHAnsi"/>
          <w:sz w:val="14"/>
        </w:rPr>
      </w:pPr>
      <w:r w:rsidRPr="00815B61">
        <w:rPr>
          <w:rFonts w:asciiTheme="minorHAnsi" w:hAnsiTheme="minorHAnsi" w:cstheme="minorHAnsi"/>
          <w:b/>
          <w:bCs/>
          <w:color w:val="FFFFFF"/>
          <w:sz w:val="22"/>
          <w:szCs w:val="32"/>
        </w:rPr>
        <w:t>Всесвітня організація охорони здоров’я</w:t>
      </w:r>
    </w:p>
    <w:p w:rsidR="005C0A87" w:rsidRPr="006263CF" w:rsidRDefault="005C0A87" w:rsidP="006263CF"/>
    <w:sectPr w:rsidR="005C0A87" w:rsidRPr="006263CF" w:rsidSect="000344A4">
      <w:headerReference w:type="default" r:id="rId59"/>
      <w:pgSz w:w="11904" w:h="16838" w:code="9"/>
      <w:pgMar w:top="0" w:right="0" w:bottom="0" w:left="0" w:header="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7DCB" w:rsidRDefault="00777DCB" w:rsidP="000344A4">
      <w:r>
        <w:separator/>
      </w:r>
    </w:p>
  </w:endnote>
  <w:endnote w:type="continuationSeparator" w:id="0">
    <w:p w:rsidR="00777DCB" w:rsidRDefault="00777DCB" w:rsidP="000344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altName w:val="Times New Roman PSMT"/>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KQAMZ C+ Avenir LT Std">
    <w:altName w:val="Avenir LT Std"/>
    <w:panose1 w:val="00000000000000000000"/>
    <w:charset w:val="00"/>
    <w:family w:val="roman"/>
    <w:notTrueType/>
    <w:pitch w:val="default"/>
    <w:sig w:usb0="00000003" w:usb1="00000000" w:usb2="00000000" w:usb3="00000000" w:csb0="00000001" w:csb1="00000000"/>
  </w:font>
  <w:font w:name="Segoe UI">
    <w:altName w:val="Calibri"/>
    <w:panose1 w:val="020B0502040204020203"/>
    <w:charset w:val="CC"/>
    <w:family w:val="swiss"/>
    <w:pitch w:val="variable"/>
    <w:sig w:usb0="E4002EFF" w:usb1="C000E47F" w:usb2="00000009" w:usb3="00000000" w:csb0="000001FF" w:csb1="00000000"/>
  </w:font>
  <w:font w:name="Segoe UI Light">
    <w:panose1 w:val="020B0502040204020203"/>
    <w:charset w:val="CC"/>
    <w:family w:val="swiss"/>
    <w:pitch w:val="variable"/>
    <w:sig w:usb0="E4002EFF" w:usb1="C000E47F" w:usb2="00000009" w:usb3="00000000" w:csb0="000001FF" w:csb1="00000000"/>
  </w:font>
  <w:font w:name="Segoe UI Semibold">
    <w:panose1 w:val="020B07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867" w:rsidRDefault="00395867">
    <w:pPr>
      <w:pStyle w:val="a9"/>
    </w:pPr>
    <w:r w:rsidRPr="00163C09">
      <w:rPr>
        <w:rFonts w:eastAsia="Times New Roman"/>
        <w:b/>
        <w:bCs/>
        <w:noProof/>
        <w:color w:val="000000"/>
        <w:sz w:val="2"/>
        <w:szCs w:val="2"/>
      </w:rPr>
      <mc:AlternateContent>
        <mc:Choice Requires="wps">
          <w:drawing>
            <wp:anchor distT="0" distB="0" distL="114300" distR="114300" simplePos="0" relativeHeight="251659264" behindDoc="0" locked="0" layoutInCell="1" allowOverlap="1" wp14:anchorId="2699043F" wp14:editId="5744A8FF">
              <wp:simplePos x="0" y="0"/>
              <wp:positionH relativeFrom="page">
                <wp:posOffset>577124</wp:posOffset>
              </wp:positionH>
              <wp:positionV relativeFrom="page">
                <wp:posOffset>10126980</wp:posOffset>
              </wp:positionV>
              <wp:extent cx="4310743" cy="363220"/>
              <wp:effectExtent l="0" t="0" r="0" b="0"/>
              <wp:wrapNone/>
              <wp:docPr id="14" name="Поле 14"/>
              <wp:cNvGraphicFramePr/>
              <a:graphic xmlns:a="http://schemas.openxmlformats.org/drawingml/2006/main">
                <a:graphicData uri="http://schemas.microsoft.com/office/word/2010/wordprocessingShape">
                  <wps:wsp>
                    <wps:cNvSpPr txBox="1"/>
                    <wps:spPr>
                      <a:xfrm>
                        <a:off x="0" y="0"/>
                        <a:ext cx="4310743" cy="3632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4678"/>
                          </w:tblGrid>
                          <w:tr w:rsidR="00395867" w:rsidTr="00395867">
                            <w:trPr>
                              <w:trHeight w:val="397"/>
                            </w:trPr>
                            <w:tc>
                              <w:tcPr>
                                <w:tcW w:w="675" w:type="dxa"/>
                                <w:vAlign w:val="center"/>
                              </w:tcPr>
                              <w:p w:rsidR="00395867" w:rsidRPr="00AF465C" w:rsidRDefault="00395867" w:rsidP="00395867">
                                <w:pPr>
                                  <w:rPr>
                                    <w:rFonts w:asciiTheme="minorHAnsi" w:hAnsiTheme="minorHAnsi" w:cstheme="minorHAnsi"/>
                                    <w:color w:val="1E5FAA"/>
                                    <w:sz w:val="16"/>
                                    <w:szCs w:val="16"/>
                                    <w:lang w:val="en-US"/>
                                  </w:rPr>
                                </w:pPr>
                                <w:r w:rsidRPr="00AF465C">
                                  <w:rPr>
                                    <w:rFonts w:asciiTheme="minorHAnsi" w:hAnsiTheme="minorHAnsi" w:cstheme="minorHAnsi"/>
                                    <w:color w:val="1E5FAA"/>
                                    <w:sz w:val="16"/>
                                    <w:szCs w:val="16"/>
                                  </w:rPr>
                                  <w:t>iv</w:t>
                                </w:r>
                              </w:p>
                            </w:tc>
                            <w:tc>
                              <w:tcPr>
                                <w:tcW w:w="4678" w:type="dxa"/>
                                <w:vAlign w:val="center"/>
                              </w:tcPr>
                              <w:p w:rsidR="00395867" w:rsidRPr="00A53870" w:rsidRDefault="00395867" w:rsidP="00395867">
                                <w:pPr>
                                  <w:rPr>
                                    <w:rFonts w:asciiTheme="minorHAnsi" w:hAnsiTheme="minorHAnsi" w:cstheme="minorHAnsi"/>
                                    <w:color w:val="1E5FAA"/>
                                    <w:sz w:val="16"/>
                                    <w:szCs w:val="16"/>
                                    <w:lang w:val="ru-RU"/>
                                  </w:rPr>
                                </w:pPr>
                                <w:r w:rsidRPr="00395867">
                                  <w:rPr>
                                    <w:rFonts w:asciiTheme="minorHAnsi" w:hAnsiTheme="minorHAnsi" w:cstheme="minorHAnsi"/>
                                    <w:color w:val="1E5FAA"/>
                                    <w:sz w:val="16"/>
                                    <w:szCs w:val="16"/>
                                  </w:rPr>
                                  <w:t xml:space="preserve">Операційне </w:t>
                                </w:r>
                                <w:r w:rsidRPr="00395867">
                                  <w:rPr>
                                    <w:rFonts w:asciiTheme="minorHAnsi" w:hAnsiTheme="minorHAnsi" w:cstheme="minorHAnsi"/>
                                    <w:color w:val="FF0000"/>
                                    <w:sz w:val="16"/>
                                    <w:szCs w:val="16"/>
                                  </w:rPr>
                                  <w:t xml:space="preserve">керівництво </w:t>
                                </w:r>
                              </w:p>
                              <w:p w:rsidR="00395867" w:rsidRPr="00AF465C" w:rsidRDefault="00395867" w:rsidP="00395867">
                                <w:pPr>
                                  <w:rPr>
                                    <w:rFonts w:asciiTheme="minorHAnsi" w:hAnsiTheme="minorHAnsi" w:cstheme="minorHAnsi"/>
                                    <w:color w:val="1E5FAA"/>
                                    <w:sz w:val="16"/>
                                    <w:szCs w:val="16"/>
                                  </w:rPr>
                                </w:pPr>
                                <w:r w:rsidRPr="00395867">
                                  <w:rPr>
                                    <w:rFonts w:asciiTheme="minorHAnsi" w:hAnsiTheme="minorHAnsi" w:cstheme="minorHAnsi"/>
                                    <w:color w:val="FF0000"/>
                                    <w:sz w:val="16"/>
                                    <w:szCs w:val="16"/>
                                  </w:rPr>
                                  <w:t xml:space="preserve">ВООЗ </w:t>
                                </w:r>
                                <w:r w:rsidRPr="00395867">
                                  <w:rPr>
                                    <w:rFonts w:asciiTheme="minorHAnsi" w:hAnsiTheme="minorHAnsi" w:cstheme="minorHAnsi"/>
                                    <w:color w:val="1E5FAA"/>
                                    <w:sz w:val="16"/>
                                    <w:szCs w:val="16"/>
                                  </w:rPr>
                                  <w:t>щодо туберкульозу</w:t>
                                </w:r>
                              </w:p>
                            </w:tc>
                          </w:tr>
                        </w:tbl>
                        <w:p w:rsidR="00395867" w:rsidRPr="00F90B9E" w:rsidRDefault="00395867" w:rsidP="00AF465C">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9043F" id="_x0000_t202" coordsize="21600,21600" o:spt="202" path="m,l,21600r21600,l21600,xe">
              <v:stroke joinstyle="miter"/>
              <v:path gradientshapeok="t" o:connecttype="rect"/>
            </v:shapetype>
            <v:shape id="Поле 14" o:spid="_x0000_s1037" type="#_x0000_t202" style="position:absolute;margin-left:45.45pt;margin-top:797.4pt;width:339.45pt;height:28.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" fillcolor="white [3212]" stroked="f" strokeweight=".5pt">
              <v:textbox inset="0,0,0,0">
                <w:txbxContent>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4678"/>
                    </w:tblGrid>
                    <w:tr w:rsidR="00395867" w:rsidTr="00395867">
                      <w:trPr>
                        <w:trHeight w:val="397"/>
                      </w:trPr>
                      <w:tc>
                        <w:tcPr>
                          <w:tcW w:w="675" w:type="dxa"/>
                          <w:vAlign w:val="center"/>
                        </w:tcPr>
                        <w:p w:rsidR="00395867" w:rsidRPr="00AF465C" w:rsidRDefault="00395867" w:rsidP="00395867">
                          <w:pPr>
                            <w:rPr>
                              <w:rFonts w:asciiTheme="minorHAnsi" w:hAnsiTheme="minorHAnsi" w:cstheme="minorHAnsi"/>
                              <w:color w:val="1E5FAA"/>
                              <w:sz w:val="16"/>
                              <w:szCs w:val="16"/>
                              <w:lang w:val="en-US"/>
                            </w:rPr>
                          </w:pPr>
                          <w:r w:rsidRPr="00AF465C">
                            <w:rPr>
                              <w:rFonts w:asciiTheme="minorHAnsi" w:hAnsiTheme="minorHAnsi" w:cstheme="minorHAnsi"/>
                              <w:color w:val="1E5FAA"/>
                              <w:sz w:val="16"/>
                              <w:szCs w:val="16"/>
                            </w:rPr>
                            <w:t>iv</w:t>
                          </w:r>
                        </w:p>
                      </w:tc>
                      <w:tc>
                        <w:tcPr>
                          <w:tcW w:w="4678" w:type="dxa"/>
                          <w:vAlign w:val="center"/>
                        </w:tcPr>
                        <w:p w:rsidR="00395867" w:rsidRPr="00A53870" w:rsidRDefault="00395867" w:rsidP="00395867">
                          <w:pPr>
                            <w:rPr>
                              <w:rFonts w:asciiTheme="minorHAnsi" w:hAnsiTheme="minorHAnsi" w:cstheme="minorHAnsi"/>
                              <w:color w:val="1E5FAA"/>
                              <w:sz w:val="16"/>
                              <w:szCs w:val="16"/>
                              <w:lang w:val="ru-RU"/>
                            </w:rPr>
                          </w:pPr>
                          <w:r w:rsidRPr="00395867">
                            <w:rPr>
                              <w:rFonts w:asciiTheme="minorHAnsi" w:hAnsiTheme="minorHAnsi" w:cstheme="minorHAnsi"/>
                              <w:color w:val="1E5FAA"/>
                              <w:sz w:val="16"/>
                              <w:szCs w:val="16"/>
                            </w:rPr>
                            <w:t xml:space="preserve">Операційне </w:t>
                          </w:r>
                          <w:r w:rsidRPr="00395867">
                            <w:rPr>
                              <w:rFonts w:asciiTheme="minorHAnsi" w:hAnsiTheme="minorHAnsi" w:cstheme="minorHAnsi"/>
                              <w:color w:val="FF0000"/>
                              <w:sz w:val="16"/>
                              <w:szCs w:val="16"/>
                            </w:rPr>
                            <w:t xml:space="preserve">керівництво </w:t>
                          </w:r>
                        </w:p>
                        <w:p w:rsidR="00395867" w:rsidRPr="00AF465C" w:rsidRDefault="00395867" w:rsidP="00395867">
                          <w:pPr>
                            <w:rPr>
                              <w:rFonts w:asciiTheme="minorHAnsi" w:hAnsiTheme="minorHAnsi" w:cstheme="minorHAnsi"/>
                              <w:color w:val="1E5FAA"/>
                              <w:sz w:val="16"/>
                              <w:szCs w:val="16"/>
                            </w:rPr>
                          </w:pPr>
                          <w:r w:rsidRPr="00395867">
                            <w:rPr>
                              <w:rFonts w:asciiTheme="minorHAnsi" w:hAnsiTheme="minorHAnsi" w:cstheme="minorHAnsi"/>
                              <w:color w:val="FF0000"/>
                              <w:sz w:val="16"/>
                              <w:szCs w:val="16"/>
                            </w:rPr>
                            <w:t xml:space="preserve">ВООЗ </w:t>
                          </w:r>
                          <w:r w:rsidRPr="00395867">
                            <w:rPr>
                              <w:rFonts w:asciiTheme="minorHAnsi" w:hAnsiTheme="minorHAnsi" w:cstheme="minorHAnsi"/>
                              <w:color w:val="1E5FAA"/>
                              <w:sz w:val="16"/>
                              <w:szCs w:val="16"/>
                            </w:rPr>
                            <w:t>щодо туберкульозу</w:t>
                          </w:r>
                        </w:p>
                      </w:tc>
                    </w:tr>
                  </w:tbl>
                  <w:p w:rsidR="00395867" w:rsidRPr="00F90B9E" w:rsidRDefault="00395867" w:rsidP="00AF465C">
                    <w:pPr>
                      <w:rPr>
                        <w:sz w:val="18"/>
                      </w:rPr>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867" w:rsidRDefault="00395867" w:rsidP="00AF465C">
    <w:pPr>
      <w:pStyle w:val="a9"/>
    </w:pPr>
    <w:r w:rsidRPr="00163C09">
      <w:rPr>
        <w:rFonts w:eastAsia="Times New Roman"/>
        <w:b/>
        <w:bCs/>
        <w:noProof/>
        <w:color w:val="000000"/>
        <w:sz w:val="2"/>
        <w:szCs w:val="2"/>
      </w:rPr>
      <mc:AlternateContent>
        <mc:Choice Requires="wps">
          <w:drawing>
            <wp:anchor distT="0" distB="0" distL="114300" distR="114300" simplePos="0" relativeHeight="251677696" behindDoc="0" locked="0" layoutInCell="1" allowOverlap="1" wp14:anchorId="34E13FC2" wp14:editId="4057C6ED">
              <wp:simplePos x="0" y="0"/>
              <wp:positionH relativeFrom="page">
                <wp:posOffset>1164771</wp:posOffset>
              </wp:positionH>
              <wp:positionV relativeFrom="page">
                <wp:posOffset>10112829</wp:posOffset>
              </wp:positionV>
              <wp:extent cx="5986236" cy="363220"/>
              <wp:effectExtent l="0" t="0" r="0" b="0"/>
              <wp:wrapNone/>
              <wp:docPr id="78" name="Поле 78"/>
              <wp:cNvGraphicFramePr/>
              <a:graphic xmlns:a="http://schemas.openxmlformats.org/drawingml/2006/main">
                <a:graphicData uri="http://schemas.microsoft.com/office/word/2010/wordprocessingShape">
                  <wps:wsp>
                    <wps:cNvSpPr txBox="1"/>
                    <wps:spPr>
                      <a:xfrm>
                        <a:off x="0" y="0"/>
                        <a:ext cx="5986236" cy="3632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5"/>
                            <w:gridCol w:w="675"/>
                          </w:tblGrid>
                          <w:tr w:rsidR="00395867" w:rsidTr="00AF465C">
                            <w:trPr>
                              <w:trHeight w:val="397"/>
                              <w:jc w:val="right"/>
                            </w:trPr>
                            <w:tc>
                              <w:tcPr>
                                <w:tcW w:w="8175" w:type="dxa"/>
                                <w:vAlign w:val="center"/>
                              </w:tcPr>
                              <w:p w:rsidR="00395867" w:rsidRPr="00AF465C" w:rsidRDefault="00395867" w:rsidP="00395867">
                                <w:pPr>
                                  <w:jc w:val="right"/>
                                  <w:rPr>
                                    <w:rFonts w:asciiTheme="minorHAnsi" w:hAnsiTheme="minorHAnsi" w:cstheme="minorHAnsi"/>
                                    <w:color w:val="1E5FAA"/>
                                    <w:sz w:val="16"/>
                                    <w:szCs w:val="16"/>
                                    <w:lang w:val="ru-RU"/>
                                  </w:rPr>
                                </w:pPr>
                                <w:r w:rsidRPr="00145FBD">
                                  <w:rPr>
                                    <w:rFonts w:asciiTheme="minorHAnsi" w:hAnsiTheme="minorHAnsi" w:cstheme="minorHAnsi"/>
                                    <w:color w:val="1E5FAA"/>
                                    <w:sz w:val="16"/>
                                    <w:szCs w:val="16"/>
                                    <w:lang w:val="ru-RU"/>
                                  </w:rPr>
                                  <w:t>Довгострокові схеми лікування МР/Риф-ТБ</w:t>
                                </w:r>
                              </w:p>
                            </w:tc>
                            <w:tc>
                              <w:tcPr>
                                <w:tcW w:w="675" w:type="dxa"/>
                                <w:vAlign w:val="center"/>
                              </w:tcPr>
                              <w:p w:rsidR="00395867" w:rsidRPr="00AF465C" w:rsidRDefault="00395867" w:rsidP="00395867">
                                <w:pPr>
                                  <w:jc w:val="right"/>
                                  <w:rPr>
                                    <w:rFonts w:asciiTheme="minorHAnsi" w:hAnsiTheme="minorHAnsi" w:cstheme="minorHAnsi"/>
                                    <w:color w:val="1E5FAA"/>
                                    <w:sz w:val="16"/>
                                    <w:szCs w:val="16"/>
                                    <w:lang w:val="en-US"/>
                                  </w:rPr>
                                </w:pP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=-8+</w:instrText>
                                </w: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PAGE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instrText>41</w:instrText>
                                </w:r>
                                <w:r>
                                  <w:rPr>
                                    <w:rFonts w:asciiTheme="minorHAnsi" w:hAnsiTheme="minorHAnsi" w:cstheme="minorHAnsi"/>
                                    <w:color w:val="1E5FAA"/>
                                    <w:sz w:val="16"/>
                                    <w:szCs w:val="16"/>
                                    <w:lang w:val="en-US"/>
                                  </w:rPr>
                                  <w:fldChar w:fldCharType="end"/>
                                </w:r>
                                <w:r>
                                  <w:rPr>
                                    <w:rFonts w:asciiTheme="minorHAnsi" w:hAnsiTheme="minorHAnsi" w:cstheme="minorHAnsi"/>
                                    <w:color w:val="1E5FAA"/>
                                    <w:sz w:val="16"/>
                                    <w:szCs w:val="16"/>
                                    <w:lang w:val="en-US"/>
                                  </w:rPr>
                                  <w:instrText xml:space="preserv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t>33</w:t>
                                </w:r>
                                <w:r>
                                  <w:rPr>
                                    <w:rFonts w:asciiTheme="minorHAnsi" w:hAnsiTheme="minorHAnsi" w:cstheme="minorHAnsi"/>
                                    <w:color w:val="1E5FAA"/>
                                    <w:sz w:val="16"/>
                                    <w:szCs w:val="16"/>
                                    <w:lang w:val="en-US"/>
                                  </w:rPr>
                                  <w:fldChar w:fldCharType="end"/>
                                </w:r>
                              </w:p>
                            </w:tc>
                          </w:tr>
                        </w:tbl>
                        <w:p w:rsidR="00395867" w:rsidRPr="00F90B9E" w:rsidRDefault="00395867" w:rsidP="00AF465C">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E13FC2" id="_x0000_t202" coordsize="21600,21600" o:spt="202" path="m,l,21600r21600,l21600,xe">
              <v:stroke joinstyle="miter"/>
              <v:path gradientshapeok="t" o:connecttype="rect"/>
            </v:shapetype>
            <v:shape id="Поле 78" o:spid="_x0000_s1046" type="#_x0000_t202" style="position:absolute;margin-left:91.7pt;margin-top:796.3pt;width:471.35pt;height:28.6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" fillcolor="white [3212]" stroked="f" strokeweight=".5pt">
              <v:textbox inset="0,0,0,0">
                <w:txbxContent>
                  <w:tbl>
                    <w:tblPr>
                      <w:tblStyle w:val="ab"/>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5"/>
                      <w:gridCol w:w="675"/>
                    </w:tblGrid>
                    <w:tr w:rsidR="00395867" w:rsidTr="00AF465C">
                      <w:trPr>
                        <w:trHeight w:val="397"/>
                        <w:jc w:val="right"/>
                      </w:trPr>
                      <w:tc>
                        <w:tcPr>
                          <w:tcW w:w="8175" w:type="dxa"/>
                          <w:vAlign w:val="center"/>
                        </w:tcPr>
                        <w:p w:rsidR="00395867" w:rsidRPr="00AF465C" w:rsidRDefault="00395867" w:rsidP="00395867">
                          <w:pPr>
                            <w:jc w:val="right"/>
                            <w:rPr>
                              <w:rFonts w:asciiTheme="minorHAnsi" w:hAnsiTheme="minorHAnsi" w:cstheme="minorHAnsi"/>
                              <w:color w:val="1E5FAA"/>
                              <w:sz w:val="16"/>
                              <w:szCs w:val="16"/>
                              <w:lang w:val="ru-RU"/>
                            </w:rPr>
                          </w:pPr>
                          <w:r w:rsidRPr="00145FBD">
                            <w:rPr>
                              <w:rFonts w:asciiTheme="minorHAnsi" w:hAnsiTheme="minorHAnsi" w:cstheme="minorHAnsi"/>
                              <w:color w:val="1E5FAA"/>
                              <w:sz w:val="16"/>
                              <w:szCs w:val="16"/>
                              <w:lang w:val="ru-RU"/>
                            </w:rPr>
                            <w:t>Довгострокові схеми лікування МР/Риф-ТБ</w:t>
                          </w:r>
                        </w:p>
                      </w:tc>
                      <w:tc>
                        <w:tcPr>
                          <w:tcW w:w="675" w:type="dxa"/>
                          <w:vAlign w:val="center"/>
                        </w:tcPr>
                        <w:p w:rsidR="00395867" w:rsidRPr="00AF465C" w:rsidRDefault="00395867" w:rsidP="00395867">
                          <w:pPr>
                            <w:jc w:val="right"/>
                            <w:rPr>
                              <w:rFonts w:asciiTheme="minorHAnsi" w:hAnsiTheme="minorHAnsi" w:cstheme="minorHAnsi"/>
                              <w:color w:val="1E5FAA"/>
                              <w:sz w:val="16"/>
                              <w:szCs w:val="16"/>
                              <w:lang w:val="en-US"/>
                            </w:rPr>
                          </w:pP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=-8+</w:instrText>
                          </w: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PAGE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instrText>41</w:instrText>
                          </w:r>
                          <w:r>
                            <w:rPr>
                              <w:rFonts w:asciiTheme="minorHAnsi" w:hAnsiTheme="minorHAnsi" w:cstheme="minorHAnsi"/>
                              <w:color w:val="1E5FAA"/>
                              <w:sz w:val="16"/>
                              <w:szCs w:val="16"/>
                              <w:lang w:val="en-US"/>
                            </w:rPr>
                            <w:fldChar w:fldCharType="end"/>
                          </w:r>
                          <w:r>
                            <w:rPr>
                              <w:rFonts w:asciiTheme="minorHAnsi" w:hAnsiTheme="minorHAnsi" w:cstheme="minorHAnsi"/>
                              <w:color w:val="1E5FAA"/>
                              <w:sz w:val="16"/>
                              <w:szCs w:val="16"/>
                              <w:lang w:val="en-US"/>
                            </w:rPr>
                            <w:instrText xml:space="preserv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t>33</w:t>
                          </w:r>
                          <w:r>
                            <w:rPr>
                              <w:rFonts w:asciiTheme="minorHAnsi" w:hAnsiTheme="minorHAnsi" w:cstheme="minorHAnsi"/>
                              <w:color w:val="1E5FAA"/>
                              <w:sz w:val="16"/>
                              <w:szCs w:val="16"/>
                              <w:lang w:val="en-US"/>
                            </w:rPr>
                            <w:fldChar w:fldCharType="end"/>
                          </w:r>
                        </w:p>
                      </w:tc>
                    </w:tr>
                  </w:tbl>
                  <w:p w:rsidR="00395867" w:rsidRPr="00F90B9E" w:rsidRDefault="00395867" w:rsidP="00AF465C">
                    <w:pPr>
                      <w:rPr>
                        <w:sz w:val="18"/>
                      </w:rPr>
                    </w:pP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867" w:rsidRDefault="00395867" w:rsidP="00AF465C">
    <w:pPr>
      <w:pStyle w:val="a9"/>
    </w:pPr>
    <w:r w:rsidRPr="00650199">
      <w:rPr>
        <w:rFonts w:asciiTheme="minorHAnsi" w:eastAsia="Times New Roman" w:hAnsiTheme="minorHAnsi" w:cstheme="minorHAnsi"/>
        <w:b/>
        <w:bCs/>
        <w:noProof/>
        <w:color w:val="000000"/>
        <w:sz w:val="2"/>
        <w:szCs w:val="2"/>
      </w:rPr>
      <mc:AlternateContent>
        <mc:Choice Requires="wps">
          <w:drawing>
            <wp:anchor distT="0" distB="0" distL="114300" distR="114300" simplePos="0" relativeHeight="251698176" behindDoc="0" locked="0" layoutInCell="1" allowOverlap="1" wp14:anchorId="4125E12A" wp14:editId="653BEBC3">
              <wp:simplePos x="0" y="0"/>
              <wp:positionH relativeFrom="page">
                <wp:posOffset>346801</wp:posOffset>
              </wp:positionH>
              <wp:positionV relativeFrom="page">
                <wp:posOffset>4043680</wp:posOffset>
              </wp:positionV>
              <wp:extent cx="457200" cy="3244215"/>
              <wp:effectExtent l="0" t="0" r="0" b="0"/>
              <wp:wrapNone/>
              <wp:docPr id="88" name="Поле 88"/>
              <wp:cNvGraphicFramePr/>
              <a:graphic xmlns:a="http://schemas.openxmlformats.org/drawingml/2006/main">
                <a:graphicData uri="http://schemas.microsoft.com/office/word/2010/wordprocessingShape">
                  <wps:wsp>
                    <wps:cNvSpPr txBox="1"/>
                    <wps:spPr>
                      <a:xfrm>
                        <a:off x="0" y="0"/>
                        <a:ext cx="457200" cy="324421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
                          </w:tblGrid>
                          <w:tr w:rsidR="00395867" w:rsidTr="00395867">
                            <w:trPr>
                              <w:cantSplit/>
                              <w:trHeight w:val="4253"/>
                              <w:jc w:val="center"/>
                            </w:trPr>
                            <w:tc>
                              <w:tcPr>
                                <w:tcW w:w="624" w:type="dxa"/>
                                <w:textDirection w:val="tbRl"/>
                                <w:vAlign w:val="center"/>
                              </w:tcPr>
                              <w:p w:rsidR="00395867" w:rsidRPr="00395867" w:rsidRDefault="00395867" w:rsidP="00395867">
                                <w:pPr>
                                  <w:ind w:left="57"/>
                                  <w:jc w:val="right"/>
                                  <w:rPr>
                                    <w:rFonts w:asciiTheme="minorHAnsi" w:hAnsiTheme="minorHAnsi" w:cstheme="minorHAnsi"/>
                                    <w:color w:val="1E5FAA"/>
                                    <w:sz w:val="16"/>
                                    <w:szCs w:val="16"/>
                                  </w:rPr>
                                </w:pPr>
                                <w:r w:rsidRPr="00145FBD">
                                  <w:rPr>
                                    <w:rFonts w:asciiTheme="minorHAnsi" w:hAnsiTheme="minorHAnsi" w:cstheme="minorHAnsi"/>
                                    <w:color w:val="1E5FAA"/>
                                    <w:sz w:val="16"/>
                                    <w:szCs w:val="16"/>
                                    <w:lang w:val="ru-RU"/>
                                  </w:rPr>
                                  <w:t>Довгострокові схеми лікування МР/Риф-ТБ</w:t>
                                </w:r>
                              </w:p>
                            </w:tc>
                          </w:tr>
                          <w:tr w:rsidR="00395867" w:rsidTr="00395867">
                            <w:trPr>
                              <w:cantSplit/>
                              <w:trHeight w:val="567"/>
                              <w:jc w:val="center"/>
                            </w:trPr>
                            <w:tc>
                              <w:tcPr>
                                <w:tcW w:w="624" w:type="dxa"/>
                                <w:textDirection w:val="tbRl"/>
                                <w:vAlign w:val="center"/>
                              </w:tcPr>
                              <w:p w:rsidR="00395867" w:rsidRPr="00395867" w:rsidRDefault="00395867" w:rsidP="00395867">
                                <w:pPr>
                                  <w:ind w:left="57"/>
                                  <w:jc w:val="right"/>
                                  <w:rPr>
                                    <w:rFonts w:asciiTheme="minorHAnsi" w:hAnsiTheme="minorHAnsi" w:cstheme="minorHAnsi"/>
                                    <w:color w:val="1E5FAA"/>
                                    <w:sz w:val="16"/>
                                    <w:szCs w:val="16"/>
                                  </w:rPr>
                                </w:pP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=-8+</w:instrText>
                                </w: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PAGE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instrText>43</w:instrText>
                                </w:r>
                                <w:r>
                                  <w:rPr>
                                    <w:rFonts w:asciiTheme="minorHAnsi" w:hAnsiTheme="minorHAnsi" w:cstheme="minorHAnsi"/>
                                    <w:color w:val="1E5FAA"/>
                                    <w:sz w:val="16"/>
                                    <w:szCs w:val="16"/>
                                    <w:lang w:val="en-US"/>
                                  </w:rPr>
                                  <w:fldChar w:fldCharType="end"/>
                                </w:r>
                                <w:r>
                                  <w:rPr>
                                    <w:rFonts w:asciiTheme="minorHAnsi" w:hAnsiTheme="minorHAnsi" w:cstheme="minorHAnsi"/>
                                    <w:color w:val="1E5FAA"/>
                                    <w:sz w:val="16"/>
                                    <w:szCs w:val="16"/>
                                    <w:lang w:val="en-US"/>
                                  </w:rPr>
                                  <w:instrText xml:space="preserv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t>35</w:t>
                                </w:r>
                                <w:r>
                                  <w:rPr>
                                    <w:rFonts w:asciiTheme="minorHAnsi" w:hAnsiTheme="minorHAnsi" w:cstheme="minorHAnsi"/>
                                    <w:color w:val="1E5FAA"/>
                                    <w:sz w:val="16"/>
                                    <w:szCs w:val="16"/>
                                    <w:lang w:val="en-US"/>
                                  </w:rPr>
                                  <w:fldChar w:fldCharType="end"/>
                                </w:r>
                              </w:p>
                            </w:tc>
                          </w:tr>
                        </w:tbl>
                        <w:p w:rsidR="00395867" w:rsidRPr="00F90B9E" w:rsidRDefault="00395867" w:rsidP="00395867">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25E12A" id="_x0000_t202" coordsize="21600,21600" o:spt="202" path="m,l,21600r21600,l21600,xe">
              <v:stroke joinstyle="miter"/>
              <v:path gradientshapeok="t" o:connecttype="rect"/>
            </v:shapetype>
            <v:shape id="Поле 88" o:spid="_x0000_s1047" type="#_x0000_t202" style="position:absolute;margin-left:27.3pt;margin-top:318.4pt;width:36pt;height:255.4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" fillcolor="white [3212]" stroked="f" strokeweight=".5pt">
              <v:textbox inset="0,0,0,0">
                <w:txbxContent>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
                    </w:tblGrid>
                    <w:tr w:rsidR="00395867" w:rsidTr="00395867">
                      <w:trPr>
                        <w:cantSplit/>
                        <w:trHeight w:val="4253"/>
                        <w:jc w:val="center"/>
                      </w:trPr>
                      <w:tc>
                        <w:tcPr>
                          <w:tcW w:w="624" w:type="dxa"/>
                          <w:textDirection w:val="tbRl"/>
                          <w:vAlign w:val="center"/>
                        </w:tcPr>
                        <w:p w:rsidR="00395867" w:rsidRPr="00395867" w:rsidRDefault="00395867" w:rsidP="00395867">
                          <w:pPr>
                            <w:ind w:left="57"/>
                            <w:jc w:val="right"/>
                            <w:rPr>
                              <w:rFonts w:asciiTheme="minorHAnsi" w:hAnsiTheme="minorHAnsi" w:cstheme="minorHAnsi"/>
                              <w:color w:val="1E5FAA"/>
                              <w:sz w:val="16"/>
                              <w:szCs w:val="16"/>
                            </w:rPr>
                          </w:pPr>
                          <w:r w:rsidRPr="00145FBD">
                            <w:rPr>
                              <w:rFonts w:asciiTheme="minorHAnsi" w:hAnsiTheme="minorHAnsi" w:cstheme="minorHAnsi"/>
                              <w:color w:val="1E5FAA"/>
                              <w:sz w:val="16"/>
                              <w:szCs w:val="16"/>
                              <w:lang w:val="ru-RU"/>
                            </w:rPr>
                            <w:t>Довгострокові схеми лікування МР/Риф-ТБ</w:t>
                          </w:r>
                        </w:p>
                      </w:tc>
                    </w:tr>
                    <w:tr w:rsidR="00395867" w:rsidTr="00395867">
                      <w:trPr>
                        <w:cantSplit/>
                        <w:trHeight w:val="567"/>
                        <w:jc w:val="center"/>
                      </w:trPr>
                      <w:tc>
                        <w:tcPr>
                          <w:tcW w:w="624" w:type="dxa"/>
                          <w:textDirection w:val="tbRl"/>
                          <w:vAlign w:val="center"/>
                        </w:tcPr>
                        <w:p w:rsidR="00395867" w:rsidRPr="00395867" w:rsidRDefault="00395867" w:rsidP="00395867">
                          <w:pPr>
                            <w:ind w:left="57"/>
                            <w:jc w:val="right"/>
                            <w:rPr>
                              <w:rFonts w:asciiTheme="minorHAnsi" w:hAnsiTheme="minorHAnsi" w:cstheme="minorHAnsi"/>
                              <w:color w:val="1E5FAA"/>
                              <w:sz w:val="16"/>
                              <w:szCs w:val="16"/>
                            </w:rPr>
                          </w:pP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=-8+</w:instrText>
                          </w: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PAGE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instrText>43</w:instrText>
                          </w:r>
                          <w:r>
                            <w:rPr>
                              <w:rFonts w:asciiTheme="minorHAnsi" w:hAnsiTheme="minorHAnsi" w:cstheme="minorHAnsi"/>
                              <w:color w:val="1E5FAA"/>
                              <w:sz w:val="16"/>
                              <w:szCs w:val="16"/>
                              <w:lang w:val="en-US"/>
                            </w:rPr>
                            <w:fldChar w:fldCharType="end"/>
                          </w:r>
                          <w:r>
                            <w:rPr>
                              <w:rFonts w:asciiTheme="minorHAnsi" w:hAnsiTheme="minorHAnsi" w:cstheme="minorHAnsi"/>
                              <w:color w:val="1E5FAA"/>
                              <w:sz w:val="16"/>
                              <w:szCs w:val="16"/>
                              <w:lang w:val="en-US"/>
                            </w:rPr>
                            <w:instrText xml:space="preserv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t>35</w:t>
                          </w:r>
                          <w:r>
                            <w:rPr>
                              <w:rFonts w:asciiTheme="minorHAnsi" w:hAnsiTheme="minorHAnsi" w:cstheme="minorHAnsi"/>
                              <w:color w:val="1E5FAA"/>
                              <w:sz w:val="16"/>
                              <w:szCs w:val="16"/>
                              <w:lang w:val="en-US"/>
                            </w:rPr>
                            <w:fldChar w:fldCharType="end"/>
                          </w:r>
                        </w:p>
                      </w:tc>
                    </w:tr>
                  </w:tbl>
                  <w:p w:rsidR="00395867" w:rsidRPr="00F90B9E" w:rsidRDefault="00395867" w:rsidP="00395867">
                    <w:pPr>
                      <w:rPr>
                        <w:sz w:val="18"/>
                      </w:rPr>
                    </w:pPr>
                  </w:p>
                </w:txbxContent>
              </v:textbox>
              <w10:wrap anchorx="page" anchory="page"/>
            </v:shape>
          </w:pict>
        </mc:Fallback>
      </mc:AlternateContent>
    </w:r>
    <w:r w:rsidRPr="00163C09">
      <w:rPr>
        <w:rFonts w:eastAsia="Times New Roman"/>
        <w:b/>
        <w:bCs/>
        <w:noProof/>
        <w:color w:val="000000"/>
        <w:sz w:val="2"/>
        <w:szCs w:val="2"/>
      </w:rPr>
      <mc:AlternateContent>
        <mc:Choice Requires="wps">
          <w:drawing>
            <wp:anchor distT="0" distB="0" distL="114300" distR="114300" simplePos="0" relativeHeight="251679744" behindDoc="0" locked="0" layoutInCell="1" allowOverlap="1" wp14:anchorId="66E590B2" wp14:editId="0FECE4D1">
              <wp:simplePos x="0" y="0"/>
              <wp:positionH relativeFrom="page">
                <wp:posOffset>1164771</wp:posOffset>
              </wp:positionH>
              <wp:positionV relativeFrom="page">
                <wp:posOffset>10112829</wp:posOffset>
              </wp:positionV>
              <wp:extent cx="5986236" cy="363220"/>
              <wp:effectExtent l="0" t="0" r="0" b="0"/>
              <wp:wrapNone/>
              <wp:docPr id="79" name="Поле 79"/>
              <wp:cNvGraphicFramePr/>
              <a:graphic xmlns:a="http://schemas.openxmlformats.org/drawingml/2006/main">
                <a:graphicData uri="http://schemas.microsoft.com/office/word/2010/wordprocessingShape">
                  <wps:wsp>
                    <wps:cNvSpPr txBox="1"/>
                    <wps:spPr>
                      <a:xfrm>
                        <a:off x="0" y="0"/>
                        <a:ext cx="5986236" cy="3632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5"/>
                            <w:gridCol w:w="675"/>
                          </w:tblGrid>
                          <w:tr w:rsidR="00395867" w:rsidTr="00AF465C">
                            <w:trPr>
                              <w:trHeight w:val="397"/>
                              <w:jc w:val="right"/>
                            </w:trPr>
                            <w:tc>
                              <w:tcPr>
                                <w:tcW w:w="8175" w:type="dxa"/>
                                <w:vAlign w:val="center"/>
                              </w:tcPr>
                              <w:p w:rsidR="00395867" w:rsidRPr="00AF465C" w:rsidRDefault="00395867" w:rsidP="00395867">
                                <w:pPr>
                                  <w:jc w:val="right"/>
                                  <w:rPr>
                                    <w:rFonts w:asciiTheme="minorHAnsi" w:hAnsiTheme="minorHAnsi" w:cstheme="minorHAnsi"/>
                                    <w:color w:val="1E5FAA"/>
                                    <w:sz w:val="16"/>
                                    <w:szCs w:val="16"/>
                                    <w:lang w:val="ru-RU"/>
                                  </w:rPr>
                                </w:pPr>
                                <w:r w:rsidRPr="00145FBD">
                                  <w:rPr>
                                    <w:rFonts w:asciiTheme="minorHAnsi" w:hAnsiTheme="minorHAnsi" w:cstheme="minorHAnsi"/>
                                    <w:color w:val="1E5FAA"/>
                                    <w:sz w:val="16"/>
                                    <w:szCs w:val="16"/>
                                    <w:lang w:val="ru-RU"/>
                                  </w:rPr>
                                  <w:t>Довгострокові схеми лікування МР/Риф-ТБ</w:t>
                                </w:r>
                              </w:p>
                            </w:tc>
                            <w:tc>
                              <w:tcPr>
                                <w:tcW w:w="675" w:type="dxa"/>
                                <w:vAlign w:val="center"/>
                              </w:tcPr>
                              <w:p w:rsidR="00395867" w:rsidRPr="00AF465C" w:rsidRDefault="00395867" w:rsidP="00395867">
                                <w:pPr>
                                  <w:jc w:val="right"/>
                                  <w:rPr>
                                    <w:rFonts w:asciiTheme="minorHAnsi" w:hAnsiTheme="minorHAnsi" w:cstheme="minorHAnsi"/>
                                    <w:color w:val="1E5FAA"/>
                                    <w:sz w:val="16"/>
                                    <w:szCs w:val="16"/>
                                    <w:lang w:val="en-US"/>
                                  </w:rPr>
                                </w:pP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=-8+</w:instrText>
                                </w: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PAGE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instrText>43</w:instrText>
                                </w:r>
                                <w:r>
                                  <w:rPr>
                                    <w:rFonts w:asciiTheme="minorHAnsi" w:hAnsiTheme="minorHAnsi" w:cstheme="minorHAnsi"/>
                                    <w:color w:val="1E5FAA"/>
                                    <w:sz w:val="16"/>
                                    <w:szCs w:val="16"/>
                                    <w:lang w:val="en-US"/>
                                  </w:rPr>
                                  <w:fldChar w:fldCharType="end"/>
                                </w:r>
                                <w:r>
                                  <w:rPr>
                                    <w:rFonts w:asciiTheme="minorHAnsi" w:hAnsiTheme="minorHAnsi" w:cstheme="minorHAnsi"/>
                                    <w:color w:val="1E5FAA"/>
                                    <w:sz w:val="16"/>
                                    <w:szCs w:val="16"/>
                                    <w:lang w:val="en-US"/>
                                  </w:rPr>
                                  <w:instrText xml:space="preserv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t>35</w:t>
                                </w:r>
                                <w:r>
                                  <w:rPr>
                                    <w:rFonts w:asciiTheme="minorHAnsi" w:hAnsiTheme="minorHAnsi" w:cstheme="minorHAnsi"/>
                                    <w:color w:val="1E5FAA"/>
                                    <w:sz w:val="16"/>
                                    <w:szCs w:val="16"/>
                                    <w:lang w:val="en-US"/>
                                  </w:rPr>
                                  <w:fldChar w:fldCharType="end"/>
                                </w:r>
                              </w:p>
                            </w:tc>
                          </w:tr>
                        </w:tbl>
                        <w:p w:rsidR="00395867" w:rsidRPr="00F90B9E" w:rsidRDefault="00395867" w:rsidP="00AF465C">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590B2" id="Поле 79" o:spid="_x0000_s1048" type="#_x0000_t202" style="position:absolute;margin-left:91.7pt;margin-top:796.3pt;width:471.35pt;height:28.6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" fillcolor="white [3212]" stroked="f" strokeweight=".5pt">
              <v:textbox inset="0,0,0,0">
                <w:txbxContent>
                  <w:tbl>
                    <w:tblPr>
                      <w:tblStyle w:val="ab"/>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5"/>
                      <w:gridCol w:w="675"/>
                    </w:tblGrid>
                    <w:tr w:rsidR="00395867" w:rsidTr="00AF465C">
                      <w:trPr>
                        <w:trHeight w:val="397"/>
                        <w:jc w:val="right"/>
                      </w:trPr>
                      <w:tc>
                        <w:tcPr>
                          <w:tcW w:w="8175" w:type="dxa"/>
                          <w:vAlign w:val="center"/>
                        </w:tcPr>
                        <w:p w:rsidR="00395867" w:rsidRPr="00AF465C" w:rsidRDefault="00395867" w:rsidP="00395867">
                          <w:pPr>
                            <w:jc w:val="right"/>
                            <w:rPr>
                              <w:rFonts w:asciiTheme="minorHAnsi" w:hAnsiTheme="minorHAnsi" w:cstheme="minorHAnsi"/>
                              <w:color w:val="1E5FAA"/>
                              <w:sz w:val="16"/>
                              <w:szCs w:val="16"/>
                              <w:lang w:val="ru-RU"/>
                            </w:rPr>
                          </w:pPr>
                          <w:r w:rsidRPr="00145FBD">
                            <w:rPr>
                              <w:rFonts w:asciiTheme="minorHAnsi" w:hAnsiTheme="minorHAnsi" w:cstheme="minorHAnsi"/>
                              <w:color w:val="1E5FAA"/>
                              <w:sz w:val="16"/>
                              <w:szCs w:val="16"/>
                              <w:lang w:val="ru-RU"/>
                            </w:rPr>
                            <w:t>Довгострокові схеми лікування МР/Риф-ТБ</w:t>
                          </w:r>
                        </w:p>
                      </w:tc>
                      <w:tc>
                        <w:tcPr>
                          <w:tcW w:w="675" w:type="dxa"/>
                          <w:vAlign w:val="center"/>
                        </w:tcPr>
                        <w:p w:rsidR="00395867" w:rsidRPr="00AF465C" w:rsidRDefault="00395867" w:rsidP="00395867">
                          <w:pPr>
                            <w:jc w:val="right"/>
                            <w:rPr>
                              <w:rFonts w:asciiTheme="minorHAnsi" w:hAnsiTheme="minorHAnsi" w:cstheme="minorHAnsi"/>
                              <w:color w:val="1E5FAA"/>
                              <w:sz w:val="16"/>
                              <w:szCs w:val="16"/>
                              <w:lang w:val="en-US"/>
                            </w:rPr>
                          </w:pP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=-8+</w:instrText>
                          </w: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PAGE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instrText>43</w:instrText>
                          </w:r>
                          <w:r>
                            <w:rPr>
                              <w:rFonts w:asciiTheme="minorHAnsi" w:hAnsiTheme="minorHAnsi" w:cstheme="minorHAnsi"/>
                              <w:color w:val="1E5FAA"/>
                              <w:sz w:val="16"/>
                              <w:szCs w:val="16"/>
                              <w:lang w:val="en-US"/>
                            </w:rPr>
                            <w:fldChar w:fldCharType="end"/>
                          </w:r>
                          <w:r>
                            <w:rPr>
                              <w:rFonts w:asciiTheme="minorHAnsi" w:hAnsiTheme="minorHAnsi" w:cstheme="minorHAnsi"/>
                              <w:color w:val="1E5FAA"/>
                              <w:sz w:val="16"/>
                              <w:szCs w:val="16"/>
                              <w:lang w:val="en-US"/>
                            </w:rPr>
                            <w:instrText xml:space="preserv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t>35</w:t>
                          </w:r>
                          <w:r>
                            <w:rPr>
                              <w:rFonts w:asciiTheme="minorHAnsi" w:hAnsiTheme="minorHAnsi" w:cstheme="minorHAnsi"/>
                              <w:color w:val="1E5FAA"/>
                              <w:sz w:val="16"/>
                              <w:szCs w:val="16"/>
                              <w:lang w:val="en-US"/>
                            </w:rPr>
                            <w:fldChar w:fldCharType="end"/>
                          </w:r>
                        </w:p>
                      </w:tc>
                    </w:tr>
                  </w:tbl>
                  <w:p w:rsidR="00395867" w:rsidRPr="00F90B9E" w:rsidRDefault="00395867" w:rsidP="00AF465C">
                    <w:pPr>
                      <w:rPr>
                        <w:sz w:val="18"/>
                      </w:rPr>
                    </w:pP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867" w:rsidRDefault="00395867" w:rsidP="00AF465C">
    <w:pPr>
      <w:pStyle w:val="a9"/>
      <w:jc w:val="right"/>
    </w:pPr>
    <w:r w:rsidRPr="00163C09">
      <w:rPr>
        <w:rFonts w:eastAsia="Times New Roman"/>
        <w:b/>
        <w:bCs/>
        <w:noProof/>
        <w:color w:val="000000"/>
        <w:sz w:val="2"/>
        <w:szCs w:val="2"/>
      </w:rPr>
      <mc:AlternateContent>
        <mc:Choice Requires="wps">
          <w:drawing>
            <wp:anchor distT="0" distB="0" distL="114300" distR="114300" simplePos="0" relativeHeight="251681792" behindDoc="0" locked="0" layoutInCell="1" allowOverlap="1" wp14:anchorId="31481849" wp14:editId="35D884E8">
              <wp:simplePos x="0" y="0"/>
              <wp:positionH relativeFrom="page">
                <wp:posOffset>577124</wp:posOffset>
              </wp:positionH>
              <wp:positionV relativeFrom="page">
                <wp:posOffset>10126980</wp:posOffset>
              </wp:positionV>
              <wp:extent cx="4310743" cy="363220"/>
              <wp:effectExtent l="0" t="0" r="0" b="0"/>
              <wp:wrapNone/>
              <wp:docPr id="80" name="Поле 80"/>
              <wp:cNvGraphicFramePr/>
              <a:graphic xmlns:a="http://schemas.openxmlformats.org/drawingml/2006/main">
                <a:graphicData uri="http://schemas.microsoft.com/office/word/2010/wordprocessingShape">
                  <wps:wsp>
                    <wps:cNvSpPr txBox="1"/>
                    <wps:spPr>
                      <a:xfrm>
                        <a:off x="0" y="0"/>
                        <a:ext cx="4310743" cy="3632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4678"/>
                          </w:tblGrid>
                          <w:tr w:rsidR="00395867" w:rsidTr="00395867">
                            <w:trPr>
                              <w:trHeight w:val="397"/>
                            </w:trPr>
                            <w:tc>
                              <w:tcPr>
                                <w:tcW w:w="675" w:type="dxa"/>
                                <w:vAlign w:val="center"/>
                              </w:tcPr>
                              <w:p w:rsidR="00395867" w:rsidRPr="00AF465C" w:rsidRDefault="00395867" w:rsidP="00395867">
                                <w:pPr>
                                  <w:rPr>
                                    <w:rFonts w:asciiTheme="minorHAnsi" w:hAnsiTheme="minorHAnsi" w:cstheme="minorHAnsi"/>
                                    <w:color w:val="1E5FAA"/>
                                    <w:sz w:val="16"/>
                                    <w:szCs w:val="16"/>
                                    <w:lang w:val="en-US"/>
                                  </w:rPr>
                                </w:pP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=-8+</w:instrText>
                                </w: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PAGE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instrText>44</w:instrText>
                                </w:r>
                                <w:r>
                                  <w:rPr>
                                    <w:rFonts w:asciiTheme="minorHAnsi" w:hAnsiTheme="minorHAnsi" w:cstheme="minorHAnsi"/>
                                    <w:color w:val="1E5FAA"/>
                                    <w:sz w:val="16"/>
                                    <w:szCs w:val="16"/>
                                    <w:lang w:val="en-US"/>
                                  </w:rPr>
                                  <w:fldChar w:fldCharType="end"/>
                                </w:r>
                                <w:r>
                                  <w:rPr>
                                    <w:rFonts w:asciiTheme="minorHAnsi" w:hAnsiTheme="minorHAnsi" w:cstheme="minorHAnsi"/>
                                    <w:color w:val="1E5FAA"/>
                                    <w:sz w:val="16"/>
                                    <w:szCs w:val="16"/>
                                    <w:lang w:val="en-US"/>
                                  </w:rPr>
                                  <w:instrText xml:space="preserv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t>36</w:t>
                                </w:r>
                                <w:r>
                                  <w:rPr>
                                    <w:rFonts w:asciiTheme="minorHAnsi" w:hAnsiTheme="minorHAnsi" w:cstheme="minorHAnsi"/>
                                    <w:color w:val="1E5FAA"/>
                                    <w:sz w:val="16"/>
                                    <w:szCs w:val="16"/>
                                    <w:lang w:val="en-US"/>
                                  </w:rPr>
                                  <w:fldChar w:fldCharType="end"/>
                                </w:r>
                              </w:p>
                            </w:tc>
                            <w:tc>
                              <w:tcPr>
                                <w:tcW w:w="4678" w:type="dxa"/>
                                <w:vAlign w:val="center"/>
                              </w:tcPr>
                              <w:p w:rsidR="00395867" w:rsidRPr="00AF465C" w:rsidRDefault="00395867" w:rsidP="00395867">
                                <w:pPr>
                                  <w:rPr>
                                    <w:rFonts w:asciiTheme="minorHAnsi" w:hAnsiTheme="minorHAnsi" w:cstheme="minorHAnsi"/>
                                    <w:color w:val="1E5FAA"/>
                                    <w:sz w:val="16"/>
                                    <w:szCs w:val="16"/>
                                  </w:rPr>
                                </w:pPr>
                                <w:r w:rsidRPr="00AF465C">
                                  <w:rPr>
                                    <w:rFonts w:asciiTheme="minorHAnsi" w:hAnsiTheme="minorHAnsi" w:cstheme="minorHAnsi"/>
                                    <w:color w:val="1E5FAA"/>
                                    <w:sz w:val="16"/>
                                    <w:szCs w:val="16"/>
                                  </w:rPr>
                                  <w:t>Консолідовані</w:t>
                                </w:r>
                              </w:p>
                              <w:p w:rsidR="00395867" w:rsidRPr="00AF465C" w:rsidRDefault="00395867" w:rsidP="00395867">
                                <w:pPr>
                                  <w:rPr>
                                    <w:rFonts w:asciiTheme="minorHAnsi" w:hAnsiTheme="minorHAnsi" w:cstheme="minorHAnsi"/>
                                    <w:color w:val="1E5FAA"/>
                                    <w:sz w:val="16"/>
                                    <w:szCs w:val="16"/>
                                  </w:rPr>
                                </w:pPr>
                                <w:r w:rsidRPr="00AF465C">
                                  <w:rPr>
                                    <w:rFonts w:asciiTheme="minorHAnsi" w:hAnsiTheme="minorHAnsi" w:cstheme="minorHAnsi"/>
                                    <w:color w:val="FF0000"/>
                                    <w:sz w:val="16"/>
                                    <w:szCs w:val="16"/>
                                  </w:rPr>
                                  <w:t xml:space="preserve">ВООЗ </w:t>
                                </w:r>
                                <w:r w:rsidRPr="00AF465C">
                                  <w:rPr>
                                    <w:rFonts w:asciiTheme="minorHAnsi" w:hAnsiTheme="minorHAnsi" w:cstheme="minorHAnsi"/>
                                    <w:color w:val="1E5FAA"/>
                                    <w:sz w:val="16"/>
                                    <w:szCs w:val="16"/>
                                  </w:rPr>
                                  <w:t>з туберкульозу</w:t>
                                </w:r>
                              </w:p>
                            </w:tc>
                          </w:tr>
                        </w:tbl>
                        <w:p w:rsidR="00395867" w:rsidRPr="00F90B9E" w:rsidRDefault="00395867" w:rsidP="00AF465C">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481849" id="_x0000_t202" coordsize="21600,21600" o:spt="202" path="m,l,21600r21600,l21600,xe">
              <v:stroke joinstyle="miter"/>
              <v:path gradientshapeok="t" o:connecttype="rect"/>
            </v:shapetype>
            <v:shape id="Поле 80" o:spid="_x0000_s1050" type="#_x0000_t202" style="position:absolute;left:0;text-align:left;margin-left:45.45pt;margin-top:797.4pt;width:339.45pt;height:28.6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" fillcolor="white [3212]" stroked="f" strokeweight=".5pt">
              <v:textbox inset="0,0,0,0">
                <w:txbxContent>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4678"/>
                    </w:tblGrid>
                    <w:tr w:rsidR="00395867" w:rsidTr="00395867">
                      <w:trPr>
                        <w:trHeight w:val="397"/>
                      </w:trPr>
                      <w:tc>
                        <w:tcPr>
                          <w:tcW w:w="675" w:type="dxa"/>
                          <w:vAlign w:val="center"/>
                        </w:tcPr>
                        <w:p w:rsidR="00395867" w:rsidRPr="00AF465C" w:rsidRDefault="00395867" w:rsidP="00395867">
                          <w:pPr>
                            <w:rPr>
                              <w:rFonts w:asciiTheme="minorHAnsi" w:hAnsiTheme="minorHAnsi" w:cstheme="minorHAnsi"/>
                              <w:color w:val="1E5FAA"/>
                              <w:sz w:val="16"/>
                              <w:szCs w:val="16"/>
                              <w:lang w:val="en-US"/>
                            </w:rPr>
                          </w:pP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=-8+</w:instrText>
                          </w: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PAGE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instrText>44</w:instrText>
                          </w:r>
                          <w:r>
                            <w:rPr>
                              <w:rFonts w:asciiTheme="minorHAnsi" w:hAnsiTheme="minorHAnsi" w:cstheme="minorHAnsi"/>
                              <w:color w:val="1E5FAA"/>
                              <w:sz w:val="16"/>
                              <w:szCs w:val="16"/>
                              <w:lang w:val="en-US"/>
                            </w:rPr>
                            <w:fldChar w:fldCharType="end"/>
                          </w:r>
                          <w:r>
                            <w:rPr>
                              <w:rFonts w:asciiTheme="minorHAnsi" w:hAnsiTheme="minorHAnsi" w:cstheme="minorHAnsi"/>
                              <w:color w:val="1E5FAA"/>
                              <w:sz w:val="16"/>
                              <w:szCs w:val="16"/>
                              <w:lang w:val="en-US"/>
                            </w:rPr>
                            <w:instrText xml:space="preserv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t>36</w:t>
                          </w:r>
                          <w:r>
                            <w:rPr>
                              <w:rFonts w:asciiTheme="minorHAnsi" w:hAnsiTheme="minorHAnsi" w:cstheme="minorHAnsi"/>
                              <w:color w:val="1E5FAA"/>
                              <w:sz w:val="16"/>
                              <w:szCs w:val="16"/>
                              <w:lang w:val="en-US"/>
                            </w:rPr>
                            <w:fldChar w:fldCharType="end"/>
                          </w:r>
                        </w:p>
                      </w:tc>
                      <w:tc>
                        <w:tcPr>
                          <w:tcW w:w="4678" w:type="dxa"/>
                          <w:vAlign w:val="center"/>
                        </w:tcPr>
                        <w:p w:rsidR="00395867" w:rsidRPr="00AF465C" w:rsidRDefault="00395867" w:rsidP="00395867">
                          <w:pPr>
                            <w:rPr>
                              <w:rFonts w:asciiTheme="minorHAnsi" w:hAnsiTheme="minorHAnsi" w:cstheme="minorHAnsi"/>
                              <w:color w:val="1E5FAA"/>
                              <w:sz w:val="16"/>
                              <w:szCs w:val="16"/>
                            </w:rPr>
                          </w:pPr>
                          <w:r w:rsidRPr="00AF465C">
                            <w:rPr>
                              <w:rFonts w:asciiTheme="minorHAnsi" w:hAnsiTheme="minorHAnsi" w:cstheme="minorHAnsi"/>
                              <w:color w:val="1E5FAA"/>
                              <w:sz w:val="16"/>
                              <w:szCs w:val="16"/>
                            </w:rPr>
                            <w:t>Консолідовані</w:t>
                          </w:r>
                        </w:p>
                        <w:p w:rsidR="00395867" w:rsidRPr="00AF465C" w:rsidRDefault="00395867" w:rsidP="00395867">
                          <w:pPr>
                            <w:rPr>
                              <w:rFonts w:asciiTheme="minorHAnsi" w:hAnsiTheme="minorHAnsi" w:cstheme="minorHAnsi"/>
                              <w:color w:val="1E5FAA"/>
                              <w:sz w:val="16"/>
                              <w:szCs w:val="16"/>
                            </w:rPr>
                          </w:pPr>
                          <w:r w:rsidRPr="00AF465C">
                            <w:rPr>
                              <w:rFonts w:asciiTheme="minorHAnsi" w:hAnsiTheme="minorHAnsi" w:cstheme="minorHAnsi"/>
                              <w:color w:val="FF0000"/>
                              <w:sz w:val="16"/>
                              <w:szCs w:val="16"/>
                            </w:rPr>
                            <w:t xml:space="preserve">ВООЗ </w:t>
                          </w:r>
                          <w:r w:rsidRPr="00AF465C">
                            <w:rPr>
                              <w:rFonts w:asciiTheme="minorHAnsi" w:hAnsiTheme="minorHAnsi" w:cstheme="minorHAnsi"/>
                              <w:color w:val="1E5FAA"/>
                              <w:sz w:val="16"/>
                              <w:szCs w:val="16"/>
                            </w:rPr>
                            <w:t>з туберкульозу</w:t>
                          </w:r>
                        </w:p>
                      </w:tc>
                    </w:tr>
                  </w:tbl>
                  <w:p w:rsidR="00395867" w:rsidRPr="00F90B9E" w:rsidRDefault="00395867" w:rsidP="00AF465C">
                    <w:pPr>
                      <w:rPr>
                        <w:sz w:val="18"/>
                      </w:rPr>
                    </w:pP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867" w:rsidRDefault="00395867" w:rsidP="00AF465C">
    <w:pPr>
      <w:pStyle w:val="a9"/>
    </w:pPr>
    <w:r w:rsidRPr="00163C09">
      <w:rPr>
        <w:rFonts w:eastAsia="Times New Roman"/>
        <w:b/>
        <w:bCs/>
        <w:noProof/>
        <w:color w:val="000000"/>
        <w:sz w:val="2"/>
        <w:szCs w:val="2"/>
      </w:rPr>
      <mc:AlternateContent>
        <mc:Choice Requires="wps">
          <w:drawing>
            <wp:anchor distT="0" distB="0" distL="114300" distR="114300" simplePos="0" relativeHeight="251683840" behindDoc="0" locked="0" layoutInCell="1" allowOverlap="1" wp14:anchorId="2A90B05F" wp14:editId="0BCAE550">
              <wp:simplePos x="0" y="0"/>
              <wp:positionH relativeFrom="page">
                <wp:posOffset>1164771</wp:posOffset>
              </wp:positionH>
              <wp:positionV relativeFrom="page">
                <wp:posOffset>10112829</wp:posOffset>
              </wp:positionV>
              <wp:extent cx="5986236" cy="363220"/>
              <wp:effectExtent l="0" t="0" r="0" b="0"/>
              <wp:wrapNone/>
              <wp:docPr id="81" name="Поле 81"/>
              <wp:cNvGraphicFramePr/>
              <a:graphic xmlns:a="http://schemas.openxmlformats.org/drawingml/2006/main">
                <a:graphicData uri="http://schemas.microsoft.com/office/word/2010/wordprocessingShape">
                  <wps:wsp>
                    <wps:cNvSpPr txBox="1"/>
                    <wps:spPr>
                      <a:xfrm>
                        <a:off x="0" y="0"/>
                        <a:ext cx="5986236" cy="3632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5"/>
                            <w:gridCol w:w="675"/>
                          </w:tblGrid>
                          <w:tr w:rsidR="00395867" w:rsidTr="00AF465C">
                            <w:trPr>
                              <w:trHeight w:val="397"/>
                              <w:jc w:val="right"/>
                            </w:trPr>
                            <w:tc>
                              <w:tcPr>
                                <w:tcW w:w="8175" w:type="dxa"/>
                                <w:vAlign w:val="center"/>
                              </w:tcPr>
                              <w:p w:rsidR="00395867" w:rsidRPr="00AF465C" w:rsidRDefault="00395867" w:rsidP="00395867">
                                <w:pPr>
                                  <w:jc w:val="right"/>
                                  <w:rPr>
                                    <w:rFonts w:asciiTheme="minorHAnsi" w:hAnsiTheme="minorHAnsi" w:cstheme="minorHAnsi"/>
                                    <w:color w:val="1E5FAA"/>
                                    <w:sz w:val="16"/>
                                    <w:szCs w:val="16"/>
                                    <w:lang w:val="ru-RU"/>
                                  </w:rPr>
                                </w:pPr>
                                <w:r w:rsidRPr="00145FBD">
                                  <w:rPr>
                                    <w:rFonts w:asciiTheme="minorHAnsi" w:hAnsiTheme="minorHAnsi" w:cstheme="minorHAnsi"/>
                                    <w:color w:val="1E5FAA"/>
                                    <w:sz w:val="16"/>
                                    <w:szCs w:val="16"/>
                                    <w:lang w:val="ru-RU"/>
                                  </w:rPr>
                                  <w:t>Довгострокові схеми лікування МР/Риф-ТБ</w:t>
                                </w:r>
                              </w:p>
                            </w:tc>
                            <w:tc>
                              <w:tcPr>
                                <w:tcW w:w="675" w:type="dxa"/>
                                <w:vAlign w:val="center"/>
                              </w:tcPr>
                              <w:p w:rsidR="00395867" w:rsidRPr="00AF465C" w:rsidRDefault="00395867" w:rsidP="00395867">
                                <w:pPr>
                                  <w:jc w:val="right"/>
                                  <w:rPr>
                                    <w:rFonts w:asciiTheme="minorHAnsi" w:hAnsiTheme="minorHAnsi" w:cstheme="minorHAnsi"/>
                                    <w:color w:val="1E5FAA"/>
                                    <w:sz w:val="16"/>
                                    <w:szCs w:val="16"/>
                                    <w:lang w:val="en-US"/>
                                  </w:rPr>
                                </w:pP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=-8+</w:instrText>
                                </w: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PAGE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instrText>49</w:instrText>
                                </w:r>
                                <w:r>
                                  <w:rPr>
                                    <w:rFonts w:asciiTheme="minorHAnsi" w:hAnsiTheme="minorHAnsi" w:cstheme="minorHAnsi"/>
                                    <w:color w:val="1E5FAA"/>
                                    <w:sz w:val="16"/>
                                    <w:szCs w:val="16"/>
                                    <w:lang w:val="en-US"/>
                                  </w:rPr>
                                  <w:fldChar w:fldCharType="end"/>
                                </w:r>
                                <w:r>
                                  <w:rPr>
                                    <w:rFonts w:asciiTheme="minorHAnsi" w:hAnsiTheme="minorHAnsi" w:cstheme="minorHAnsi"/>
                                    <w:color w:val="1E5FAA"/>
                                    <w:sz w:val="16"/>
                                    <w:szCs w:val="16"/>
                                    <w:lang w:val="en-US"/>
                                  </w:rPr>
                                  <w:instrText xml:space="preserv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t>41</w:t>
                                </w:r>
                                <w:r>
                                  <w:rPr>
                                    <w:rFonts w:asciiTheme="minorHAnsi" w:hAnsiTheme="minorHAnsi" w:cstheme="minorHAnsi"/>
                                    <w:color w:val="1E5FAA"/>
                                    <w:sz w:val="16"/>
                                    <w:szCs w:val="16"/>
                                    <w:lang w:val="en-US"/>
                                  </w:rPr>
                                  <w:fldChar w:fldCharType="end"/>
                                </w:r>
                              </w:p>
                            </w:tc>
                          </w:tr>
                        </w:tbl>
                        <w:p w:rsidR="00395867" w:rsidRPr="00F90B9E" w:rsidRDefault="00395867" w:rsidP="00AF465C">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90B05F" id="_x0000_t202" coordsize="21600,21600" o:spt="202" path="m,l,21600r21600,l21600,xe">
              <v:stroke joinstyle="miter"/>
              <v:path gradientshapeok="t" o:connecttype="rect"/>
            </v:shapetype>
            <v:shape id="Поле 81" o:spid="_x0000_s1051" type="#_x0000_t202" style="position:absolute;margin-left:91.7pt;margin-top:796.3pt;width:471.35pt;height:28.6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" fillcolor="white [3212]" stroked="f" strokeweight=".5pt">
              <v:textbox inset="0,0,0,0">
                <w:txbxContent>
                  <w:tbl>
                    <w:tblPr>
                      <w:tblStyle w:val="ab"/>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5"/>
                      <w:gridCol w:w="675"/>
                    </w:tblGrid>
                    <w:tr w:rsidR="00395867" w:rsidTr="00AF465C">
                      <w:trPr>
                        <w:trHeight w:val="397"/>
                        <w:jc w:val="right"/>
                      </w:trPr>
                      <w:tc>
                        <w:tcPr>
                          <w:tcW w:w="8175" w:type="dxa"/>
                          <w:vAlign w:val="center"/>
                        </w:tcPr>
                        <w:p w:rsidR="00395867" w:rsidRPr="00AF465C" w:rsidRDefault="00395867" w:rsidP="00395867">
                          <w:pPr>
                            <w:jc w:val="right"/>
                            <w:rPr>
                              <w:rFonts w:asciiTheme="minorHAnsi" w:hAnsiTheme="minorHAnsi" w:cstheme="minorHAnsi"/>
                              <w:color w:val="1E5FAA"/>
                              <w:sz w:val="16"/>
                              <w:szCs w:val="16"/>
                              <w:lang w:val="ru-RU"/>
                            </w:rPr>
                          </w:pPr>
                          <w:r w:rsidRPr="00145FBD">
                            <w:rPr>
                              <w:rFonts w:asciiTheme="minorHAnsi" w:hAnsiTheme="minorHAnsi" w:cstheme="minorHAnsi"/>
                              <w:color w:val="1E5FAA"/>
                              <w:sz w:val="16"/>
                              <w:szCs w:val="16"/>
                              <w:lang w:val="ru-RU"/>
                            </w:rPr>
                            <w:t>Довгострокові схеми лікування МР/Риф-ТБ</w:t>
                          </w:r>
                        </w:p>
                      </w:tc>
                      <w:tc>
                        <w:tcPr>
                          <w:tcW w:w="675" w:type="dxa"/>
                          <w:vAlign w:val="center"/>
                        </w:tcPr>
                        <w:p w:rsidR="00395867" w:rsidRPr="00AF465C" w:rsidRDefault="00395867" w:rsidP="00395867">
                          <w:pPr>
                            <w:jc w:val="right"/>
                            <w:rPr>
                              <w:rFonts w:asciiTheme="minorHAnsi" w:hAnsiTheme="minorHAnsi" w:cstheme="minorHAnsi"/>
                              <w:color w:val="1E5FAA"/>
                              <w:sz w:val="16"/>
                              <w:szCs w:val="16"/>
                              <w:lang w:val="en-US"/>
                            </w:rPr>
                          </w:pP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=-8+</w:instrText>
                          </w: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PAGE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instrText>49</w:instrText>
                          </w:r>
                          <w:r>
                            <w:rPr>
                              <w:rFonts w:asciiTheme="minorHAnsi" w:hAnsiTheme="minorHAnsi" w:cstheme="minorHAnsi"/>
                              <w:color w:val="1E5FAA"/>
                              <w:sz w:val="16"/>
                              <w:szCs w:val="16"/>
                              <w:lang w:val="en-US"/>
                            </w:rPr>
                            <w:fldChar w:fldCharType="end"/>
                          </w:r>
                          <w:r>
                            <w:rPr>
                              <w:rFonts w:asciiTheme="minorHAnsi" w:hAnsiTheme="minorHAnsi" w:cstheme="minorHAnsi"/>
                              <w:color w:val="1E5FAA"/>
                              <w:sz w:val="16"/>
                              <w:szCs w:val="16"/>
                              <w:lang w:val="en-US"/>
                            </w:rPr>
                            <w:instrText xml:space="preserv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t>41</w:t>
                          </w:r>
                          <w:r>
                            <w:rPr>
                              <w:rFonts w:asciiTheme="minorHAnsi" w:hAnsiTheme="minorHAnsi" w:cstheme="minorHAnsi"/>
                              <w:color w:val="1E5FAA"/>
                              <w:sz w:val="16"/>
                              <w:szCs w:val="16"/>
                              <w:lang w:val="en-US"/>
                            </w:rPr>
                            <w:fldChar w:fldCharType="end"/>
                          </w:r>
                        </w:p>
                      </w:tc>
                    </w:tr>
                  </w:tbl>
                  <w:p w:rsidR="00395867" w:rsidRPr="00F90B9E" w:rsidRDefault="00395867" w:rsidP="00AF465C">
                    <w:pPr>
                      <w:rPr>
                        <w:sz w:val="18"/>
                      </w:rPr>
                    </w:pP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867" w:rsidRDefault="00395867" w:rsidP="00AF465C">
    <w:pPr>
      <w:pStyle w:val="a9"/>
      <w:jc w:val="right"/>
    </w:pPr>
    <w:r w:rsidRPr="00163C09">
      <w:rPr>
        <w:rFonts w:eastAsia="Times New Roman"/>
        <w:b/>
        <w:bCs/>
        <w:noProof/>
        <w:color w:val="000000"/>
        <w:sz w:val="2"/>
        <w:szCs w:val="2"/>
      </w:rPr>
      <mc:AlternateContent>
        <mc:Choice Requires="wps">
          <w:drawing>
            <wp:anchor distT="0" distB="0" distL="114300" distR="114300" simplePos="0" relativeHeight="251685888" behindDoc="0" locked="0" layoutInCell="1" allowOverlap="1" wp14:anchorId="675FFC60" wp14:editId="6861D05B">
              <wp:simplePos x="0" y="0"/>
              <wp:positionH relativeFrom="page">
                <wp:posOffset>577124</wp:posOffset>
              </wp:positionH>
              <wp:positionV relativeFrom="page">
                <wp:posOffset>10126980</wp:posOffset>
              </wp:positionV>
              <wp:extent cx="4310743" cy="363220"/>
              <wp:effectExtent l="0" t="0" r="0" b="0"/>
              <wp:wrapNone/>
              <wp:docPr id="82" name="Поле 82"/>
              <wp:cNvGraphicFramePr/>
              <a:graphic xmlns:a="http://schemas.openxmlformats.org/drawingml/2006/main">
                <a:graphicData uri="http://schemas.microsoft.com/office/word/2010/wordprocessingShape">
                  <wps:wsp>
                    <wps:cNvSpPr txBox="1"/>
                    <wps:spPr>
                      <a:xfrm>
                        <a:off x="0" y="0"/>
                        <a:ext cx="4310743" cy="3632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4678"/>
                          </w:tblGrid>
                          <w:tr w:rsidR="00395867" w:rsidTr="00395867">
                            <w:trPr>
                              <w:trHeight w:val="397"/>
                            </w:trPr>
                            <w:tc>
                              <w:tcPr>
                                <w:tcW w:w="675" w:type="dxa"/>
                                <w:vAlign w:val="center"/>
                              </w:tcPr>
                              <w:p w:rsidR="00395867" w:rsidRPr="00AF465C" w:rsidRDefault="00395867" w:rsidP="00395867">
                                <w:pPr>
                                  <w:rPr>
                                    <w:rFonts w:asciiTheme="minorHAnsi" w:hAnsiTheme="minorHAnsi" w:cstheme="minorHAnsi"/>
                                    <w:color w:val="1E5FAA"/>
                                    <w:sz w:val="16"/>
                                    <w:szCs w:val="16"/>
                                    <w:lang w:val="en-US"/>
                                  </w:rPr>
                                </w:pP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=-8+</w:instrText>
                                </w: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PAGE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instrText>76</w:instrText>
                                </w:r>
                                <w:r>
                                  <w:rPr>
                                    <w:rFonts w:asciiTheme="minorHAnsi" w:hAnsiTheme="minorHAnsi" w:cstheme="minorHAnsi"/>
                                    <w:color w:val="1E5FAA"/>
                                    <w:sz w:val="16"/>
                                    <w:szCs w:val="16"/>
                                    <w:lang w:val="en-US"/>
                                  </w:rPr>
                                  <w:fldChar w:fldCharType="end"/>
                                </w:r>
                                <w:r>
                                  <w:rPr>
                                    <w:rFonts w:asciiTheme="minorHAnsi" w:hAnsiTheme="minorHAnsi" w:cstheme="minorHAnsi"/>
                                    <w:color w:val="1E5FAA"/>
                                    <w:sz w:val="16"/>
                                    <w:szCs w:val="16"/>
                                    <w:lang w:val="en-US"/>
                                  </w:rPr>
                                  <w:instrText xml:space="preserv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t>68</w:t>
                                </w:r>
                                <w:r>
                                  <w:rPr>
                                    <w:rFonts w:asciiTheme="minorHAnsi" w:hAnsiTheme="minorHAnsi" w:cstheme="minorHAnsi"/>
                                    <w:color w:val="1E5FAA"/>
                                    <w:sz w:val="16"/>
                                    <w:szCs w:val="16"/>
                                    <w:lang w:val="en-US"/>
                                  </w:rPr>
                                  <w:fldChar w:fldCharType="end"/>
                                </w:r>
                              </w:p>
                            </w:tc>
                            <w:tc>
                              <w:tcPr>
                                <w:tcW w:w="4678" w:type="dxa"/>
                                <w:vAlign w:val="center"/>
                              </w:tcPr>
                              <w:p w:rsidR="00A53870" w:rsidRPr="00A53870" w:rsidRDefault="00A53870" w:rsidP="00A53870">
                                <w:pPr>
                                  <w:rPr>
                                    <w:rFonts w:asciiTheme="minorHAnsi" w:hAnsiTheme="minorHAnsi" w:cstheme="minorHAnsi"/>
                                    <w:color w:val="1E5FAA"/>
                                    <w:sz w:val="16"/>
                                    <w:szCs w:val="16"/>
                                    <w:lang w:val="ru-RU"/>
                                  </w:rPr>
                                </w:pPr>
                                <w:r w:rsidRPr="00395867">
                                  <w:rPr>
                                    <w:rFonts w:asciiTheme="minorHAnsi" w:hAnsiTheme="minorHAnsi" w:cstheme="minorHAnsi"/>
                                    <w:color w:val="1E5FAA"/>
                                    <w:sz w:val="16"/>
                                    <w:szCs w:val="16"/>
                                  </w:rPr>
                                  <w:t xml:space="preserve">Операційне </w:t>
                                </w:r>
                                <w:r w:rsidRPr="00395867">
                                  <w:rPr>
                                    <w:rFonts w:asciiTheme="minorHAnsi" w:hAnsiTheme="minorHAnsi" w:cstheme="minorHAnsi"/>
                                    <w:color w:val="FF0000"/>
                                    <w:sz w:val="16"/>
                                    <w:szCs w:val="16"/>
                                  </w:rPr>
                                  <w:t xml:space="preserve">керівництво </w:t>
                                </w:r>
                              </w:p>
                              <w:p w:rsidR="00395867" w:rsidRPr="00AF465C" w:rsidRDefault="00A53870" w:rsidP="00A53870">
                                <w:pPr>
                                  <w:rPr>
                                    <w:rFonts w:asciiTheme="minorHAnsi" w:hAnsiTheme="minorHAnsi" w:cstheme="minorHAnsi"/>
                                    <w:color w:val="1E5FAA"/>
                                    <w:sz w:val="16"/>
                                    <w:szCs w:val="16"/>
                                  </w:rPr>
                                </w:pPr>
                                <w:r w:rsidRPr="00395867">
                                  <w:rPr>
                                    <w:rFonts w:asciiTheme="minorHAnsi" w:hAnsiTheme="minorHAnsi" w:cstheme="minorHAnsi"/>
                                    <w:color w:val="FF0000"/>
                                    <w:sz w:val="16"/>
                                    <w:szCs w:val="16"/>
                                  </w:rPr>
                                  <w:t xml:space="preserve">ВООЗ </w:t>
                                </w:r>
                                <w:r w:rsidRPr="00395867">
                                  <w:rPr>
                                    <w:rFonts w:asciiTheme="minorHAnsi" w:hAnsiTheme="minorHAnsi" w:cstheme="minorHAnsi"/>
                                    <w:color w:val="1E5FAA"/>
                                    <w:sz w:val="16"/>
                                    <w:szCs w:val="16"/>
                                  </w:rPr>
                                  <w:t>щодо туберкульозу</w:t>
                                </w:r>
                              </w:p>
                            </w:tc>
                          </w:tr>
                        </w:tbl>
                        <w:p w:rsidR="00395867" w:rsidRPr="00F90B9E" w:rsidRDefault="00395867" w:rsidP="00AF465C">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5FFC60" id="_x0000_t202" coordsize="21600,21600" o:spt="202" path="m,l,21600r21600,l21600,xe">
              <v:stroke joinstyle="miter"/>
              <v:path gradientshapeok="t" o:connecttype="rect"/>
            </v:shapetype>
            <v:shape id="Поле 82" o:spid="_x0000_s1052" type="#_x0000_t202" style="position:absolute;left:0;text-align:left;margin-left:45.45pt;margin-top:797.4pt;width:339.45pt;height:28.6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" fillcolor="white [3212]" stroked="f" strokeweight=".5pt">
              <v:textbox inset="0,0,0,0">
                <w:txbxContent>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4678"/>
                    </w:tblGrid>
                    <w:tr w:rsidR="00395867" w:rsidTr="00395867">
                      <w:trPr>
                        <w:trHeight w:val="397"/>
                      </w:trPr>
                      <w:tc>
                        <w:tcPr>
                          <w:tcW w:w="675" w:type="dxa"/>
                          <w:vAlign w:val="center"/>
                        </w:tcPr>
                        <w:p w:rsidR="00395867" w:rsidRPr="00AF465C" w:rsidRDefault="00395867" w:rsidP="00395867">
                          <w:pPr>
                            <w:rPr>
                              <w:rFonts w:asciiTheme="minorHAnsi" w:hAnsiTheme="minorHAnsi" w:cstheme="minorHAnsi"/>
                              <w:color w:val="1E5FAA"/>
                              <w:sz w:val="16"/>
                              <w:szCs w:val="16"/>
                              <w:lang w:val="en-US"/>
                            </w:rPr>
                          </w:pP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=-8+</w:instrText>
                          </w: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PAGE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instrText>76</w:instrText>
                          </w:r>
                          <w:r>
                            <w:rPr>
                              <w:rFonts w:asciiTheme="minorHAnsi" w:hAnsiTheme="minorHAnsi" w:cstheme="minorHAnsi"/>
                              <w:color w:val="1E5FAA"/>
                              <w:sz w:val="16"/>
                              <w:szCs w:val="16"/>
                              <w:lang w:val="en-US"/>
                            </w:rPr>
                            <w:fldChar w:fldCharType="end"/>
                          </w:r>
                          <w:r>
                            <w:rPr>
                              <w:rFonts w:asciiTheme="minorHAnsi" w:hAnsiTheme="minorHAnsi" w:cstheme="minorHAnsi"/>
                              <w:color w:val="1E5FAA"/>
                              <w:sz w:val="16"/>
                              <w:szCs w:val="16"/>
                              <w:lang w:val="en-US"/>
                            </w:rPr>
                            <w:instrText xml:space="preserv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t>68</w:t>
                          </w:r>
                          <w:r>
                            <w:rPr>
                              <w:rFonts w:asciiTheme="minorHAnsi" w:hAnsiTheme="minorHAnsi" w:cstheme="minorHAnsi"/>
                              <w:color w:val="1E5FAA"/>
                              <w:sz w:val="16"/>
                              <w:szCs w:val="16"/>
                              <w:lang w:val="en-US"/>
                            </w:rPr>
                            <w:fldChar w:fldCharType="end"/>
                          </w:r>
                        </w:p>
                      </w:tc>
                      <w:tc>
                        <w:tcPr>
                          <w:tcW w:w="4678" w:type="dxa"/>
                          <w:vAlign w:val="center"/>
                        </w:tcPr>
                        <w:p w:rsidR="00A53870" w:rsidRPr="00A53870" w:rsidRDefault="00A53870" w:rsidP="00A53870">
                          <w:pPr>
                            <w:rPr>
                              <w:rFonts w:asciiTheme="minorHAnsi" w:hAnsiTheme="minorHAnsi" w:cstheme="minorHAnsi"/>
                              <w:color w:val="1E5FAA"/>
                              <w:sz w:val="16"/>
                              <w:szCs w:val="16"/>
                              <w:lang w:val="ru-RU"/>
                            </w:rPr>
                          </w:pPr>
                          <w:r w:rsidRPr="00395867">
                            <w:rPr>
                              <w:rFonts w:asciiTheme="minorHAnsi" w:hAnsiTheme="minorHAnsi" w:cstheme="minorHAnsi"/>
                              <w:color w:val="1E5FAA"/>
                              <w:sz w:val="16"/>
                              <w:szCs w:val="16"/>
                            </w:rPr>
                            <w:t xml:space="preserve">Операційне </w:t>
                          </w:r>
                          <w:r w:rsidRPr="00395867">
                            <w:rPr>
                              <w:rFonts w:asciiTheme="minorHAnsi" w:hAnsiTheme="minorHAnsi" w:cstheme="minorHAnsi"/>
                              <w:color w:val="FF0000"/>
                              <w:sz w:val="16"/>
                              <w:szCs w:val="16"/>
                            </w:rPr>
                            <w:t xml:space="preserve">керівництво </w:t>
                          </w:r>
                        </w:p>
                        <w:p w:rsidR="00395867" w:rsidRPr="00AF465C" w:rsidRDefault="00A53870" w:rsidP="00A53870">
                          <w:pPr>
                            <w:rPr>
                              <w:rFonts w:asciiTheme="minorHAnsi" w:hAnsiTheme="minorHAnsi" w:cstheme="minorHAnsi"/>
                              <w:color w:val="1E5FAA"/>
                              <w:sz w:val="16"/>
                              <w:szCs w:val="16"/>
                            </w:rPr>
                          </w:pPr>
                          <w:r w:rsidRPr="00395867">
                            <w:rPr>
                              <w:rFonts w:asciiTheme="minorHAnsi" w:hAnsiTheme="minorHAnsi" w:cstheme="minorHAnsi"/>
                              <w:color w:val="FF0000"/>
                              <w:sz w:val="16"/>
                              <w:szCs w:val="16"/>
                            </w:rPr>
                            <w:t xml:space="preserve">ВООЗ </w:t>
                          </w:r>
                          <w:r w:rsidRPr="00395867">
                            <w:rPr>
                              <w:rFonts w:asciiTheme="minorHAnsi" w:hAnsiTheme="minorHAnsi" w:cstheme="minorHAnsi"/>
                              <w:color w:val="1E5FAA"/>
                              <w:sz w:val="16"/>
                              <w:szCs w:val="16"/>
                            </w:rPr>
                            <w:t>щодо туберкульозу</w:t>
                          </w:r>
                        </w:p>
                      </w:tc>
                    </w:tr>
                  </w:tbl>
                  <w:p w:rsidR="00395867" w:rsidRPr="00F90B9E" w:rsidRDefault="00395867" w:rsidP="00AF465C">
                    <w:pPr>
                      <w:rPr>
                        <w:sz w:val="18"/>
                      </w:rPr>
                    </w:pP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867" w:rsidRDefault="00395867" w:rsidP="00AF465C">
    <w:pPr>
      <w:pStyle w:val="a9"/>
    </w:pPr>
    <w:r w:rsidRPr="00163C09">
      <w:rPr>
        <w:rFonts w:eastAsia="Times New Roman"/>
        <w:b/>
        <w:bCs/>
        <w:noProof/>
        <w:color w:val="000000"/>
        <w:sz w:val="2"/>
        <w:szCs w:val="2"/>
      </w:rPr>
      <mc:AlternateContent>
        <mc:Choice Requires="wps">
          <w:drawing>
            <wp:anchor distT="0" distB="0" distL="114300" distR="114300" simplePos="0" relativeHeight="251687936" behindDoc="0" locked="0" layoutInCell="1" allowOverlap="1" wp14:anchorId="45742385" wp14:editId="138383E1">
              <wp:simplePos x="0" y="0"/>
              <wp:positionH relativeFrom="page">
                <wp:posOffset>1164771</wp:posOffset>
              </wp:positionH>
              <wp:positionV relativeFrom="page">
                <wp:posOffset>10112829</wp:posOffset>
              </wp:positionV>
              <wp:extent cx="5986236" cy="363220"/>
              <wp:effectExtent l="0" t="0" r="0" b="0"/>
              <wp:wrapNone/>
              <wp:docPr id="83" name="Поле 83"/>
              <wp:cNvGraphicFramePr/>
              <a:graphic xmlns:a="http://schemas.openxmlformats.org/drawingml/2006/main">
                <a:graphicData uri="http://schemas.microsoft.com/office/word/2010/wordprocessingShape">
                  <wps:wsp>
                    <wps:cNvSpPr txBox="1"/>
                    <wps:spPr>
                      <a:xfrm>
                        <a:off x="0" y="0"/>
                        <a:ext cx="5986236" cy="3632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5"/>
                            <w:gridCol w:w="675"/>
                          </w:tblGrid>
                          <w:tr w:rsidR="00395867" w:rsidTr="00AF465C">
                            <w:trPr>
                              <w:trHeight w:val="397"/>
                              <w:jc w:val="right"/>
                            </w:trPr>
                            <w:tc>
                              <w:tcPr>
                                <w:tcW w:w="8175" w:type="dxa"/>
                                <w:vAlign w:val="center"/>
                              </w:tcPr>
                              <w:p w:rsidR="00395867" w:rsidRPr="00AF465C" w:rsidRDefault="00395867" w:rsidP="00395867">
                                <w:pPr>
                                  <w:jc w:val="right"/>
                                  <w:rPr>
                                    <w:rFonts w:asciiTheme="minorHAnsi" w:hAnsiTheme="minorHAnsi" w:cstheme="minorHAnsi"/>
                                    <w:color w:val="1E5FAA"/>
                                    <w:sz w:val="16"/>
                                    <w:szCs w:val="16"/>
                                    <w:lang w:val="ru-RU"/>
                                  </w:rPr>
                                </w:pPr>
                                <w:r w:rsidRPr="00145FBD">
                                  <w:rPr>
                                    <w:rFonts w:asciiTheme="minorHAnsi" w:hAnsiTheme="minorHAnsi" w:cstheme="minorHAnsi"/>
                                    <w:color w:val="1E5FAA"/>
                                    <w:sz w:val="16"/>
                                    <w:szCs w:val="16"/>
                                    <w:lang w:val="ru-RU"/>
                                  </w:rPr>
                                  <w:t>Схема лікування бедаквіліну, претоманіду і лінезоліду (БПЛ) для МР-ТБ з додатковою фторхінолоновою стійкістю</w:t>
                                </w:r>
                              </w:p>
                            </w:tc>
                            <w:tc>
                              <w:tcPr>
                                <w:tcW w:w="675" w:type="dxa"/>
                                <w:vAlign w:val="center"/>
                              </w:tcPr>
                              <w:p w:rsidR="00395867" w:rsidRPr="00AF465C" w:rsidRDefault="00395867" w:rsidP="00395867">
                                <w:pPr>
                                  <w:jc w:val="right"/>
                                  <w:rPr>
                                    <w:rFonts w:asciiTheme="minorHAnsi" w:hAnsiTheme="minorHAnsi" w:cstheme="minorHAnsi"/>
                                    <w:color w:val="1E5FAA"/>
                                    <w:sz w:val="16"/>
                                    <w:szCs w:val="16"/>
                                    <w:lang w:val="en-US"/>
                                  </w:rPr>
                                </w:pP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=-8+</w:instrText>
                                </w: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PAGE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instrText>59</w:instrText>
                                </w:r>
                                <w:r>
                                  <w:rPr>
                                    <w:rFonts w:asciiTheme="minorHAnsi" w:hAnsiTheme="minorHAnsi" w:cstheme="minorHAnsi"/>
                                    <w:color w:val="1E5FAA"/>
                                    <w:sz w:val="16"/>
                                    <w:szCs w:val="16"/>
                                    <w:lang w:val="en-US"/>
                                  </w:rPr>
                                  <w:fldChar w:fldCharType="end"/>
                                </w:r>
                                <w:r>
                                  <w:rPr>
                                    <w:rFonts w:asciiTheme="minorHAnsi" w:hAnsiTheme="minorHAnsi" w:cstheme="minorHAnsi"/>
                                    <w:color w:val="1E5FAA"/>
                                    <w:sz w:val="16"/>
                                    <w:szCs w:val="16"/>
                                    <w:lang w:val="en-US"/>
                                  </w:rPr>
                                  <w:instrText xml:space="preserv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t>51</w:t>
                                </w:r>
                                <w:r>
                                  <w:rPr>
                                    <w:rFonts w:asciiTheme="minorHAnsi" w:hAnsiTheme="minorHAnsi" w:cstheme="minorHAnsi"/>
                                    <w:color w:val="1E5FAA"/>
                                    <w:sz w:val="16"/>
                                    <w:szCs w:val="16"/>
                                    <w:lang w:val="en-US"/>
                                  </w:rPr>
                                  <w:fldChar w:fldCharType="end"/>
                                </w:r>
                              </w:p>
                            </w:tc>
                          </w:tr>
                        </w:tbl>
                        <w:p w:rsidR="00395867" w:rsidRPr="00F90B9E" w:rsidRDefault="00395867" w:rsidP="00AF465C">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742385" id="_x0000_t202" coordsize="21600,21600" o:spt="202" path="m,l,21600r21600,l21600,xe">
              <v:stroke joinstyle="miter"/>
              <v:path gradientshapeok="t" o:connecttype="rect"/>
            </v:shapetype>
            <v:shape id="Поле 83" o:spid="_x0000_s1053" type="#_x0000_t202" style="position:absolute;margin-left:91.7pt;margin-top:796.3pt;width:471.35pt;height:28.6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" fillcolor="white [3212]" stroked="f" strokeweight=".5pt">
              <v:textbox inset="0,0,0,0">
                <w:txbxContent>
                  <w:tbl>
                    <w:tblPr>
                      <w:tblStyle w:val="ab"/>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5"/>
                      <w:gridCol w:w="675"/>
                    </w:tblGrid>
                    <w:tr w:rsidR="00395867" w:rsidTr="00AF465C">
                      <w:trPr>
                        <w:trHeight w:val="397"/>
                        <w:jc w:val="right"/>
                      </w:trPr>
                      <w:tc>
                        <w:tcPr>
                          <w:tcW w:w="8175" w:type="dxa"/>
                          <w:vAlign w:val="center"/>
                        </w:tcPr>
                        <w:p w:rsidR="00395867" w:rsidRPr="00AF465C" w:rsidRDefault="00395867" w:rsidP="00395867">
                          <w:pPr>
                            <w:jc w:val="right"/>
                            <w:rPr>
                              <w:rFonts w:asciiTheme="minorHAnsi" w:hAnsiTheme="minorHAnsi" w:cstheme="minorHAnsi"/>
                              <w:color w:val="1E5FAA"/>
                              <w:sz w:val="16"/>
                              <w:szCs w:val="16"/>
                              <w:lang w:val="ru-RU"/>
                            </w:rPr>
                          </w:pPr>
                          <w:r w:rsidRPr="00145FBD">
                            <w:rPr>
                              <w:rFonts w:asciiTheme="minorHAnsi" w:hAnsiTheme="minorHAnsi" w:cstheme="minorHAnsi"/>
                              <w:color w:val="1E5FAA"/>
                              <w:sz w:val="16"/>
                              <w:szCs w:val="16"/>
                              <w:lang w:val="ru-RU"/>
                            </w:rPr>
                            <w:t>Схема лікування бедаквіліну, претоманіду і лінезоліду (БПЛ) для МР-ТБ з додатковою фторхінолоновою стійкістю</w:t>
                          </w:r>
                        </w:p>
                      </w:tc>
                      <w:tc>
                        <w:tcPr>
                          <w:tcW w:w="675" w:type="dxa"/>
                          <w:vAlign w:val="center"/>
                        </w:tcPr>
                        <w:p w:rsidR="00395867" w:rsidRPr="00AF465C" w:rsidRDefault="00395867" w:rsidP="00395867">
                          <w:pPr>
                            <w:jc w:val="right"/>
                            <w:rPr>
                              <w:rFonts w:asciiTheme="minorHAnsi" w:hAnsiTheme="minorHAnsi" w:cstheme="minorHAnsi"/>
                              <w:color w:val="1E5FAA"/>
                              <w:sz w:val="16"/>
                              <w:szCs w:val="16"/>
                              <w:lang w:val="en-US"/>
                            </w:rPr>
                          </w:pP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=-8+</w:instrText>
                          </w: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PAGE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instrText>59</w:instrText>
                          </w:r>
                          <w:r>
                            <w:rPr>
                              <w:rFonts w:asciiTheme="minorHAnsi" w:hAnsiTheme="minorHAnsi" w:cstheme="minorHAnsi"/>
                              <w:color w:val="1E5FAA"/>
                              <w:sz w:val="16"/>
                              <w:szCs w:val="16"/>
                              <w:lang w:val="en-US"/>
                            </w:rPr>
                            <w:fldChar w:fldCharType="end"/>
                          </w:r>
                          <w:r>
                            <w:rPr>
                              <w:rFonts w:asciiTheme="minorHAnsi" w:hAnsiTheme="minorHAnsi" w:cstheme="minorHAnsi"/>
                              <w:color w:val="1E5FAA"/>
                              <w:sz w:val="16"/>
                              <w:szCs w:val="16"/>
                              <w:lang w:val="en-US"/>
                            </w:rPr>
                            <w:instrText xml:space="preserv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t>51</w:t>
                          </w:r>
                          <w:r>
                            <w:rPr>
                              <w:rFonts w:asciiTheme="minorHAnsi" w:hAnsiTheme="minorHAnsi" w:cstheme="minorHAnsi"/>
                              <w:color w:val="1E5FAA"/>
                              <w:sz w:val="16"/>
                              <w:szCs w:val="16"/>
                              <w:lang w:val="en-US"/>
                            </w:rPr>
                            <w:fldChar w:fldCharType="end"/>
                          </w:r>
                        </w:p>
                      </w:tc>
                    </w:tr>
                  </w:tbl>
                  <w:p w:rsidR="00395867" w:rsidRPr="00F90B9E" w:rsidRDefault="00395867" w:rsidP="00AF465C">
                    <w:pPr>
                      <w:rPr>
                        <w:sz w:val="18"/>
                      </w:rPr>
                    </w:pP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867" w:rsidRDefault="00395867" w:rsidP="00AF465C">
    <w:pPr>
      <w:pStyle w:val="a9"/>
    </w:pPr>
    <w:r w:rsidRPr="00163C09">
      <w:rPr>
        <w:rFonts w:eastAsia="Times New Roman"/>
        <w:b/>
        <w:bCs/>
        <w:noProof/>
        <w:color w:val="000000"/>
        <w:sz w:val="2"/>
        <w:szCs w:val="2"/>
      </w:rPr>
      <mc:AlternateContent>
        <mc:Choice Requires="wps">
          <w:drawing>
            <wp:anchor distT="0" distB="0" distL="114300" distR="114300" simplePos="0" relativeHeight="251689984" behindDoc="0" locked="0" layoutInCell="1" allowOverlap="1" wp14:anchorId="36BA8890" wp14:editId="2D15C751">
              <wp:simplePos x="0" y="0"/>
              <wp:positionH relativeFrom="page">
                <wp:posOffset>1164771</wp:posOffset>
              </wp:positionH>
              <wp:positionV relativeFrom="page">
                <wp:posOffset>10112829</wp:posOffset>
              </wp:positionV>
              <wp:extent cx="5986236" cy="363220"/>
              <wp:effectExtent l="0" t="0" r="0" b="0"/>
              <wp:wrapNone/>
              <wp:docPr id="84" name="Поле 84"/>
              <wp:cNvGraphicFramePr/>
              <a:graphic xmlns:a="http://schemas.openxmlformats.org/drawingml/2006/main">
                <a:graphicData uri="http://schemas.microsoft.com/office/word/2010/wordprocessingShape">
                  <wps:wsp>
                    <wps:cNvSpPr txBox="1"/>
                    <wps:spPr>
                      <a:xfrm>
                        <a:off x="0" y="0"/>
                        <a:ext cx="5986236" cy="3632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5"/>
                            <w:gridCol w:w="675"/>
                          </w:tblGrid>
                          <w:tr w:rsidR="00395867" w:rsidTr="00AF465C">
                            <w:trPr>
                              <w:trHeight w:val="397"/>
                              <w:jc w:val="right"/>
                            </w:trPr>
                            <w:tc>
                              <w:tcPr>
                                <w:tcW w:w="8175" w:type="dxa"/>
                                <w:vAlign w:val="center"/>
                              </w:tcPr>
                              <w:p w:rsidR="00395867" w:rsidRPr="00AF465C" w:rsidRDefault="00395867" w:rsidP="00395867">
                                <w:pPr>
                                  <w:jc w:val="right"/>
                                  <w:rPr>
                                    <w:rFonts w:asciiTheme="minorHAnsi" w:hAnsiTheme="minorHAnsi" w:cstheme="minorHAnsi"/>
                                    <w:color w:val="1E5FAA"/>
                                    <w:sz w:val="16"/>
                                    <w:szCs w:val="16"/>
                                    <w:lang w:val="ru-RU"/>
                                  </w:rPr>
                                </w:pPr>
                                <w:r w:rsidRPr="00145FBD">
                                  <w:rPr>
                                    <w:rFonts w:asciiTheme="minorHAnsi" w:hAnsiTheme="minorHAnsi" w:cstheme="minorHAnsi"/>
                                    <w:color w:val="1E5FAA"/>
                                    <w:sz w:val="16"/>
                                    <w:szCs w:val="16"/>
                                    <w:lang w:val="ru-RU"/>
                                  </w:rPr>
                                  <w:t>Додатки до лікування МР-ТБ</w:t>
                                </w:r>
                              </w:p>
                            </w:tc>
                            <w:tc>
                              <w:tcPr>
                                <w:tcW w:w="675" w:type="dxa"/>
                                <w:vAlign w:val="center"/>
                              </w:tcPr>
                              <w:p w:rsidR="00395867" w:rsidRPr="00AF465C" w:rsidRDefault="00395867" w:rsidP="00395867">
                                <w:pPr>
                                  <w:jc w:val="right"/>
                                  <w:rPr>
                                    <w:rFonts w:asciiTheme="minorHAnsi" w:hAnsiTheme="minorHAnsi" w:cstheme="minorHAnsi"/>
                                    <w:color w:val="1E5FAA"/>
                                    <w:sz w:val="16"/>
                                    <w:szCs w:val="16"/>
                                    <w:lang w:val="en-US"/>
                                  </w:rPr>
                                </w:pP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=-8+</w:instrText>
                                </w: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PAGE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instrText>61</w:instrText>
                                </w:r>
                                <w:r>
                                  <w:rPr>
                                    <w:rFonts w:asciiTheme="minorHAnsi" w:hAnsiTheme="minorHAnsi" w:cstheme="minorHAnsi"/>
                                    <w:color w:val="1E5FAA"/>
                                    <w:sz w:val="16"/>
                                    <w:szCs w:val="16"/>
                                    <w:lang w:val="en-US"/>
                                  </w:rPr>
                                  <w:fldChar w:fldCharType="end"/>
                                </w:r>
                                <w:r>
                                  <w:rPr>
                                    <w:rFonts w:asciiTheme="minorHAnsi" w:hAnsiTheme="minorHAnsi" w:cstheme="minorHAnsi"/>
                                    <w:color w:val="1E5FAA"/>
                                    <w:sz w:val="16"/>
                                    <w:szCs w:val="16"/>
                                    <w:lang w:val="en-US"/>
                                  </w:rPr>
                                  <w:instrText xml:space="preserv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t>53</w:t>
                                </w:r>
                                <w:r>
                                  <w:rPr>
                                    <w:rFonts w:asciiTheme="minorHAnsi" w:hAnsiTheme="minorHAnsi" w:cstheme="minorHAnsi"/>
                                    <w:color w:val="1E5FAA"/>
                                    <w:sz w:val="16"/>
                                    <w:szCs w:val="16"/>
                                    <w:lang w:val="en-US"/>
                                  </w:rPr>
                                  <w:fldChar w:fldCharType="end"/>
                                </w:r>
                              </w:p>
                            </w:tc>
                          </w:tr>
                        </w:tbl>
                        <w:p w:rsidR="00395867" w:rsidRPr="00F90B9E" w:rsidRDefault="00395867" w:rsidP="00AF465C">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BA8890" id="_x0000_t202" coordsize="21600,21600" o:spt="202" path="m,l,21600r21600,l21600,xe">
              <v:stroke joinstyle="miter"/>
              <v:path gradientshapeok="t" o:connecttype="rect"/>
            </v:shapetype>
            <v:shape id="Поле 84" o:spid="_x0000_s1054" type="#_x0000_t202" style="position:absolute;margin-left:91.7pt;margin-top:796.3pt;width:471.35pt;height:28.6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" fillcolor="white [3212]" stroked="f" strokeweight=".5pt">
              <v:textbox inset="0,0,0,0">
                <w:txbxContent>
                  <w:tbl>
                    <w:tblPr>
                      <w:tblStyle w:val="ab"/>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5"/>
                      <w:gridCol w:w="675"/>
                    </w:tblGrid>
                    <w:tr w:rsidR="00395867" w:rsidTr="00AF465C">
                      <w:trPr>
                        <w:trHeight w:val="397"/>
                        <w:jc w:val="right"/>
                      </w:trPr>
                      <w:tc>
                        <w:tcPr>
                          <w:tcW w:w="8175" w:type="dxa"/>
                          <w:vAlign w:val="center"/>
                        </w:tcPr>
                        <w:p w:rsidR="00395867" w:rsidRPr="00AF465C" w:rsidRDefault="00395867" w:rsidP="00395867">
                          <w:pPr>
                            <w:jc w:val="right"/>
                            <w:rPr>
                              <w:rFonts w:asciiTheme="minorHAnsi" w:hAnsiTheme="minorHAnsi" w:cstheme="minorHAnsi"/>
                              <w:color w:val="1E5FAA"/>
                              <w:sz w:val="16"/>
                              <w:szCs w:val="16"/>
                              <w:lang w:val="ru-RU"/>
                            </w:rPr>
                          </w:pPr>
                          <w:r w:rsidRPr="00145FBD">
                            <w:rPr>
                              <w:rFonts w:asciiTheme="minorHAnsi" w:hAnsiTheme="minorHAnsi" w:cstheme="minorHAnsi"/>
                              <w:color w:val="1E5FAA"/>
                              <w:sz w:val="16"/>
                              <w:szCs w:val="16"/>
                              <w:lang w:val="ru-RU"/>
                            </w:rPr>
                            <w:t>Додатки до лікування МР-ТБ</w:t>
                          </w:r>
                        </w:p>
                      </w:tc>
                      <w:tc>
                        <w:tcPr>
                          <w:tcW w:w="675" w:type="dxa"/>
                          <w:vAlign w:val="center"/>
                        </w:tcPr>
                        <w:p w:rsidR="00395867" w:rsidRPr="00AF465C" w:rsidRDefault="00395867" w:rsidP="00395867">
                          <w:pPr>
                            <w:jc w:val="right"/>
                            <w:rPr>
                              <w:rFonts w:asciiTheme="minorHAnsi" w:hAnsiTheme="minorHAnsi" w:cstheme="minorHAnsi"/>
                              <w:color w:val="1E5FAA"/>
                              <w:sz w:val="16"/>
                              <w:szCs w:val="16"/>
                              <w:lang w:val="en-US"/>
                            </w:rPr>
                          </w:pP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=-8+</w:instrText>
                          </w: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PAGE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instrText>61</w:instrText>
                          </w:r>
                          <w:r>
                            <w:rPr>
                              <w:rFonts w:asciiTheme="minorHAnsi" w:hAnsiTheme="minorHAnsi" w:cstheme="minorHAnsi"/>
                              <w:color w:val="1E5FAA"/>
                              <w:sz w:val="16"/>
                              <w:szCs w:val="16"/>
                              <w:lang w:val="en-US"/>
                            </w:rPr>
                            <w:fldChar w:fldCharType="end"/>
                          </w:r>
                          <w:r>
                            <w:rPr>
                              <w:rFonts w:asciiTheme="minorHAnsi" w:hAnsiTheme="minorHAnsi" w:cstheme="minorHAnsi"/>
                              <w:color w:val="1E5FAA"/>
                              <w:sz w:val="16"/>
                              <w:szCs w:val="16"/>
                              <w:lang w:val="en-US"/>
                            </w:rPr>
                            <w:instrText xml:space="preserv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t>53</w:t>
                          </w:r>
                          <w:r>
                            <w:rPr>
                              <w:rFonts w:asciiTheme="minorHAnsi" w:hAnsiTheme="minorHAnsi" w:cstheme="minorHAnsi"/>
                              <w:color w:val="1E5FAA"/>
                              <w:sz w:val="16"/>
                              <w:szCs w:val="16"/>
                              <w:lang w:val="en-US"/>
                            </w:rPr>
                            <w:fldChar w:fldCharType="end"/>
                          </w:r>
                        </w:p>
                      </w:tc>
                    </w:tr>
                  </w:tbl>
                  <w:p w:rsidR="00395867" w:rsidRPr="00F90B9E" w:rsidRDefault="00395867" w:rsidP="00AF465C">
                    <w:pPr>
                      <w:rPr>
                        <w:sz w:val="18"/>
                      </w:rPr>
                    </w:pP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867" w:rsidRDefault="00395867" w:rsidP="00AF465C">
    <w:pPr>
      <w:pStyle w:val="a9"/>
    </w:pPr>
    <w:r w:rsidRPr="00163C09">
      <w:rPr>
        <w:rFonts w:eastAsia="Times New Roman"/>
        <w:b/>
        <w:bCs/>
        <w:noProof/>
        <w:color w:val="000000"/>
        <w:sz w:val="2"/>
        <w:szCs w:val="2"/>
      </w:rPr>
      <mc:AlternateContent>
        <mc:Choice Requires="wps">
          <w:drawing>
            <wp:anchor distT="0" distB="0" distL="114300" distR="114300" simplePos="0" relativeHeight="251692032" behindDoc="0" locked="0" layoutInCell="1" allowOverlap="1" wp14:anchorId="779BDB89" wp14:editId="31421CE4">
              <wp:simplePos x="0" y="0"/>
              <wp:positionH relativeFrom="page">
                <wp:posOffset>1164771</wp:posOffset>
              </wp:positionH>
              <wp:positionV relativeFrom="page">
                <wp:posOffset>10112829</wp:posOffset>
              </wp:positionV>
              <wp:extent cx="5986236" cy="363220"/>
              <wp:effectExtent l="0" t="0" r="0" b="0"/>
              <wp:wrapNone/>
              <wp:docPr id="85" name="Поле 85"/>
              <wp:cNvGraphicFramePr/>
              <a:graphic xmlns:a="http://schemas.openxmlformats.org/drawingml/2006/main">
                <a:graphicData uri="http://schemas.microsoft.com/office/word/2010/wordprocessingShape">
                  <wps:wsp>
                    <wps:cNvSpPr txBox="1"/>
                    <wps:spPr>
                      <a:xfrm>
                        <a:off x="0" y="0"/>
                        <a:ext cx="5986236" cy="3632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5"/>
                            <w:gridCol w:w="675"/>
                          </w:tblGrid>
                          <w:tr w:rsidR="00395867" w:rsidTr="00AF465C">
                            <w:trPr>
                              <w:trHeight w:val="397"/>
                              <w:jc w:val="right"/>
                            </w:trPr>
                            <w:tc>
                              <w:tcPr>
                                <w:tcW w:w="8175" w:type="dxa"/>
                                <w:vAlign w:val="center"/>
                              </w:tcPr>
                              <w:p w:rsidR="00395867" w:rsidRPr="00AF465C" w:rsidRDefault="00395867" w:rsidP="00395867">
                                <w:pPr>
                                  <w:jc w:val="right"/>
                                  <w:rPr>
                                    <w:rFonts w:asciiTheme="minorHAnsi" w:hAnsiTheme="minorHAnsi" w:cstheme="minorHAnsi"/>
                                    <w:color w:val="1E5FAA"/>
                                    <w:sz w:val="16"/>
                                    <w:szCs w:val="16"/>
                                    <w:lang w:val="ru-RU"/>
                                  </w:rPr>
                                </w:pPr>
                                <w:r w:rsidRPr="00145FBD">
                                  <w:rPr>
                                    <w:rFonts w:asciiTheme="minorHAnsi" w:hAnsiTheme="minorHAnsi" w:cstheme="minorHAnsi"/>
                                    <w:color w:val="1E5FAA"/>
                                    <w:sz w:val="16"/>
                                    <w:szCs w:val="16"/>
                                    <w:lang w:val="ru-RU"/>
                                  </w:rPr>
                                  <w:t>Підтримка пацієнта, щоб забезпечити прихильність до лікування</w:t>
                                </w:r>
                              </w:p>
                            </w:tc>
                            <w:tc>
                              <w:tcPr>
                                <w:tcW w:w="675" w:type="dxa"/>
                                <w:vAlign w:val="center"/>
                              </w:tcPr>
                              <w:p w:rsidR="00395867" w:rsidRPr="00AF465C" w:rsidRDefault="00395867" w:rsidP="00395867">
                                <w:pPr>
                                  <w:jc w:val="right"/>
                                  <w:rPr>
                                    <w:rFonts w:asciiTheme="minorHAnsi" w:hAnsiTheme="minorHAnsi" w:cstheme="minorHAnsi"/>
                                    <w:color w:val="1E5FAA"/>
                                    <w:sz w:val="16"/>
                                    <w:szCs w:val="16"/>
                                    <w:lang w:val="en-US"/>
                                  </w:rPr>
                                </w:pP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=-8+</w:instrText>
                                </w: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PAGE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instrText>63</w:instrText>
                                </w:r>
                                <w:r>
                                  <w:rPr>
                                    <w:rFonts w:asciiTheme="minorHAnsi" w:hAnsiTheme="minorHAnsi" w:cstheme="minorHAnsi"/>
                                    <w:color w:val="1E5FAA"/>
                                    <w:sz w:val="16"/>
                                    <w:szCs w:val="16"/>
                                    <w:lang w:val="en-US"/>
                                  </w:rPr>
                                  <w:fldChar w:fldCharType="end"/>
                                </w:r>
                                <w:r>
                                  <w:rPr>
                                    <w:rFonts w:asciiTheme="minorHAnsi" w:hAnsiTheme="minorHAnsi" w:cstheme="minorHAnsi"/>
                                    <w:color w:val="1E5FAA"/>
                                    <w:sz w:val="16"/>
                                    <w:szCs w:val="16"/>
                                    <w:lang w:val="en-US"/>
                                  </w:rPr>
                                  <w:instrText xml:space="preserv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t>55</w:t>
                                </w:r>
                                <w:r>
                                  <w:rPr>
                                    <w:rFonts w:asciiTheme="minorHAnsi" w:hAnsiTheme="minorHAnsi" w:cstheme="minorHAnsi"/>
                                    <w:color w:val="1E5FAA"/>
                                    <w:sz w:val="16"/>
                                    <w:szCs w:val="16"/>
                                    <w:lang w:val="en-US"/>
                                  </w:rPr>
                                  <w:fldChar w:fldCharType="end"/>
                                </w:r>
                              </w:p>
                            </w:tc>
                          </w:tr>
                        </w:tbl>
                        <w:p w:rsidR="00395867" w:rsidRPr="00F90B9E" w:rsidRDefault="00395867" w:rsidP="00AF465C">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9BDB89" id="_x0000_t202" coordsize="21600,21600" o:spt="202" path="m,l,21600r21600,l21600,xe">
              <v:stroke joinstyle="miter"/>
              <v:path gradientshapeok="t" o:connecttype="rect"/>
            </v:shapetype>
            <v:shape id="Поле 85" o:spid="_x0000_s1055" type="#_x0000_t202" style="position:absolute;margin-left:91.7pt;margin-top:796.3pt;width:471.35pt;height:28.6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" fillcolor="white [3212]" stroked="f" strokeweight=".5pt">
              <v:textbox inset="0,0,0,0">
                <w:txbxContent>
                  <w:tbl>
                    <w:tblPr>
                      <w:tblStyle w:val="ab"/>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5"/>
                      <w:gridCol w:w="675"/>
                    </w:tblGrid>
                    <w:tr w:rsidR="00395867" w:rsidTr="00AF465C">
                      <w:trPr>
                        <w:trHeight w:val="397"/>
                        <w:jc w:val="right"/>
                      </w:trPr>
                      <w:tc>
                        <w:tcPr>
                          <w:tcW w:w="8175" w:type="dxa"/>
                          <w:vAlign w:val="center"/>
                        </w:tcPr>
                        <w:p w:rsidR="00395867" w:rsidRPr="00AF465C" w:rsidRDefault="00395867" w:rsidP="00395867">
                          <w:pPr>
                            <w:jc w:val="right"/>
                            <w:rPr>
                              <w:rFonts w:asciiTheme="minorHAnsi" w:hAnsiTheme="minorHAnsi" w:cstheme="minorHAnsi"/>
                              <w:color w:val="1E5FAA"/>
                              <w:sz w:val="16"/>
                              <w:szCs w:val="16"/>
                              <w:lang w:val="ru-RU"/>
                            </w:rPr>
                          </w:pPr>
                          <w:r w:rsidRPr="00145FBD">
                            <w:rPr>
                              <w:rFonts w:asciiTheme="minorHAnsi" w:hAnsiTheme="minorHAnsi" w:cstheme="minorHAnsi"/>
                              <w:color w:val="1E5FAA"/>
                              <w:sz w:val="16"/>
                              <w:szCs w:val="16"/>
                              <w:lang w:val="ru-RU"/>
                            </w:rPr>
                            <w:t>Підтримка пацієнта, щоб забезпечити прихильність до лікування</w:t>
                          </w:r>
                        </w:p>
                      </w:tc>
                      <w:tc>
                        <w:tcPr>
                          <w:tcW w:w="675" w:type="dxa"/>
                          <w:vAlign w:val="center"/>
                        </w:tcPr>
                        <w:p w:rsidR="00395867" w:rsidRPr="00AF465C" w:rsidRDefault="00395867" w:rsidP="00395867">
                          <w:pPr>
                            <w:jc w:val="right"/>
                            <w:rPr>
                              <w:rFonts w:asciiTheme="minorHAnsi" w:hAnsiTheme="minorHAnsi" w:cstheme="minorHAnsi"/>
                              <w:color w:val="1E5FAA"/>
                              <w:sz w:val="16"/>
                              <w:szCs w:val="16"/>
                              <w:lang w:val="en-US"/>
                            </w:rPr>
                          </w:pP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=-8+</w:instrText>
                          </w: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PAGE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instrText>63</w:instrText>
                          </w:r>
                          <w:r>
                            <w:rPr>
                              <w:rFonts w:asciiTheme="minorHAnsi" w:hAnsiTheme="minorHAnsi" w:cstheme="minorHAnsi"/>
                              <w:color w:val="1E5FAA"/>
                              <w:sz w:val="16"/>
                              <w:szCs w:val="16"/>
                              <w:lang w:val="en-US"/>
                            </w:rPr>
                            <w:fldChar w:fldCharType="end"/>
                          </w:r>
                          <w:r>
                            <w:rPr>
                              <w:rFonts w:asciiTheme="minorHAnsi" w:hAnsiTheme="minorHAnsi" w:cstheme="minorHAnsi"/>
                              <w:color w:val="1E5FAA"/>
                              <w:sz w:val="16"/>
                              <w:szCs w:val="16"/>
                              <w:lang w:val="en-US"/>
                            </w:rPr>
                            <w:instrText xml:space="preserv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t>55</w:t>
                          </w:r>
                          <w:r>
                            <w:rPr>
                              <w:rFonts w:asciiTheme="minorHAnsi" w:hAnsiTheme="minorHAnsi" w:cstheme="minorHAnsi"/>
                              <w:color w:val="1E5FAA"/>
                              <w:sz w:val="16"/>
                              <w:szCs w:val="16"/>
                              <w:lang w:val="en-US"/>
                            </w:rPr>
                            <w:fldChar w:fldCharType="end"/>
                          </w:r>
                        </w:p>
                      </w:tc>
                    </w:tr>
                  </w:tbl>
                  <w:p w:rsidR="00395867" w:rsidRPr="00F90B9E" w:rsidRDefault="00395867" w:rsidP="00AF465C">
                    <w:pPr>
                      <w:rPr>
                        <w:sz w:val="18"/>
                      </w:rPr>
                    </w:pP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867" w:rsidRDefault="00395867" w:rsidP="00AF465C">
    <w:pPr>
      <w:pStyle w:val="a9"/>
    </w:pPr>
    <w:r w:rsidRPr="00163C09">
      <w:rPr>
        <w:rFonts w:eastAsia="Times New Roman"/>
        <w:b/>
        <w:bCs/>
        <w:noProof/>
        <w:color w:val="000000"/>
        <w:sz w:val="2"/>
        <w:szCs w:val="2"/>
      </w:rPr>
      <mc:AlternateContent>
        <mc:Choice Requires="wps">
          <w:drawing>
            <wp:anchor distT="0" distB="0" distL="114300" distR="114300" simplePos="0" relativeHeight="251694080" behindDoc="0" locked="0" layoutInCell="1" allowOverlap="1" wp14:anchorId="394ABC98" wp14:editId="0331DB4E">
              <wp:simplePos x="0" y="0"/>
              <wp:positionH relativeFrom="page">
                <wp:posOffset>1164771</wp:posOffset>
              </wp:positionH>
              <wp:positionV relativeFrom="page">
                <wp:posOffset>10112829</wp:posOffset>
              </wp:positionV>
              <wp:extent cx="5986236" cy="363220"/>
              <wp:effectExtent l="0" t="0" r="0" b="0"/>
              <wp:wrapNone/>
              <wp:docPr id="86" name="Поле 86"/>
              <wp:cNvGraphicFramePr/>
              <a:graphic xmlns:a="http://schemas.openxmlformats.org/drawingml/2006/main">
                <a:graphicData uri="http://schemas.microsoft.com/office/word/2010/wordprocessingShape">
                  <wps:wsp>
                    <wps:cNvSpPr txBox="1"/>
                    <wps:spPr>
                      <a:xfrm>
                        <a:off x="0" y="0"/>
                        <a:ext cx="5986236" cy="3632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5"/>
                            <w:gridCol w:w="675"/>
                          </w:tblGrid>
                          <w:tr w:rsidR="00395867" w:rsidTr="00AF465C">
                            <w:trPr>
                              <w:trHeight w:val="397"/>
                              <w:jc w:val="right"/>
                            </w:trPr>
                            <w:tc>
                              <w:tcPr>
                                <w:tcW w:w="8175" w:type="dxa"/>
                                <w:vAlign w:val="center"/>
                              </w:tcPr>
                              <w:p w:rsidR="00395867" w:rsidRPr="00AF465C" w:rsidRDefault="00395867" w:rsidP="00395867">
                                <w:pPr>
                                  <w:jc w:val="right"/>
                                  <w:rPr>
                                    <w:rFonts w:asciiTheme="minorHAnsi" w:hAnsiTheme="minorHAnsi" w:cstheme="minorHAnsi"/>
                                    <w:color w:val="1E5FAA"/>
                                    <w:sz w:val="16"/>
                                    <w:szCs w:val="16"/>
                                    <w:lang w:val="ru-RU"/>
                                  </w:rPr>
                                </w:pPr>
                                <w:r w:rsidRPr="00145FBD">
                                  <w:rPr>
                                    <w:rFonts w:asciiTheme="minorHAnsi" w:hAnsiTheme="minorHAnsi" w:cstheme="minorHAnsi"/>
                                    <w:color w:val="1E5FAA"/>
                                    <w:sz w:val="16"/>
                                    <w:szCs w:val="16"/>
                                    <w:lang w:val="ru-RU"/>
                                  </w:rPr>
                                  <w:t>Програмне здійснення схем лікування МР-ТБ</w:t>
                                </w:r>
                              </w:p>
                            </w:tc>
                            <w:tc>
                              <w:tcPr>
                                <w:tcW w:w="675" w:type="dxa"/>
                                <w:vAlign w:val="center"/>
                              </w:tcPr>
                              <w:p w:rsidR="00395867" w:rsidRPr="00AF465C" w:rsidRDefault="00395867" w:rsidP="00395867">
                                <w:pPr>
                                  <w:jc w:val="right"/>
                                  <w:rPr>
                                    <w:rFonts w:asciiTheme="minorHAnsi" w:hAnsiTheme="minorHAnsi" w:cstheme="minorHAnsi"/>
                                    <w:color w:val="1E5FAA"/>
                                    <w:sz w:val="16"/>
                                    <w:szCs w:val="16"/>
                                    <w:lang w:val="en-US"/>
                                  </w:rPr>
                                </w:pP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=-8+</w:instrText>
                                </w: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PAGE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instrText>67</w:instrText>
                                </w:r>
                                <w:r>
                                  <w:rPr>
                                    <w:rFonts w:asciiTheme="minorHAnsi" w:hAnsiTheme="minorHAnsi" w:cstheme="minorHAnsi"/>
                                    <w:color w:val="1E5FAA"/>
                                    <w:sz w:val="16"/>
                                    <w:szCs w:val="16"/>
                                    <w:lang w:val="en-US"/>
                                  </w:rPr>
                                  <w:fldChar w:fldCharType="end"/>
                                </w:r>
                                <w:r>
                                  <w:rPr>
                                    <w:rFonts w:asciiTheme="minorHAnsi" w:hAnsiTheme="minorHAnsi" w:cstheme="minorHAnsi"/>
                                    <w:color w:val="1E5FAA"/>
                                    <w:sz w:val="16"/>
                                    <w:szCs w:val="16"/>
                                    <w:lang w:val="en-US"/>
                                  </w:rPr>
                                  <w:instrText xml:space="preserv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t>59</w:t>
                                </w:r>
                                <w:r>
                                  <w:rPr>
                                    <w:rFonts w:asciiTheme="minorHAnsi" w:hAnsiTheme="minorHAnsi" w:cstheme="minorHAnsi"/>
                                    <w:color w:val="1E5FAA"/>
                                    <w:sz w:val="16"/>
                                    <w:szCs w:val="16"/>
                                    <w:lang w:val="en-US"/>
                                  </w:rPr>
                                  <w:fldChar w:fldCharType="end"/>
                                </w:r>
                              </w:p>
                            </w:tc>
                          </w:tr>
                        </w:tbl>
                        <w:p w:rsidR="00395867" w:rsidRPr="00F90B9E" w:rsidRDefault="00395867" w:rsidP="00AF465C">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4ABC98" id="_x0000_t202" coordsize="21600,21600" o:spt="202" path="m,l,21600r21600,l21600,xe">
              <v:stroke joinstyle="miter"/>
              <v:path gradientshapeok="t" o:connecttype="rect"/>
            </v:shapetype>
            <v:shape id="Поле 86" o:spid="_x0000_s1056" type="#_x0000_t202" style="position:absolute;margin-left:91.7pt;margin-top:796.3pt;width:471.35pt;height:28.6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" fillcolor="white [3212]" stroked="f" strokeweight=".5pt">
              <v:textbox inset="0,0,0,0">
                <w:txbxContent>
                  <w:tbl>
                    <w:tblPr>
                      <w:tblStyle w:val="ab"/>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5"/>
                      <w:gridCol w:w="675"/>
                    </w:tblGrid>
                    <w:tr w:rsidR="00395867" w:rsidTr="00AF465C">
                      <w:trPr>
                        <w:trHeight w:val="397"/>
                        <w:jc w:val="right"/>
                      </w:trPr>
                      <w:tc>
                        <w:tcPr>
                          <w:tcW w:w="8175" w:type="dxa"/>
                          <w:vAlign w:val="center"/>
                        </w:tcPr>
                        <w:p w:rsidR="00395867" w:rsidRPr="00AF465C" w:rsidRDefault="00395867" w:rsidP="00395867">
                          <w:pPr>
                            <w:jc w:val="right"/>
                            <w:rPr>
                              <w:rFonts w:asciiTheme="minorHAnsi" w:hAnsiTheme="minorHAnsi" w:cstheme="minorHAnsi"/>
                              <w:color w:val="1E5FAA"/>
                              <w:sz w:val="16"/>
                              <w:szCs w:val="16"/>
                              <w:lang w:val="ru-RU"/>
                            </w:rPr>
                          </w:pPr>
                          <w:r w:rsidRPr="00145FBD">
                            <w:rPr>
                              <w:rFonts w:asciiTheme="minorHAnsi" w:hAnsiTheme="minorHAnsi" w:cstheme="minorHAnsi"/>
                              <w:color w:val="1E5FAA"/>
                              <w:sz w:val="16"/>
                              <w:szCs w:val="16"/>
                              <w:lang w:val="ru-RU"/>
                            </w:rPr>
                            <w:t>Програмне здійснення схем лікування МР-ТБ</w:t>
                          </w:r>
                        </w:p>
                      </w:tc>
                      <w:tc>
                        <w:tcPr>
                          <w:tcW w:w="675" w:type="dxa"/>
                          <w:vAlign w:val="center"/>
                        </w:tcPr>
                        <w:p w:rsidR="00395867" w:rsidRPr="00AF465C" w:rsidRDefault="00395867" w:rsidP="00395867">
                          <w:pPr>
                            <w:jc w:val="right"/>
                            <w:rPr>
                              <w:rFonts w:asciiTheme="minorHAnsi" w:hAnsiTheme="minorHAnsi" w:cstheme="minorHAnsi"/>
                              <w:color w:val="1E5FAA"/>
                              <w:sz w:val="16"/>
                              <w:szCs w:val="16"/>
                              <w:lang w:val="en-US"/>
                            </w:rPr>
                          </w:pP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=-8+</w:instrText>
                          </w: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PAGE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instrText>67</w:instrText>
                          </w:r>
                          <w:r>
                            <w:rPr>
                              <w:rFonts w:asciiTheme="minorHAnsi" w:hAnsiTheme="minorHAnsi" w:cstheme="minorHAnsi"/>
                              <w:color w:val="1E5FAA"/>
                              <w:sz w:val="16"/>
                              <w:szCs w:val="16"/>
                              <w:lang w:val="en-US"/>
                            </w:rPr>
                            <w:fldChar w:fldCharType="end"/>
                          </w:r>
                          <w:r>
                            <w:rPr>
                              <w:rFonts w:asciiTheme="minorHAnsi" w:hAnsiTheme="minorHAnsi" w:cstheme="minorHAnsi"/>
                              <w:color w:val="1E5FAA"/>
                              <w:sz w:val="16"/>
                              <w:szCs w:val="16"/>
                              <w:lang w:val="en-US"/>
                            </w:rPr>
                            <w:instrText xml:space="preserv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t>59</w:t>
                          </w:r>
                          <w:r>
                            <w:rPr>
                              <w:rFonts w:asciiTheme="minorHAnsi" w:hAnsiTheme="minorHAnsi" w:cstheme="minorHAnsi"/>
                              <w:color w:val="1E5FAA"/>
                              <w:sz w:val="16"/>
                              <w:szCs w:val="16"/>
                              <w:lang w:val="en-US"/>
                            </w:rPr>
                            <w:fldChar w:fldCharType="end"/>
                          </w:r>
                        </w:p>
                      </w:tc>
                    </w:tr>
                  </w:tbl>
                  <w:p w:rsidR="00395867" w:rsidRPr="00F90B9E" w:rsidRDefault="00395867" w:rsidP="00AF465C">
                    <w:pPr>
                      <w:rPr>
                        <w:sz w:val="18"/>
                      </w:rPr>
                    </w:pP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867" w:rsidRDefault="00395867" w:rsidP="00AF465C">
    <w:pPr>
      <w:pStyle w:val="a9"/>
    </w:pPr>
    <w:r w:rsidRPr="00163C09">
      <w:rPr>
        <w:rFonts w:eastAsia="Times New Roman"/>
        <w:b/>
        <w:bCs/>
        <w:noProof/>
        <w:color w:val="000000"/>
        <w:sz w:val="2"/>
        <w:szCs w:val="2"/>
      </w:rPr>
      <mc:AlternateContent>
        <mc:Choice Requires="wps">
          <w:drawing>
            <wp:anchor distT="0" distB="0" distL="114300" distR="114300" simplePos="0" relativeHeight="251696128" behindDoc="0" locked="0" layoutInCell="1" allowOverlap="1" wp14:anchorId="69AA116A" wp14:editId="3C6AF137">
              <wp:simplePos x="0" y="0"/>
              <wp:positionH relativeFrom="page">
                <wp:posOffset>1164771</wp:posOffset>
              </wp:positionH>
              <wp:positionV relativeFrom="page">
                <wp:posOffset>10112829</wp:posOffset>
              </wp:positionV>
              <wp:extent cx="5986236" cy="363220"/>
              <wp:effectExtent l="0" t="0" r="0" b="0"/>
              <wp:wrapNone/>
              <wp:docPr id="87" name="Поле 87"/>
              <wp:cNvGraphicFramePr/>
              <a:graphic xmlns:a="http://schemas.openxmlformats.org/drawingml/2006/main">
                <a:graphicData uri="http://schemas.microsoft.com/office/word/2010/wordprocessingShape">
                  <wps:wsp>
                    <wps:cNvSpPr txBox="1"/>
                    <wps:spPr>
                      <a:xfrm>
                        <a:off x="0" y="0"/>
                        <a:ext cx="5986236" cy="3632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5"/>
                            <w:gridCol w:w="675"/>
                          </w:tblGrid>
                          <w:tr w:rsidR="00395867" w:rsidTr="00AF465C">
                            <w:trPr>
                              <w:trHeight w:val="397"/>
                              <w:jc w:val="right"/>
                            </w:trPr>
                            <w:tc>
                              <w:tcPr>
                                <w:tcW w:w="8175" w:type="dxa"/>
                                <w:vAlign w:val="center"/>
                              </w:tcPr>
                              <w:p w:rsidR="00395867" w:rsidRPr="00AF465C" w:rsidRDefault="00395867" w:rsidP="00395867">
                                <w:pPr>
                                  <w:jc w:val="right"/>
                                  <w:rPr>
                                    <w:rFonts w:asciiTheme="minorHAnsi" w:hAnsiTheme="minorHAnsi" w:cstheme="minorHAnsi"/>
                                    <w:color w:val="1E5FAA"/>
                                    <w:sz w:val="16"/>
                                    <w:szCs w:val="16"/>
                                    <w:lang w:val="ru-RU"/>
                                  </w:rPr>
                                </w:pPr>
                                <w:r w:rsidRPr="00145FBD">
                                  <w:rPr>
                                    <w:rFonts w:asciiTheme="minorHAnsi" w:hAnsiTheme="minorHAnsi" w:cstheme="minorHAnsi"/>
                                    <w:color w:val="1E5FAA"/>
                                    <w:sz w:val="16"/>
                                    <w:szCs w:val="16"/>
                                    <w:lang w:val="ru-RU"/>
                                  </w:rPr>
                                  <w:t>Список літератури</w:t>
                                </w:r>
                              </w:p>
                            </w:tc>
                            <w:tc>
                              <w:tcPr>
                                <w:tcW w:w="675" w:type="dxa"/>
                                <w:vAlign w:val="center"/>
                              </w:tcPr>
                              <w:p w:rsidR="00395867" w:rsidRPr="00AF465C" w:rsidRDefault="00395867" w:rsidP="00395867">
                                <w:pPr>
                                  <w:jc w:val="right"/>
                                  <w:rPr>
                                    <w:rFonts w:asciiTheme="minorHAnsi" w:hAnsiTheme="minorHAnsi" w:cstheme="minorHAnsi"/>
                                    <w:color w:val="1E5FAA"/>
                                    <w:sz w:val="16"/>
                                    <w:szCs w:val="16"/>
                                    <w:lang w:val="en-US"/>
                                  </w:rPr>
                                </w:pP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=-8+</w:instrText>
                                </w: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PAGE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instrText>75</w:instrText>
                                </w:r>
                                <w:r>
                                  <w:rPr>
                                    <w:rFonts w:asciiTheme="minorHAnsi" w:hAnsiTheme="minorHAnsi" w:cstheme="minorHAnsi"/>
                                    <w:color w:val="1E5FAA"/>
                                    <w:sz w:val="16"/>
                                    <w:szCs w:val="16"/>
                                    <w:lang w:val="en-US"/>
                                  </w:rPr>
                                  <w:fldChar w:fldCharType="end"/>
                                </w:r>
                                <w:r>
                                  <w:rPr>
                                    <w:rFonts w:asciiTheme="minorHAnsi" w:hAnsiTheme="minorHAnsi" w:cstheme="minorHAnsi"/>
                                    <w:color w:val="1E5FAA"/>
                                    <w:sz w:val="16"/>
                                    <w:szCs w:val="16"/>
                                    <w:lang w:val="en-US"/>
                                  </w:rPr>
                                  <w:instrText xml:space="preserv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t>67</w:t>
                                </w:r>
                                <w:r>
                                  <w:rPr>
                                    <w:rFonts w:asciiTheme="minorHAnsi" w:hAnsiTheme="minorHAnsi" w:cstheme="minorHAnsi"/>
                                    <w:color w:val="1E5FAA"/>
                                    <w:sz w:val="16"/>
                                    <w:szCs w:val="16"/>
                                    <w:lang w:val="en-US"/>
                                  </w:rPr>
                                  <w:fldChar w:fldCharType="end"/>
                                </w:r>
                              </w:p>
                            </w:tc>
                          </w:tr>
                        </w:tbl>
                        <w:p w:rsidR="00395867" w:rsidRPr="00F90B9E" w:rsidRDefault="00395867" w:rsidP="00AF465C">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AA116A" id="_x0000_t202" coordsize="21600,21600" o:spt="202" path="m,l,21600r21600,l21600,xe">
              <v:stroke joinstyle="miter"/>
              <v:path gradientshapeok="t" o:connecttype="rect"/>
            </v:shapetype>
            <v:shape id="Поле 87" o:spid="_x0000_s1057" type="#_x0000_t202" style="position:absolute;margin-left:91.7pt;margin-top:796.3pt;width:471.35pt;height:28.6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" fillcolor="white [3212]" stroked="f" strokeweight=".5pt">
              <v:textbox inset="0,0,0,0">
                <w:txbxContent>
                  <w:tbl>
                    <w:tblPr>
                      <w:tblStyle w:val="ab"/>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5"/>
                      <w:gridCol w:w="675"/>
                    </w:tblGrid>
                    <w:tr w:rsidR="00395867" w:rsidTr="00AF465C">
                      <w:trPr>
                        <w:trHeight w:val="397"/>
                        <w:jc w:val="right"/>
                      </w:trPr>
                      <w:tc>
                        <w:tcPr>
                          <w:tcW w:w="8175" w:type="dxa"/>
                          <w:vAlign w:val="center"/>
                        </w:tcPr>
                        <w:p w:rsidR="00395867" w:rsidRPr="00AF465C" w:rsidRDefault="00395867" w:rsidP="00395867">
                          <w:pPr>
                            <w:jc w:val="right"/>
                            <w:rPr>
                              <w:rFonts w:asciiTheme="minorHAnsi" w:hAnsiTheme="minorHAnsi" w:cstheme="minorHAnsi"/>
                              <w:color w:val="1E5FAA"/>
                              <w:sz w:val="16"/>
                              <w:szCs w:val="16"/>
                              <w:lang w:val="ru-RU"/>
                            </w:rPr>
                          </w:pPr>
                          <w:r w:rsidRPr="00145FBD">
                            <w:rPr>
                              <w:rFonts w:asciiTheme="minorHAnsi" w:hAnsiTheme="minorHAnsi" w:cstheme="minorHAnsi"/>
                              <w:color w:val="1E5FAA"/>
                              <w:sz w:val="16"/>
                              <w:szCs w:val="16"/>
                              <w:lang w:val="ru-RU"/>
                            </w:rPr>
                            <w:t>Список літератури</w:t>
                          </w:r>
                        </w:p>
                      </w:tc>
                      <w:tc>
                        <w:tcPr>
                          <w:tcW w:w="675" w:type="dxa"/>
                          <w:vAlign w:val="center"/>
                        </w:tcPr>
                        <w:p w:rsidR="00395867" w:rsidRPr="00AF465C" w:rsidRDefault="00395867" w:rsidP="00395867">
                          <w:pPr>
                            <w:jc w:val="right"/>
                            <w:rPr>
                              <w:rFonts w:asciiTheme="minorHAnsi" w:hAnsiTheme="minorHAnsi" w:cstheme="minorHAnsi"/>
                              <w:color w:val="1E5FAA"/>
                              <w:sz w:val="16"/>
                              <w:szCs w:val="16"/>
                              <w:lang w:val="en-US"/>
                            </w:rPr>
                          </w:pP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=-8+</w:instrText>
                          </w: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PAGE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instrText>75</w:instrText>
                          </w:r>
                          <w:r>
                            <w:rPr>
                              <w:rFonts w:asciiTheme="minorHAnsi" w:hAnsiTheme="minorHAnsi" w:cstheme="minorHAnsi"/>
                              <w:color w:val="1E5FAA"/>
                              <w:sz w:val="16"/>
                              <w:szCs w:val="16"/>
                              <w:lang w:val="en-US"/>
                            </w:rPr>
                            <w:fldChar w:fldCharType="end"/>
                          </w:r>
                          <w:r>
                            <w:rPr>
                              <w:rFonts w:asciiTheme="minorHAnsi" w:hAnsiTheme="minorHAnsi" w:cstheme="minorHAnsi"/>
                              <w:color w:val="1E5FAA"/>
                              <w:sz w:val="16"/>
                              <w:szCs w:val="16"/>
                              <w:lang w:val="en-US"/>
                            </w:rPr>
                            <w:instrText xml:space="preserv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t>67</w:t>
                          </w:r>
                          <w:r>
                            <w:rPr>
                              <w:rFonts w:asciiTheme="minorHAnsi" w:hAnsiTheme="minorHAnsi" w:cstheme="minorHAnsi"/>
                              <w:color w:val="1E5FAA"/>
                              <w:sz w:val="16"/>
                              <w:szCs w:val="16"/>
                              <w:lang w:val="en-US"/>
                            </w:rPr>
                            <w:fldChar w:fldCharType="end"/>
                          </w:r>
                        </w:p>
                      </w:tc>
                    </w:tr>
                  </w:tbl>
                  <w:p w:rsidR="00395867" w:rsidRPr="00F90B9E" w:rsidRDefault="00395867" w:rsidP="00AF465C">
                    <w:pPr>
                      <w:rPr>
                        <w:sz w:val="18"/>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867" w:rsidRDefault="00395867" w:rsidP="00AF465C">
    <w:pPr>
      <w:pStyle w:val="a9"/>
    </w:pPr>
    <w:r w:rsidRPr="00163C09">
      <w:rPr>
        <w:rFonts w:eastAsia="Times New Roman"/>
        <w:b/>
        <w:bCs/>
        <w:noProof/>
        <w:color w:val="000000"/>
        <w:sz w:val="2"/>
        <w:szCs w:val="2"/>
      </w:rPr>
      <mc:AlternateContent>
        <mc:Choice Requires="wps">
          <w:drawing>
            <wp:anchor distT="0" distB="0" distL="114300" distR="114300" simplePos="0" relativeHeight="251661312" behindDoc="0" locked="0" layoutInCell="1" allowOverlap="1" wp14:anchorId="08A9DB98" wp14:editId="7759FB4E">
              <wp:simplePos x="0" y="0"/>
              <wp:positionH relativeFrom="page">
                <wp:posOffset>2619375</wp:posOffset>
              </wp:positionH>
              <wp:positionV relativeFrom="page">
                <wp:posOffset>10118181</wp:posOffset>
              </wp:positionV>
              <wp:extent cx="4527843" cy="363220"/>
              <wp:effectExtent l="0" t="0" r="6350" b="0"/>
              <wp:wrapNone/>
              <wp:docPr id="22" name="Поле 22"/>
              <wp:cNvGraphicFramePr/>
              <a:graphic xmlns:a="http://schemas.openxmlformats.org/drawingml/2006/main">
                <a:graphicData uri="http://schemas.microsoft.com/office/word/2010/wordprocessingShape">
                  <wps:wsp>
                    <wps:cNvSpPr txBox="1"/>
                    <wps:spPr>
                      <a:xfrm>
                        <a:off x="0" y="0"/>
                        <a:ext cx="4527843" cy="3632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675"/>
                          </w:tblGrid>
                          <w:tr w:rsidR="00395867" w:rsidTr="00395867">
                            <w:trPr>
                              <w:trHeight w:val="397"/>
                              <w:jc w:val="right"/>
                            </w:trPr>
                            <w:tc>
                              <w:tcPr>
                                <w:tcW w:w="4677" w:type="dxa"/>
                                <w:vAlign w:val="center"/>
                              </w:tcPr>
                              <w:p w:rsidR="00395867" w:rsidRPr="00AF465C" w:rsidRDefault="00395867" w:rsidP="00395867">
                                <w:pPr>
                                  <w:jc w:val="right"/>
                                  <w:rPr>
                                    <w:rFonts w:asciiTheme="minorHAnsi" w:hAnsiTheme="minorHAnsi" w:cstheme="minorHAnsi"/>
                                    <w:color w:val="1E5FAA"/>
                                    <w:sz w:val="16"/>
                                    <w:szCs w:val="16"/>
                                    <w:lang w:val="en-US"/>
                                  </w:rPr>
                                </w:pPr>
                                <w:r w:rsidRPr="00AF465C">
                                  <w:rPr>
                                    <w:rFonts w:asciiTheme="minorHAnsi" w:hAnsiTheme="minorHAnsi" w:cstheme="minorHAnsi"/>
                                    <w:color w:val="1E5FAA"/>
                                    <w:sz w:val="16"/>
                                    <w:szCs w:val="16"/>
                                    <w:lang w:val="en-US"/>
                                  </w:rPr>
                                  <w:t>Скороченнята абревіатури</w:t>
                                </w:r>
                              </w:p>
                            </w:tc>
                            <w:tc>
                              <w:tcPr>
                                <w:tcW w:w="675" w:type="dxa"/>
                                <w:vAlign w:val="center"/>
                              </w:tcPr>
                              <w:p w:rsidR="00395867" w:rsidRPr="00AF465C" w:rsidRDefault="00395867" w:rsidP="00395867">
                                <w:pPr>
                                  <w:jc w:val="right"/>
                                  <w:rPr>
                                    <w:rFonts w:asciiTheme="minorHAnsi" w:hAnsiTheme="minorHAnsi" w:cstheme="minorHAnsi"/>
                                    <w:color w:val="1E5FAA"/>
                                    <w:sz w:val="16"/>
                                    <w:szCs w:val="16"/>
                                    <w:lang w:val="en-US"/>
                                  </w:rPr>
                                </w:pPr>
                                <w:r>
                                  <w:rPr>
                                    <w:rFonts w:asciiTheme="minorHAnsi" w:hAnsiTheme="minorHAnsi" w:cstheme="minorHAnsi"/>
                                    <w:color w:val="1E5FAA"/>
                                    <w:sz w:val="16"/>
                                    <w:szCs w:val="16"/>
                                    <w:lang w:val="en-US"/>
                                  </w:rPr>
                                  <w:t>v</w:t>
                                </w:r>
                              </w:p>
                            </w:tc>
                          </w:tr>
                        </w:tbl>
                        <w:p w:rsidR="00395867" w:rsidRPr="00F90B9E" w:rsidRDefault="00395867" w:rsidP="00AF465C">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A9DB98" id="_x0000_t202" coordsize="21600,21600" o:spt="202" path="m,l,21600r21600,l21600,xe">
              <v:stroke joinstyle="miter"/>
              <v:path gradientshapeok="t" o:connecttype="rect"/>
            </v:shapetype>
            <v:shape id="Поле 22" o:spid="_x0000_s1038" type="#_x0000_t202" style="position:absolute;margin-left:206.25pt;margin-top:796.7pt;width:356.5pt;height:28.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" fillcolor="white [3212]" stroked="f" strokeweight=".5pt">
              <v:textbox inset="0,0,0,0">
                <w:txbxContent>
                  <w:tbl>
                    <w:tblPr>
                      <w:tblStyle w:val="ab"/>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675"/>
                    </w:tblGrid>
                    <w:tr w:rsidR="00395867" w:rsidTr="00395867">
                      <w:trPr>
                        <w:trHeight w:val="397"/>
                        <w:jc w:val="right"/>
                      </w:trPr>
                      <w:tc>
                        <w:tcPr>
                          <w:tcW w:w="4677" w:type="dxa"/>
                          <w:vAlign w:val="center"/>
                        </w:tcPr>
                        <w:p w:rsidR="00395867" w:rsidRPr="00AF465C" w:rsidRDefault="00395867" w:rsidP="00395867">
                          <w:pPr>
                            <w:jc w:val="right"/>
                            <w:rPr>
                              <w:rFonts w:asciiTheme="minorHAnsi" w:hAnsiTheme="minorHAnsi" w:cstheme="minorHAnsi"/>
                              <w:color w:val="1E5FAA"/>
                              <w:sz w:val="16"/>
                              <w:szCs w:val="16"/>
                              <w:lang w:val="en-US"/>
                            </w:rPr>
                          </w:pPr>
                          <w:r w:rsidRPr="00AF465C">
                            <w:rPr>
                              <w:rFonts w:asciiTheme="minorHAnsi" w:hAnsiTheme="minorHAnsi" w:cstheme="minorHAnsi"/>
                              <w:color w:val="1E5FAA"/>
                              <w:sz w:val="16"/>
                              <w:szCs w:val="16"/>
                              <w:lang w:val="en-US"/>
                            </w:rPr>
                            <w:t>Скороченнята абревіатури</w:t>
                          </w:r>
                        </w:p>
                      </w:tc>
                      <w:tc>
                        <w:tcPr>
                          <w:tcW w:w="675" w:type="dxa"/>
                          <w:vAlign w:val="center"/>
                        </w:tcPr>
                        <w:p w:rsidR="00395867" w:rsidRPr="00AF465C" w:rsidRDefault="00395867" w:rsidP="00395867">
                          <w:pPr>
                            <w:jc w:val="right"/>
                            <w:rPr>
                              <w:rFonts w:asciiTheme="minorHAnsi" w:hAnsiTheme="minorHAnsi" w:cstheme="minorHAnsi"/>
                              <w:color w:val="1E5FAA"/>
                              <w:sz w:val="16"/>
                              <w:szCs w:val="16"/>
                              <w:lang w:val="en-US"/>
                            </w:rPr>
                          </w:pPr>
                          <w:r>
                            <w:rPr>
                              <w:rFonts w:asciiTheme="minorHAnsi" w:hAnsiTheme="minorHAnsi" w:cstheme="minorHAnsi"/>
                              <w:color w:val="1E5FAA"/>
                              <w:sz w:val="16"/>
                              <w:szCs w:val="16"/>
                              <w:lang w:val="en-US"/>
                            </w:rPr>
                            <w:t>v</w:t>
                          </w:r>
                        </w:p>
                      </w:tc>
                    </w:tr>
                  </w:tbl>
                  <w:p w:rsidR="00395867" w:rsidRPr="00F90B9E" w:rsidRDefault="00395867" w:rsidP="00AF465C">
                    <w:pPr>
                      <w:rPr>
                        <w:sz w:val="18"/>
                      </w:rPr>
                    </w:pP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867" w:rsidRDefault="00395867">
    <w:pPr>
      <w:pStyle w:val="a9"/>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867" w:rsidRPr="00395867" w:rsidRDefault="00395867" w:rsidP="00395867">
    <w:pPr>
      <w:pStyle w:val="a9"/>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867" w:rsidRDefault="00395867">
    <w:pPr>
      <w:pStyle w:val="a9"/>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867" w:rsidRDefault="00395867">
    <w:pPr>
      <w:pStyle w:val="a9"/>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867" w:rsidRDefault="00395867">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867" w:rsidRDefault="00395867">
    <w:pPr>
      <w:pStyle w:val="a9"/>
    </w:pPr>
    <w:r w:rsidRPr="00163C09">
      <w:rPr>
        <w:rFonts w:eastAsia="Times New Roman"/>
        <w:b/>
        <w:bCs/>
        <w:noProof/>
        <w:color w:val="000000"/>
        <w:sz w:val="2"/>
        <w:szCs w:val="2"/>
      </w:rPr>
      <mc:AlternateContent>
        <mc:Choice Requires="wps">
          <w:drawing>
            <wp:anchor distT="0" distB="0" distL="114300" distR="114300" simplePos="0" relativeHeight="251663360" behindDoc="0" locked="0" layoutInCell="1" allowOverlap="1" wp14:anchorId="642E0BE0" wp14:editId="558A8291">
              <wp:simplePos x="0" y="0"/>
              <wp:positionH relativeFrom="page">
                <wp:posOffset>577124</wp:posOffset>
              </wp:positionH>
              <wp:positionV relativeFrom="page">
                <wp:posOffset>10126980</wp:posOffset>
              </wp:positionV>
              <wp:extent cx="4310743" cy="363220"/>
              <wp:effectExtent l="0" t="0" r="0" b="0"/>
              <wp:wrapNone/>
              <wp:docPr id="23" name="Поле 23"/>
              <wp:cNvGraphicFramePr/>
              <a:graphic xmlns:a="http://schemas.openxmlformats.org/drawingml/2006/main">
                <a:graphicData uri="http://schemas.microsoft.com/office/word/2010/wordprocessingShape">
                  <wps:wsp>
                    <wps:cNvSpPr txBox="1"/>
                    <wps:spPr>
                      <a:xfrm>
                        <a:off x="0" y="0"/>
                        <a:ext cx="4310743" cy="3632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4678"/>
                          </w:tblGrid>
                          <w:tr w:rsidR="00395867" w:rsidTr="00395867">
                            <w:trPr>
                              <w:trHeight w:val="397"/>
                            </w:trPr>
                            <w:tc>
                              <w:tcPr>
                                <w:tcW w:w="675" w:type="dxa"/>
                                <w:vAlign w:val="center"/>
                              </w:tcPr>
                              <w:p w:rsidR="00395867" w:rsidRPr="00AF465C" w:rsidRDefault="00395867" w:rsidP="00395867">
                                <w:pPr>
                                  <w:rPr>
                                    <w:rFonts w:asciiTheme="minorHAnsi" w:hAnsiTheme="minorHAnsi" w:cstheme="minorHAnsi"/>
                                    <w:color w:val="1E5FAA"/>
                                    <w:sz w:val="16"/>
                                    <w:szCs w:val="16"/>
                                    <w:lang w:val="en-US"/>
                                  </w:rPr>
                                </w:pPr>
                                <w:r w:rsidRPr="00AF465C">
                                  <w:rPr>
                                    <w:rFonts w:asciiTheme="minorHAnsi" w:hAnsiTheme="minorHAnsi" w:cstheme="minorHAnsi"/>
                                    <w:color w:val="1E5FAA"/>
                                    <w:sz w:val="16"/>
                                    <w:szCs w:val="16"/>
                                  </w:rPr>
                                  <w:t>v</w:t>
                                </w:r>
                                <w:r>
                                  <w:rPr>
                                    <w:rFonts w:asciiTheme="minorHAnsi" w:hAnsiTheme="minorHAnsi" w:cstheme="minorHAnsi"/>
                                    <w:color w:val="1E5FAA"/>
                                    <w:sz w:val="16"/>
                                    <w:szCs w:val="16"/>
                                    <w:lang w:val="en-US"/>
                                  </w:rPr>
                                  <w:t>i</w:t>
                                </w:r>
                              </w:p>
                            </w:tc>
                            <w:tc>
                              <w:tcPr>
                                <w:tcW w:w="4678" w:type="dxa"/>
                                <w:vAlign w:val="center"/>
                              </w:tcPr>
                              <w:p w:rsidR="00395867" w:rsidRPr="00A53870" w:rsidRDefault="00395867" w:rsidP="00395867">
                                <w:pPr>
                                  <w:rPr>
                                    <w:rFonts w:asciiTheme="minorHAnsi" w:hAnsiTheme="minorHAnsi" w:cstheme="minorHAnsi"/>
                                    <w:color w:val="1E5FAA"/>
                                    <w:sz w:val="16"/>
                                    <w:szCs w:val="16"/>
                                    <w:lang w:val="ru-RU"/>
                                  </w:rPr>
                                </w:pPr>
                                <w:r w:rsidRPr="00395867">
                                  <w:rPr>
                                    <w:rFonts w:asciiTheme="minorHAnsi" w:hAnsiTheme="minorHAnsi" w:cstheme="minorHAnsi"/>
                                    <w:color w:val="1E5FAA"/>
                                    <w:sz w:val="16"/>
                                    <w:szCs w:val="16"/>
                                  </w:rPr>
                                  <w:t xml:space="preserve">Операційне </w:t>
                                </w:r>
                                <w:r w:rsidRPr="00395867">
                                  <w:rPr>
                                    <w:rFonts w:asciiTheme="minorHAnsi" w:hAnsiTheme="minorHAnsi" w:cstheme="minorHAnsi"/>
                                    <w:color w:val="FF0000"/>
                                    <w:sz w:val="16"/>
                                    <w:szCs w:val="16"/>
                                  </w:rPr>
                                  <w:t xml:space="preserve">керівництво </w:t>
                                </w:r>
                              </w:p>
                              <w:p w:rsidR="00395867" w:rsidRPr="00AF465C" w:rsidRDefault="00395867" w:rsidP="00395867">
                                <w:pPr>
                                  <w:rPr>
                                    <w:rFonts w:asciiTheme="minorHAnsi" w:hAnsiTheme="minorHAnsi" w:cstheme="minorHAnsi"/>
                                    <w:color w:val="1E5FAA"/>
                                    <w:sz w:val="16"/>
                                    <w:szCs w:val="16"/>
                                  </w:rPr>
                                </w:pPr>
                                <w:r w:rsidRPr="00395867">
                                  <w:rPr>
                                    <w:rFonts w:asciiTheme="minorHAnsi" w:hAnsiTheme="minorHAnsi" w:cstheme="minorHAnsi"/>
                                    <w:color w:val="FF0000"/>
                                    <w:sz w:val="16"/>
                                    <w:szCs w:val="16"/>
                                  </w:rPr>
                                  <w:t xml:space="preserve">ВООЗ </w:t>
                                </w:r>
                                <w:r w:rsidRPr="00395867">
                                  <w:rPr>
                                    <w:rFonts w:asciiTheme="minorHAnsi" w:hAnsiTheme="minorHAnsi" w:cstheme="minorHAnsi"/>
                                    <w:color w:val="1E5FAA"/>
                                    <w:sz w:val="16"/>
                                    <w:szCs w:val="16"/>
                                  </w:rPr>
                                  <w:t>щодо туберкульозу</w:t>
                                </w:r>
                              </w:p>
                            </w:tc>
                          </w:tr>
                        </w:tbl>
                        <w:p w:rsidR="00395867" w:rsidRPr="00F90B9E" w:rsidRDefault="00395867" w:rsidP="00AF465C">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2E0BE0" id="_x0000_t202" coordsize="21600,21600" o:spt="202" path="m,l,21600r21600,l21600,xe">
              <v:stroke joinstyle="miter"/>
              <v:path gradientshapeok="t" o:connecttype="rect"/>
            </v:shapetype>
            <v:shape id="Поле 23" o:spid="_x0000_s1039" type="#_x0000_t202" style="position:absolute;margin-left:45.45pt;margin-top:797.4pt;width:339.45pt;height:28.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" fillcolor="white [3212]" stroked="f" strokeweight=".5pt">
              <v:textbox inset="0,0,0,0">
                <w:txbxContent>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4678"/>
                    </w:tblGrid>
                    <w:tr w:rsidR="00395867" w:rsidTr="00395867">
                      <w:trPr>
                        <w:trHeight w:val="397"/>
                      </w:trPr>
                      <w:tc>
                        <w:tcPr>
                          <w:tcW w:w="675" w:type="dxa"/>
                          <w:vAlign w:val="center"/>
                        </w:tcPr>
                        <w:p w:rsidR="00395867" w:rsidRPr="00AF465C" w:rsidRDefault="00395867" w:rsidP="00395867">
                          <w:pPr>
                            <w:rPr>
                              <w:rFonts w:asciiTheme="minorHAnsi" w:hAnsiTheme="minorHAnsi" w:cstheme="minorHAnsi"/>
                              <w:color w:val="1E5FAA"/>
                              <w:sz w:val="16"/>
                              <w:szCs w:val="16"/>
                              <w:lang w:val="en-US"/>
                            </w:rPr>
                          </w:pPr>
                          <w:r w:rsidRPr="00AF465C">
                            <w:rPr>
                              <w:rFonts w:asciiTheme="minorHAnsi" w:hAnsiTheme="minorHAnsi" w:cstheme="minorHAnsi"/>
                              <w:color w:val="1E5FAA"/>
                              <w:sz w:val="16"/>
                              <w:szCs w:val="16"/>
                            </w:rPr>
                            <w:t>v</w:t>
                          </w:r>
                          <w:r>
                            <w:rPr>
                              <w:rFonts w:asciiTheme="minorHAnsi" w:hAnsiTheme="minorHAnsi" w:cstheme="minorHAnsi"/>
                              <w:color w:val="1E5FAA"/>
                              <w:sz w:val="16"/>
                              <w:szCs w:val="16"/>
                              <w:lang w:val="en-US"/>
                            </w:rPr>
                            <w:t>i</w:t>
                          </w:r>
                        </w:p>
                      </w:tc>
                      <w:tc>
                        <w:tcPr>
                          <w:tcW w:w="4678" w:type="dxa"/>
                          <w:vAlign w:val="center"/>
                        </w:tcPr>
                        <w:p w:rsidR="00395867" w:rsidRPr="00A53870" w:rsidRDefault="00395867" w:rsidP="00395867">
                          <w:pPr>
                            <w:rPr>
                              <w:rFonts w:asciiTheme="minorHAnsi" w:hAnsiTheme="minorHAnsi" w:cstheme="minorHAnsi"/>
                              <w:color w:val="1E5FAA"/>
                              <w:sz w:val="16"/>
                              <w:szCs w:val="16"/>
                              <w:lang w:val="ru-RU"/>
                            </w:rPr>
                          </w:pPr>
                          <w:r w:rsidRPr="00395867">
                            <w:rPr>
                              <w:rFonts w:asciiTheme="minorHAnsi" w:hAnsiTheme="minorHAnsi" w:cstheme="minorHAnsi"/>
                              <w:color w:val="1E5FAA"/>
                              <w:sz w:val="16"/>
                              <w:szCs w:val="16"/>
                            </w:rPr>
                            <w:t xml:space="preserve">Операційне </w:t>
                          </w:r>
                          <w:r w:rsidRPr="00395867">
                            <w:rPr>
                              <w:rFonts w:asciiTheme="minorHAnsi" w:hAnsiTheme="minorHAnsi" w:cstheme="minorHAnsi"/>
                              <w:color w:val="FF0000"/>
                              <w:sz w:val="16"/>
                              <w:szCs w:val="16"/>
                            </w:rPr>
                            <w:t xml:space="preserve">керівництво </w:t>
                          </w:r>
                        </w:p>
                        <w:p w:rsidR="00395867" w:rsidRPr="00AF465C" w:rsidRDefault="00395867" w:rsidP="00395867">
                          <w:pPr>
                            <w:rPr>
                              <w:rFonts w:asciiTheme="minorHAnsi" w:hAnsiTheme="minorHAnsi" w:cstheme="minorHAnsi"/>
                              <w:color w:val="1E5FAA"/>
                              <w:sz w:val="16"/>
                              <w:szCs w:val="16"/>
                            </w:rPr>
                          </w:pPr>
                          <w:r w:rsidRPr="00395867">
                            <w:rPr>
                              <w:rFonts w:asciiTheme="minorHAnsi" w:hAnsiTheme="minorHAnsi" w:cstheme="minorHAnsi"/>
                              <w:color w:val="FF0000"/>
                              <w:sz w:val="16"/>
                              <w:szCs w:val="16"/>
                            </w:rPr>
                            <w:t xml:space="preserve">ВООЗ </w:t>
                          </w:r>
                          <w:r w:rsidRPr="00395867">
                            <w:rPr>
                              <w:rFonts w:asciiTheme="minorHAnsi" w:hAnsiTheme="minorHAnsi" w:cstheme="minorHAnsi"/>
                              <w:color w:val="1E5FAA"/>
                              <w:sz w:val="16"/>
                              <w:szCs w:val="16"/>
                            </w:rPr>
                            <w:t>щодо туберкульозу</w:t>
                          </w:r>
                        </w:p>
                      </w:tc>
                    </w:tr>
                  </w:tbl>
                  <w:p w:rsidR="00395867" w:rsidRPr="00F90B9E" w:rsidRDefault="00395867" w:rsidP="00AF465C">
                    <w:pPr>
                      <w:rPr>
                        <w:sz w:val="18"/>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867" w:rsidRDefault="00395867" w:rsidP="00AF465C">
    <w:pPr>
      <w:pStyle w:val="a9"/>
    </w:pPr>
    <w:r w:rsidRPr="00163C09">
      <w:rPr>
        <w:rFonts w:eastAsia="Times New Roman"/>
        <w:b/>
        <w:bCs/>
        <w:noProof/>
        <w:color w:val="000000"/>
        <w:sz w:val="2"/>
        <w:szCs w:val="2"/>
      </w:rPr>
      <mc:AlternateContent>
        <mc:Choice Requires="wps">
          <w:drawing>
            <wp:anchor distT="0" distB="0" distL="114300" distR="114300" simplePos="0" relativeHeight="251665408" behindDoc="0" locked="0" layoutInCell="1" allowOverlap="1" wp14:anchorId="58EEFC1F" wp14:editId="634B21BA">
              <wp:simplePos x="0" y="0"/>
              <wp:positionH relativeFrom="page">
                <wp:posOffset>2619375</wp:posOffset>
              </wp:positionH>
              <wp:positionV relativeFrom="page">
                <wp:posOffset>10118181</wp:posOffset>
              </wp:positionV>
              <wp:extent cx="4527843" cy="363220"/>
              <wp:effectExtent l="0" t="0" r="6350" b="0"/>
              <wp:wrapNone/>
              <wp:docPr id="24" name="Поле 24"/>
              <wp:cNvGraphicFramePr/>
              <a:graphic xmlns:a="http://schemas.openxmlformats.org/drawingml/2006/main">
                <a:graphicData uri="http://schemas.microsoft.com/office/word/2010/wordprocessingShape">
                  <wps:wsp>
                    <wps:cNvSpPr txBox="1"/>
                    <wps:spPr>
                      <a:xfrm>
                        <a:off x="0" y="0"/>
                        <a:ext cx="4527843" cy="3632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675"/>
                          </w:tblGrid>
                          <w:tr w:rsidR="00395867" w:rsidTr="00395867">
                            <w:trPr>
                              <w:trHeight w:val="397"/>
                              <w:jc w:val="right"/>
                            </w:trPr>
                            <w:tc>
                              <w:tcPr>
                                <w:tcW w:w="4677" w:type="dxa"/>
                                <w:vAlign w:val="center"/>
                              </w:tcPr>
                              <w:p w:rsidR="00395867" w:rsidRPr="00AF465C" w:rsidRDefault="00395867" w:rsidP="00395867">
                                <w:pPr>
                                  <w:jc w:val="right"/>
                                  <w:rPr>
                                    <w:rFonts w:asciiTheme="minorHAnsi" w:hAnsiTheme="minorHAnsi" w:cstheme="minorHAnsi"/>
                                    <w:color w:val="1E5FAA"/>
                                    <w:sz w:val="16"/>
                                    <w:szCs w:val="16"/>
                                    <w:lang w:val="en-US"/>
                                  </w:rPr>
                                </w:pPr>
                                <w:r w:rsidRPr="00AF465C">
                                  <w:rPr>
                                    <w:rFonts w:asciiTheme="minorHAnsi" w:hAnsiTheme="minorHAnsi" w:cstheme="minorHAnsi"/>
                                    <w:color w:val="1E5FAA"/>
                                    <w:sz w:val="16"/>
                                    <w:szCs w:val="16"/>
                                    <w:lang w:val="en-US"/>
                                  </w:rPr>
                                  <w:t>Вступ</w:t>
                                </w:r>
                              </w:p>
                            </w:tc>
                            <w:tc>
                              <w:tcPr>
                                <w:tcW w:w="675" w:type="dxa"/>
                                <w:vAlign w:val="center"/>
                              </w:tcPr>
                              <w:p w:rsidR="00395867" w:rsidRPr="00AF465C" w:rsidRDefault="00395867" w:rsidP="00395867">
                                <w:pPr>
                                  <w:jc w:val="right"/>
                                  <w:rPr>
                                    <w:rFonts w:asciiTheme="minorHAnsi" w:hAnsiTheme="minorHAnsi" w:cstheme="minorHAnsi"/>
                                    <w:color w:val="1E5FAA"/>
                                    <w:sz w:val="16"/>
                                    <w:szCs w:val="16"/>
                                    <w:lang w:val="en-US"/>
                                  </w:rPr>
                                </w:pP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=-8+</w:instrText>
                                </w: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PAGE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instrText>9</w:instrText>
                                </w:r>
                                <w:r>
                                  <w:rPr>
                                    <w:rFonts w:asciiTheme="minorHAnsi" w:hAnsiTheme="minorHAnsi" w:cstheme="minorHAnsi"/>
                                    <w:color w:val="1E5FAA"/>
                                    <w:sz w:val="16"/>
                                    <w:szCs w:val="16"/>
                                    <w:lang w:val="en-US"/>
                                  </w:rPr>
                                  <w:fldChar w:fldCharType="end"/>
                                </w:r>
                                <w:r>
                                  <w:rPr>
                                    <w:rFonts w:asciiTheme="minorHAnsi" w:hAnsiTheme="minorHAnsi" w:cstheme="minorHAnsi"/>
                                    <w:color w:val="1E5FAA"/>
                                    <w:sz w:val="16"/>
                                    <w:szCs w:val="16"/>
                                    <w:lang w:val="en-US"/>
                                  </w:rPr>
                                  <w:instrText xml:space="preserv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t>1</w:t>
                                </w:r>
                                <w:r>
                                  <w:rPr>
                                    <w:rFonts w:asciiTheme="minorHAnsi" w:hAnsiTheme="minorHAnsi" w:cstheme="minorHAnsi"/>
                                    <w:color w:val="1E5FAA"/>
                                    <w:sz w:val="16"/>
                                    <w:szCs w:val="16"/>
                                    <w:lang w:val="en-US"/>
                                  </w:rPr>
                                  <w:fldChar w:fldCharType="end"/>
                                </w:r>
                              </w:p>
                            </w:tc>
                          </w:tr>
                        </w:tbl>
                        <w:p w:rsidR="00395867" w:rsidRPr="00F90B9E" w:rsidRDefault="00395867" w:rsidP="00AF465C">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EEFC1F" id="_x0000_t202" coordsize="21600,21600" o:spt="202" path="m,l,21600r21600,l21600,xe">
              <v:stroke joinstyle="miter"/>
              <v:path gradientshapeok="t" o:connecttype="rect"/>
            </v:shapetype>
            <v:shape id="Поле 24" o:spid="_x0000_s1040" type="#_x0000_t202" style="position:absolute;margin-left:206.25pt;margin-top:796.7pt;width:356.5pt;height:28.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" fillcolor="white [3212]" stroked="f" strokeweight=".5pt">
              <v:textbox inset="0,0,0,0">
                <w:txbxContent>
                  <w:tbl>
                    <w:tblPr>
                      <w:tblStyle w:val="ab"/>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675"/>
                    </w:tblGrid>
                    <w:tr w:rsidR="00395867" w:rsidTr="00395867">
                      <w:trPr>
                        <w:trHeight w:val="397"/>
                        <w:jc w:val="right"/>
                      </w:trPr>
                      <w:tc>
                        <w:tcPr>
                          <w:tcW w:w="4677" w:type="dxa"/>
                          <w:vAlign w:val="center"/>
                        </w:tcPr>
                        <w:p w:rsidR="00395867" w:rsidRPr="00AF465C" w:rsidRDefault="00395867" w:rsidP="00395867">
                          <w:pPr>
                            <w:jc w:val="right"/>
                            <w:rPr>
                              <w:rFonts w:asciiTheme="minorHAnsi" w:hAnsiTheme="minorHAnsi" w:cstheme="minorHAnsi"/>
                              <w:color w:val="1E5FAA"/>
                              <w:sz w:val="16"/>
                              <w:szCs w:val="16"/>
                              <w:lang w:val="en-US"/>
                            </w:rPr>
                          </w:pPr>
                          <w:r w:rsidRPr="00AF465C">
                            <w:rPr>
                              <w:rFonts w:asciiTheme="minorHAnsi" w:hAnsiTheme="minorHAnsi" w:cstheme="minorHAnsi"/>
                              <w:color w:val="1E5FAA"/>
                              <w:sz w:val="16"/>
                              <w:szCs w:val="16"/>
                              <w:lang w:val="en-US"/>
                            </w:rPr>
                            <w:t>Вступ</w:t>
                          </w:r>
                        </w:p>
                      </w:tc>
                      <w:tc>
                        <w:tcPr>
                          <w:tcW w:w="675" w:type="dxa"/>
                          <w:vAlign w:val="center"/>
                        </w:tcPr>
                        <w:p w:rsidR="00395867" w:rsidRPr="00AF465C" w:rsidRDefault="00395867" w:rsidP="00395867">
                          <w:pPr>
                            <w:jc w:val="right"/>
                            <w:rPr>
                              <w:rFonts w:asciiTheme="minorHAnsi" w:hAnsiTheme="minorHAnsi" w:cstheme="minorHAnsi"/>
                              <w:color w:val="1E5FAA"/>
                              <w:sz w:val="16"/>
                              <w:szCs w:val="16"/>
                              <w:lang w:val="en-US"/>
                            </w:rPr>
                          </w:pP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=-8+</w:instrText>
                          </w: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PAGE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instrText>9</w:instrText>
                          </w:r>
                          <w:r>
                            <w:rPr>
                              <w:rFonts w:asciiTheme="minorHAnsi" w:hAnsiTheme="minorHAnsi" w:cstheme="minorHAnsi"/>
                              <w:color w:val="1E5FAA"/>
                              <w:sz w:val="16"/>
                              <w:szCs w:val="16"/>
                              <w:lang w:val="en-US"/>
                            </w:rPr>
                            <w:fldChar w:fldCharType="end"/>
                          </w:r>
                          <w:r>
                            <w:rPr>
                              <w:rFonts w:asciiTheme="minorHAnsi" w:hAnsiTheme="minorHAnsi" w:cstheme="minorHAnsi"/>
                              <w:color w:val="1E5FAA"/>
                              <w:sz w:val="16"/>
                              <w:szCs w:val="16"/>
                              <w:lang w:val="en-US"/>
                            </w:rPr>
                            <w:instrText xml:space="preserv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t>1</w:t>
                          </w:r>
                          <w:r>
                            <w:rPr>
                              <w:rFonts w:asciiTheme="minorHAnsi" w:hAnsiTheme="minorHAnsi" w:cstheme="minorHAnsi"/>
                              <w:color w:val="1E5FAA"/>
                              <w:sz w:val="16"/>
                              <w:szCs w:val="16"/>
                              <w:lang w:val="en-US"/>
                            </w:rPr>
                            <w:fldChar w:fldCharType="end"/>
                          </w:r>
                        </w:p>
                      </w:tc>
                    </w:tr>
                  </w:tbl>
                  <w:p w:rsidR="00395867" w:rsidRPr="00F90B9E" w:rsidRDefault="00395867" w:rsidP="00AF465C">
                    <w:pPr>
                      <w:rPr>
                        <w:sz w:val="18"/>
                      </w:rPr>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867" w:rsidRDefault="00395867" w:rsidP="00AF465C">
    <w:pPr>
      <w:pStyle w:val="a9"/>
      <w:jc w:val="right"/>
    </w:pPr>
    <w:r w:rsidRPr="00163C09">
      <w:rPr>
        <w:rFonts w:eastAsia="Times New Roman"/>
        <w:b/>
        <w:bCs/>
        <w:noProof/>
        <w:color w:val="000000"/>
        <w:sz w:val="2"/>
        <w:szCs w:val="2"/>
      </w:rPr>
      <mc:AlternateContent>
        <mc:Choice Requires="wps">
          <w:drawing>
            <wp:anchor distT="0" distB="0" distL="114300" distR="114300" simplePos="0" relativeHeight="251667456" behindDoc="0" locked="0" layoutInCell="1" allowOverlap="1" wp14:anchorId="40EC1DA3" wp14:editId="3D39D167">
              <wp:simplePos x="0" y="0"/>
              <wp:positionH relativeFrom="page">
                <wp:posOffset>577124</wp:posOffset>
              </wp:positionH>
              <wp:positionV relativeFrom="page">
                <wp:posOffset>10126980</wp:posOffset>
              </wp:positionV>
              <wp:extent cx="4310743" cy="363220"/>
              <wp:effectExtent l="0" t="0" r="0" b="0"/>
              <wp:wrapNone/>
              <wp:docPr id="25" name="Поле 25"/>
              <wp:cNvGraphicFramePr/>
              <a:graphic xmlns:a="http://schemas.openxmlformats.org/drawingml/2006/main">
                <a:graphicData uri="http://schemas.microsoft.com/office/word/2010/wordprocessingShape">
                  <wps:wsp>
                    <wps:cNvSpPr txBox="1"/>
                    <wps:spPr>
                      <a:xfrm>
                        <a:off x="0" y="0"/>
                        <a:ext cx="4310743" cy="3632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4678"/>
                          </w:tblGrid>
                          <w:tr w:rsidR="00395867" w:rsidTr="00395867">
                            <w:trPr>
                              <w:trHeight w:val="397"/>
                            </w:trPr>
                            <w:tc>
                              <w:tcPr>
                                <w:tcW w:w="675" w:type="dxa"/>
                                <w:vAlign w:val="center"/>
                              </w:tcPr>
                              <w:p w:rsidR="00395867" w:rsidRPr="00AF465C" w:rsidRDefault="00395867" w:rsidP="00395867">
                                <w:pPr>
                                  <w:rPr>
                                    <w:rFonts w:asciiTheme="minorHAnsi" w:hAnsiTheme="minorHAnsi" w:cstheme="minorHAnsi"/>
                                    <w:color w:val="1E5FAA"/>
                                    <w:sz w:val="16"/>
                                    <w:szCs w:val="16"/>
                                    <w:lang w:val="en-US"/>
                                  </w:rPr>
                                </w:pP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=-8+</w:instrText>
                                </w: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PAGE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instrText>20</w:instrText>
                                </w:r>
                                <w:r>
                                  <w:rPr>
                                    <w:rFonts w:asciiTheme="minorHAnsi" w:hAnsiTheme="minorHAnsi" w:cstheme="minorHAnsi"/>
                                    <w:color w:val="1E5FAA"/>
                                    <w:sz w:val="16"/>
                                    <w:szCs w:val="16"/>
                                    <w:lang w:val="en-US"/>
                                  </w:rPr>
                                  <w:fldChar w:fldCharType="end"/>
                                </w:r>
                                <w:r>
                                  <w:rPr>
                                    <w:rFonts w:asciiTheme="minorHAnsi" w:hAnsiTheme="minorHAnsi" w:cstheme="minorHAnsi"/>
                                    <w:color w:val="1E5FAA"/>
                                    <w:sz w:val="16"/>
                                    <w:szCs w:val="16"/>
                                    <w:lang w:val="en-US"/>
                                  </w:rPr>
                                  <w:instrText xml:space="preserv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t>12</w:t>
                                </w:r>
                                <w:r>
                                  <w:rPr>
                                    <w:rFonts w:asciiTheme="minorHAnsi" w:hAnsiTheme="minorHAnsi" w:cstheme="minorHAnsi"/>
                                    <w:color w:val="1E5FAA"/>
                                    <w:sz w:val="16"/>
                                    <w:szCs w:val="16"/>
                                    <w:lang w:val="en-US"/>
                                  </w:rPr>
                                  <w:fldChar w:fldCharType="end"/>
                                </w:r>
                              </w:p>
                            </w:tc>
                            <w:tc>
                              <w:tcPr>
                                <w:tcW w:w="4678" w:type="dxa"/>
                                <w:vAlign w:val="center"/>
                              </w:tcPr>
                              <w:p w:rsidR="00395867" w:rsidRPr="002A03C7" w:rsidRDefault="00395867" w:rsidP="00395867">
                                <w:pPr>
                                  <w:rPr>
                                    <w:rFonts w:asciiTheme="minorHAnsi" w:hAnsiTheme="minorHAnsi" w:cstheme="minorHAnsi"/>
                                    <w:color w:val="1E5FAA"/>
                                    <w:sz w:val="16"/>
                                    <w:szCs w:val="16"/>
                                    <w:lang w:val="ru-RU"/>
                                  </w:rPr>
                                </w:pPr>
                                <w:r w:rsidRPr="00395867">
                                  <w:rPr>
                                    <w:rFonts w:asciiTheme="minorHAnsi" w:hAnsiTheme="minorHAnsi" w:cstheme="minorHAnsi"/>
                                    <w:color w:val="1E5FAA"/>
                                    <w:sz w:val="16"/>
                                    <w:szCs w:val="16"/>
                                  </w:rPr>
                                  <w:t xml:space="preserve">Операційне </w:t>
                                </w:r>
                                <w:r w:rsidRPr="00395867">
                                  <w:rPr>
                                    <w:rFonts w:asciiTheme="minorHAnsi" w:hAnsiTheme="minorHAnsi" w:cstheme="minorHAnsi"/>
                                    <w:color w:val="FF0000"/>
                                    <w:sz w:val="16"/>
                                    <w:szCs w:val="16"/>
                                  </w:rPr>
                                  <w:t xml:space="preserve">керівництво </w:t>
                                </w:r>
                              </w:p>
                              <w:p w:rsidR="00395867" w:rsidRPr="00AF465C" w:rsidRDefault="00395867" w:rsidP="00395867">
                                <w:pPr>
                                  <w:rPr>
                                    <w:rFonts w:asciiTheme="minorHAnsi" w:hAnsiTheme="minorHAnsi" w:cstheme="minorHAnsi"/>
                                    <w:color w:val="1E5FAA"/>
                                    <w:sz w:val="16"/>
                                    <w:szCs w:val="16"/>
                                  </w:rPr>
                                </w:pPr>
                                <w:r w:rsidRPr="00395867">
                                  <w:rPr>
                                    <w:rFonts w:asciiTheme="minorHAnsi" w:hAnsiTheme="minorHAnsi" w:cstheme="minorHAnsi"/>
                                    <w:color w:val="FF0000"/>
                                    <w:sz w:val="16"/>
                                    <w:szCs w:val="16"/>
                                  </w:rPr>
                                  <w:t xml:space="preserve">ВООЗ </w:t>
                                </w:r>
                                <w:r w:rsidRPr="00395867">
                                  <w:rPr>
                                    <w:rFonts w:asciiTheme="minorHAnsi" w:hAnsiTheme="minorHAnsi" w:cstheme="minorHAnsi"/>
                                    <w:color w:val="1E5FAA"/>
                                    <w:sz w:val="16"/>
                                    <w:szCs w:val="16"/>
                                  </w:rPr>
                                  <w:t>щодо туберкульозу</w:t>
                                </w:r>
                              </w:p>
                            </w:tc>
                          </w:tr>
                        </w:tbl>
                        <w:p w:rsidR="00395867" w:rsidRPr="00F90B9E" w:rsidRDefault="00395867" w:rsidP="00AF465C">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EC1DA3" id="_x0000_t202" coordsize="21600,21600" o:spt="202" path="m,l,21600r21600,l21600,xe">
              <v:stroke joinstyle="miter"/>
              <v:path gradientshapeok="t" o:connecttype="rect"/>
            </v:shapetype>
            <v:shape id="Поле 25" o:spid="_x0000_s1041" type="#_x0000_t202" style="position:absolute;left:0;text-align:left;margin-left:45.45pt;margin-top:797.4pt;width:339.45pt;height:28.6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" fillcolor="white [3212]" stroked="f" strokeweight=".5pt">
              <v:textbox inset="0,0,0,0">
                <w:txbxContent>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4678"/>
                    </w:tblGrid>
                    <w:tr w:rsidR="00395867" w:rsidTr="00395867">
                      <w:trPr>
                        <w:trHeight w:val="397"/>
                      </w:trPr>
                      <w:tc>
                        <w:tcPr>
                          <w:tcW w:w="675" w:type="dxa"/>
                          <w:vAlign w:val="center"/>
                        </w:tcPr>
                        <w:p w:rsidR="00395867" w:rsidRPr="00AF465C" w:rsidRDefault="00395867" w:rsidP="00395867">
                          <w:pPr>
                            <w:rPr>
                              <w:rFonts w:asciiTheme="minorHAnsi" w:hAnsiTheme="minorHAnsi" w:cstheme="minorHAnsi"/>
                              <w:color w:val="1E5FAA"/>
                              <w:sz w:val="16"/>
                              <w:szCs w:val="16"/>
                              <w:lang w:val="en-US"/>
                            </w:rPr>
                          </w:pP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=-8+</w:instrText>
                          </w: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PAGE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instrText>20</w:instrText>
                          </w:r>
                          <w:r>
                            <w:rPr>
                              <w:rFonts w:asciiTheme="minorHAnsi" w:hAnsiTheme="minorHAnsi" w:cstheme="minorHAnsi"/>
                              <w:color w:val="1E5FAA"/>
                              <w:sz w:val="16"/>
                              <w:szCs w:val="16"/>
                              <w:lang w:val="en-US"/>
                            </w:rPr>
                            <w:fldChar w:fldCharType="end"/>
                          </w:r>
                          <w:r>
                            <w:rPr>
                              <w:rFonts w:asciiTheme="minorHAnsi" w:hAnsiTheme="minorHAnsi" w:cstheme="minorHAnsi"/>
                              <w:color w:val="1E5FAA"/>
                              <w:sz w:val="16"/>
                              <w:szCs w:val="16"/>
                              <w:lang w:val="en-US"/>
                            </w:rPr>
                            <w:instrText xml:space="preserv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t>12</w:t>
                          </w:r>
                          <w:r>
                            <w:rPr>
                              <w:rFonts w:asciiTheme="minorHAnsi" w:hAnsiTheme="minorHAnsi" w:cstheme="minorHAnsi"/>
                              <w:color w:val="1E5FAA"/>
                              <w:sz w:val="16"/>
                              <w:szCs w:val="16"/>
                              <w:lang w:val="en-US"/>
                            </w:rPr>
                            <w:fldChar w:fldCharType="end"/>
                          </w:r>
                        </w:p>
                      </w:tc>
                      <w:tc>
                        <w:tcPr>
                          <w:tcW w:w="4678" w:type="dxa"/>
                          <w:vAlign w:val="center"/>
                        </w:tcPr>
                        <w:p w:rsidR="00395867" w:rsidRPr="002A03C7" w:rsidRDefault="00395867" w:rsidP="00395867">
                          <w:pPr>
                            <w:rPr>
                              <w:rFonts w:asciiTheme="minorHAnsi" w:hAnsiTheme="minorHAnsi" w:cstheme="minorHAnsi"/>
                              <w:color w:val="1E5FAA"/>
                              <w:sz w:val="16"/>
                              <w:szCs w:val="16"/>
                              <w:lang w:val="ru-RU"/>
                            </w:rPr>
                          </w:pPr>
                          <w:r w:rsidRPr="00395867">
                            <w:rPr>
                              <w:rFonts w:asciiTheme="minorHAnsi" w:hAnsiTheme="minorHAnsi" w:cstheme="minorHAnsi"/>
                              <w:color w:val="1E5FAA"/>
                              <w:sz w:val="16"/>
                              <w:szCs w:val="16"/>
                            </w:rPr>
                            <w:t xml:space="preserve">Операційне </w:t>
                          </w:r>
                          <w:r w:rsidRPr="00395867">
                            <w:rPr>
                              <w:rFonts w:asciiTheme="minorHAnsi" w:hAnsiTheme="minorHAnsi" w:cstheme="minorHAnsi"/>
                              <w:color w:val="FF0000"/>
                              <w:sz w:val="16"/>
                              <w:szCs w:val="16"/>
                            </w:rPr>
                            <w:t xml:space="preserve">керівництво </w:t>
                          </w:r>
                        </w:p>
                        <w:p w:rsidR="00395867" w:rsidRPr="00AF465C" w:rsidRDefault="00395867" w:rsidP="00395867">
                          <w:pPr>
                            <w:rPr>
                              <w:rFonts w:asciiTheme="minorHAnsi" w:hAnsiTheme="minorHAnsi" w:cstheme="minorHAnsi"/>
                              <w:color w:val="1E5FAA"/>
                              <w:sz w:val="16"/>
                              <w:szCs w:val="16"/>
                            </w:rPr>
                          </w:pPr>
                          <w:r w:rsidRPr="00395867">
                            <w:rPr>
                              <w:rFonts w:asciiTheme="minorHAnsi" w:hAnsiTheme="minorHAnsi" w:cstheme="minorHAnsi"/>
                              <w:color w:val="FF0000"/>
                              <w:sz w:val="16"/>
                              <w:szCs w:val="16"/>
                            </w:rPr>
                            <w:t xml:space="preserve">ВООЗ </w:t>
                          </w:r>
                          <w:r w:rsidRPr="00395867">
                            <w:rPr>
                              <w:rFonts w:asciiTheme="minorHAnsi" w:hAnsiTheme="minorHAnsi" w:cstheme="minorHAnsi"/>
                              <w:color w:val="1E5FAA"/>
                              <w:sz w:val="16"/>
                              <w:szCs w:val="16"/>
                            </w:rPr>
                            <w:t>щодо туберкульозу</w:t>
                          </w:r>
                        </w:p>
                      </w:tc>
                    </w:tr>
                  </w:tbl>
                  <w:p w:rsidR="00395867" w:rsidRPr="00F90B9E" w:rsidRDefault="00395867" w:rsidP="00AF465C">
                    <w:pPr>
                      <w:rPr>
                        <w:sz w:val="18"/>
                      </w:rPr>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867" w:rsidRDefault="00395867" w:rsidP="00AF465C">
    <w:pPr>
      <w:pStyle w:val="a9"/>
    </w:pPr>
    <w:r w:rsidRPr="00163C09">
      <w:rPr>
        <w:rFonts w:eastAsia="Times New Roman"/>
        <w:b/>
        <w:bCs/>
        <w:noProof/>
        <w:color w:val="000000"/>
        <w:sz w:val="2"/>
        <w:szCs w:val="2"/>
      </w:rPr>
      <mc:AlternateContent>
        <mc:Choice Requires="wps">
          <w:drawing>
            <wp:anchor distT="0" distB="0" distL="114300" distR="114300" simplePos="0" relativeHeight="251669504" behindDoc="0" locked="0" layoutInCell="1" allowOverlap="1" wp14:anchorId="0F9C5D5A" wp14:editId="7CB5EF21">
              <wp:simplePos x="0" y="0"/>
              <wp:positionH relativeFrom="page">
                <wp:posOffset>1164771</wp:posOffset>
              </wp:positionH>
              <wp:positionV relativeFrom="page">
                <wp:posOffset>10112829</wp:posOffset>
              </wp:positionV>
              <wp:extent cx="5986236" cy="363220"/>
              <wp:effectExtent l="0" t="0" r="0" b="0"/>
              <wp:wrapNone/>
              <wp:docPr id="26" name="Поле 26"/>
              <wp:cNvGraphicFramePr/>
              <a:graphic xmlns:a="http://schemas.openxmlformats.org/drawingml/2006/main">
                <a:graphicData uri="http://schemas.microsoft.com/office/word/2010/wordprocessingShape">
                  <wps:wsp>
                    <wps:cNvSpPr txBox="1"/>
                    <wps:spPr>
                      <a:xfrm>
                        <a:off x="0" y="0"/>
                        <a:ext cx="5986236" cy="3632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5"/>
                            <w:gridCol w:w="675"/>
                          </w:tblGrid>
                          <w:tr w:rsidR="00395867" w:rsidTr="00AF465C">
                            <w:trPr>
                              <w:trHeight w:val="397"/>
                              <w:jc w:val="right"/>
                            </w:trPr>
                            <w:tc>
                              <w:tcPr>
                                <w:tcW w:w="8175" w:type="dxa"/>
                                <w:vAlign w:val="center"/>
                              </w:tcPr>
                              <w:p w:rsidR="00395867" w:rsidRPr="00AF465C" w:rsidRDefault="00395867" w:rsidP="00395867">
                                <w:pPr>
                                  <w:jc w:val="right"/>
                                  <w:rPr>
                                    <w:rFonts w:asciiTheme="minorHAnsi" w:hAnsiTheme="minorHAnsi" w:cstheme="minorHAnsi"/>
                                    <w:color w:val="1E5FAA"/>
                                    <w:sz w:val="16"/>
                                    <w:szCs w:val="16"/>
                                    <w:lang w:val="en-US"/>
                                  </w:rPr>
                                </w:pPr>
                                <w:r w:rsidRPr="00AF465C">
                                  <w:rPr>
                                    <w:rFonts w:asciiTheme="minorHAnsi" w:hAnsiTheme="minorHAnsi" w:cstheme="minorHAnsi"/>
                                    <w:color w:val="1E5FAA"/>
                                    <w:sz w:val="16"/>
                                    <w:szCs w:val="16"/>
                                    <w:lang w:val="en-US"/>
                                  </w:rPr>
                                  <w:t>Загальновживані терміни та ключові визначення при лікуванні лікарсько-стійкого ТБ</w:t>
                                </w:r>
                              </w:p>
                            </w:tc>
                            <w:tc>
                              <w:tcPr>
                                <w:tcW w:w="675" w:type="dxa"/>
                                <w:vAlign w:val="center"/>
                              </w:tcPr>
                              <w:p w:rsidR="00395867" w:rsidRPr="00AF465C" w:rsidRDefault="00395867" w:rsidP="00395867">
                                <w:pPr>
                                  <w:jc w:val="right"/>
                                  <w:rPr>
                                    <w:rFonts w:asciiTheme="minorHAnsi" w:hAnsiTheme="minorHAnsi" w:cstheme="minorHAnsi"/>
                                    <w:color w:val="1E5FAA"/>
                                    <w:sz w:val="16"/>
                                    <w:szCs w:val="16"/>
                                    <w:lang w:val="en-US"/>
                                  </w:rPr>
                                </w:pP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=-8+</w:instrText>
                                </w: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PAGE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instrText>11</w:instrText>
                                </w:r>
                                <w:r>
                                  <w:rPr>
                                    <w:rFonts w:asciiTheme="minorHAnsi" w:hAnsiTheme="minorHAnsi" w:cstheme="minorHAnsi"/>
                                    <w:color w:val="1E5FAA"/>
                                    <w:sz w:val="16"/>
                                    <w:szCs w:val="16"/>
                                    <w:lang w:val="en-US"/>
                                  </w:rPr>
                                  <w:fldChar w:fldCharType="end"/>
                                </w:r>
                                <w:r>
                                  <w:rPr>
                                    <w:rFonts w:asciiTheme="minorHAnsi" w:hAnsiTheme="minorHAnsi" w:cstheme="minorHAnsi"/>
                                    <w:color w:val="1E5FAA"/>
                                    <w:sz w:val="16"/>
                                    <w:szCs w:val="16"/>
                                    <w:lang w:val="en-US"/>
                                  </w:rPr>
                                  <w:instrText xml:space="preserv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t>3</w:t>
                                </w:r>
                                <w:r>
                                  <w:rPr>
                                    <w:rFonts w:asciiTheme="minorHAnsi" w:hAnsiTheme="minorHAnsi" w:cstheme="minorHAnsi"/>
                                    <w:color w:val="1E5FAA"/>
                                    <w:sz w:val="16"/>
                                    <w:szCs w:val="16"/>
                                    <w:lang w:val="en-US"/>
                                  </w:rPr>
                                  <w:fldChar w:fldCharType="end"/>
                                </w:r>
                              </w:p>
                            </w:tc>
                          </w:tr>
                        </w:tbl>
                        <w:p w:rsidR="00395867" w:rsidRPr="00F90B9E" w:rsidRDefault="00395867" w:rsidP="00AF465C">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9C5D5A" id="_x0000_t202" coordsize="21600,21600" o:spt="202" path="m,l,21600r21600,l21600,xe">
              <v:stroke joinstyle="miter"/>
              <v:path gradientshapeok="t" o:connecttype="rect"/>
            </v:shapetype>
            <v:shape id="Поле 26" o:spid="_x0000_s1042" type="#_x0000_t202" style="position:absolute;margin-left:91.7pt;margin-top:796.3pt;width:471.35pt;height:28.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" fillcolor="white [3212]" stroked="f" strokeweight=".5pt">
              <v:textbox inset="0,0,0,0">
                <w:txbxContent>
                  <w:tbl>
                    <w:tblPr>
                      <w:tblStyle w:val="ab"/>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5"/>
                      <w:gridCol w:w="675"/>
                    </w:tblGrid>
                    <w:tr w:rsidR="00395867" w:rsidTr="00AF465C">
                      <w:trPr>
                        <w:trHeight w:val="397"/>
                        <w:jc w:val="right"/>
                      </w:trPr>
                      <w:tc>
                        <w:tcPr>
                          <w:tcW w:w="8175" w:type="dxa"/>
                          <w:vAlign w:val="center"/>
                        </w:tcPr>
                        <w:p w:rsidR="00395867" w:rsidRPr="00AF465C" w:rsidRDefault="00395867" w:rsidP="00395867">
                          <w:pPr>
                            <w:jc w:val="right"/>
                            <w:rPr>
                              <w:rFonts w:asciiTheme="minorHAnsi" w:hAnsiTheme="minorHAnsi" w:cstheme="minorHAnsi"/>
                              <w:color w:val="1E5FAA"/>
                              <w:sz w:val="16"/>
                              <w:szCs w:val="16"/>
                              <w:lang w:val="en-US"/>
                            </w:rPr>
                          </w:pPr>
                          <w:r w:rsidRPr="00AF465C">
                            <w:rPr>
                              <w:rFonts w:asciiTheme="minorHAnsi" w:hAnsiTheme="minorHAnsi" w:cstheme="minorHAnsi"/>
                              <w:color w:val="1E5FAA"/>
                              <w:sz w:val="16"/>
                              <w:szCs w:val="16"/>
                              <w:lang w:val="en-US"/>
                            </w:rPr>
                            <w:t>Загальновживані терміни та ключові визначення при лікуванні лікарсько-стійкого ТБ</w:t>
                          </w:r>
                        </w:p>
                      </w:tc>
                      <w:tc>
                        <w:tcPr>
                          <w:tcW w:w="675" w:type="dxa"/>
                          <w:vAlign w:val="center"/>
                        </w:tcPr>
                        <w:p w:rsidR="00395867" w:rsidRPr="00AF465C" w:rsidRDefault="00395867" w:rsidP="00395867">
                          <w:pPr>
                            <w:jc w:val="right"/>
                            <w:rPr>
                              <w:rFonts w:asciiTheme="minorHAnsi" w:hAnsiTheme="minorHAnsi" w:cstheme="minorHAnsi"/>
                              <w:color w:val="1E5FAA"/>
                              <w:sz w:val="16"/>
                              <w:szCs w:val="16"/>
                              <w:lang w:val="en-US"/>
                            </w:rPr>
                          </w:pP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=-8+</w:instrText>
                          </w: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PAGE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instrText>11</w:instrText>
                          </w:r>
                          <w:r>
                            <w:rPr>
                              <w:rFonts w:asciiTheme="minorHAnsi" w:hAnsiTheme="minorHAnsi" w:cstheme="minorHAnsi"/>
                              <w:color w:val="1E5FAA"/>
                              <w:sz w:val="16"/>
                              <w:szCs w:val="16"/>
                              <w:lang w:val="en-US"/>
                            </w:rPr>
                            <w:fldChar w:fldCharType="end"/>
                          </w:r>
                          <w:r>
                            <w:rPr>
                              <w:rFonts w:asciiTheme="minorHAnsi" w:hAnsiTheme="minorHAnsi" w:cstheme="minorHAnsi"/>
                              <w:color w:val="1E5FAA"/>
                              <w:sz w:val="16"/>
                              <w:szCs w:val="16"/>
                              <w:lang w:val="en-US"/>
                            </w:rPr>
                            <w:instrText xml:space="preserv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t>3</w:t>
                          </w:r>
                          <w:r>
                            <w:rPr>
                              <w:rFonts w:asciiTheme="minorHAnsi" w:hAnsiTheme="minorHAnsi" w:cstheme="minorHAnsi"/>
                              <w:color w:val="1E5FAA"/>
                              <w:sz w:val="16"/>
                              <w:szCs w:val="16"/>
                              <w:lang w:val="en-US"/>
                            </w:rPr>
                            <w:fldChar w:fldCharType="end"/>
                          </w:r>
                        </w:p>
                      </w:tc>
                    </w:tr>
                  </w:tbl>
                  <w:p w:rsidR="00395867" w:rsidRPr="00F90B9E" w:rsidRDefault="00395867" w:rsidP="00AF465C">
                    <w:pPr>
                      <w:rPr>
                        <w:sz w:val="18"/>
                      </w:rPr>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867" w:rsidRDefault="00395867" w:rsidP="00AF465C">
    <w:pPr>
      <w:pStyle w:val="a9"/>
    </w:pPr>
    <w:r w:rsidRPr="00163C09">
      <w:rPr>
        <w:rFonts w:eastAsia="Times New Roman"/>
        <w:b/>
        <w:bCs/>
        <w:noProof/>
        <w:color w:val="000000"/>
        <w:sz w:val="2"/>
        <w:szCs w:val="2"/>
      </w:rPr>
      <mc:AlternateContent>
        <mc:Choice Requires="wps">
          <w:drawing>
            <wp:anchor distT="0" distB="0" distL="114300" distR="114300" simplePos="0" relativeHeight="251671552" behindDoc="0" locked="0" layoutInCell="1" allowOverlap="1" wp14:anchorId="2A440BE9" wp14:editId="0F89A584">
              <wp:simplePos x="0" y="0"/>
              <wp:positionH relativeFrom="page">
                <wp:posOffset>1164771</wp:posOffset>
              </wp:positionH>
              <wp:positionV relativeFrom="page">
                <wp:posOffset>10112829</wp:posOffset>
              </wp:positionV>
              <wp:extent cx="5986236" cy="363220"/>
              <wp:effectExtent l="0" t="0" r="0" b="0"/>
              <wp:wrapNone/>
              <wp:docPr id="29" name="Поле 29"/>
              <wp:cNvGraphicFramePr/>
              <a:graphic xmlns:a="http://schemas.openxmlformats.org/drawingml/2006/main">
                <a:graphicData uri="http://schemas.microsoft.com/office/word/2010/wordprocessingShape">
                  <wps:wsp>
                    <wps:cNvSpPr txBox="1"/>
                    <wps:spPr>
                      <a:xfrm>
                        <a:off x="0" y="0"/>
                        <a:ext cx="5986236" cy="3632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5"/>
                            <w:gridCol w:w="675"/>
                          </w:tblGrid>
                          <w:tr w:rsidR="00395867" w:rsidTr="00AF465C">
                            <w:trPr>
                              <w:trHeight w:val="397"/>
                              <w:jc w:val="right"/>
                            </w:trPr>
                            <w:tc>
                              <w:tcPr>
                                <w:tcW w:w="8175" w:type="dxa"/>
                                <w:vAlign w:val="center"/>
                              </w:tcPr>
                              <w:p w:rsidR="00395867" w:rsidRPr="00AF465C" w:rsidRDefault="00395867" w:rsidP="00395867">
                                <w:pPr>
                                  <w:jc w:val="right"/>
                                  <w:rPr>
                                    <w:rFonts w:asciiTheme="minorHAnsi" w:hAnsiTheme="minorHAnsi" w:cstheme="minorHAnsi"/>
                                    <w:color w:val="1E5FAA"/>
                                    <w:sz w:val="16"/>
                                    <w:szCs w:val="16"/>
                                    <w:lang w:val="ru-RU"/>
                                  </w:rPr>
                                </w:pPr>
                                <w:r w:rsidRPr="00AF465C">
                                  <w:rPr>
                                    <w:rFonts w:asciiTheme="minorHAnsi" w:hAnsiTheme="minorHAnsi" w:cstheme="minorHAnsi"/>
                                    <w:color w:val="1E5FAA"/>
                                    <w:sz w:val="16"/>
                                    <w:szCs w:val="16"/>
                                    <w:lang w:val="ru-RU"/>
                                  </w:rPr>
                                  <w:t>Головні особливості при лікуванні лікарсько-стійкого ТБ</w:t>
                                </w:r>
                              </w:p>
                            </w:tc>
                            <w:tc>
                              <w:tcPr>
                                <w:tcW w:w="675" w:type="dxa"/>
                                <w:vAlign w:val="center"/>
                              </w:tcPr>
                              <w:p w:rsidR="00395867" w:rsidRPr="00AF465C" w:rsidRDefault="00395867" w:rsidP="00395867">
                                <w:pPr>
                                  <w:jc w:val="right"/>
                                  <w:rPr>
                                    <w:rFonts w:asciiTheme="minorHAnsi" w:hAnsiTheme="minorHAnsi" w:cstheme="minorHAnsi"/>
                                    <w:color w:val="1E5FAA"/>
                                    <w:sz w:val="16"/>
                                    <w:szCs w:val="16"/>
                                    <w:lang w:val="en-US"/>
                                  </w:rPr>
                                </w:pP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=-8+</w:instrText>
                                </w: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PAGE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instrText>15</w:instrText>
                                </w:r>
                                <w:r>
                                  <w:rPr>
                                    <w:rFonts w:asciiTheme="minorHAnsi" w:hAnsiTheme="minorHAnsi" w:cstheme="minorHAnsi"/>
                                    <w:color w:val="1E5FAA"/>
                                    <w:sz w:val="16"/>
                                    <w:szCs w:val="16"/>
                                    <w:lang w:val="en-US"/>
                                  </w:rPr>
                                  <w:fldChar w:fldCharType="end"/>
                                </w:r>
                                <w:r>
                                  <w:rPr>
                                    <w:rFonts w:asciiTheme="minorHAnsi" w:hAnsiTheme="minorHAnsi" w:cstheme="minorHAnsi"/>
                                    <w:color w:val="1E5FAA"/>
                                    <w:sz w:val="16"/>
                                    <w:szCs w:val="16"/>
                                    <w:lang w:val="en-US"/>
                                  </w:rPr>
                                  <w:instrText xml:space="preserv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t>7</w:t>
                                </w:r>
                                <w:r>
                                  <w:rPr>
                                    <w:rFonts w:asciiTheme="minorHAnsi" w:hAnsiTheme="minorHAnsi" w:cstheme="minorHAnsi"/>
                                    <w:color w:val="1E5FAA"/>
                                    <w:sz w:val="16"/>
                                    <w:szCs w:val="16"/>
                                    <w:lang w:val="en-US"/>
                                  </w:rPr>
                                  <w:fldChar w:fldCharType="end"/>
                                </w:r>
                              </w:p>
                            </w:tc>
                          </w:tr>
                        </w:tbl>
                        <w:p w:rsidR="00395867" w:rsidRPr="00F90B9E" w:rsidRDefault="00395867" w:rsidP="00AF465C">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440BE9" id="_x0000_t202" coordsize="21600,21600" o:spt="202" path="m,l,21600r21600,l21600,xe">
              <v:stroke joinstyle="miter"/>
              <v:path gradientshapeok="t" o:connecttype="rect"/>
            </v:shapetype>
            <v:shape id="Поле 29" o:spid="_x0000_s1043" type="#_x0000_t202" style="position:absolute;margin-left:91.7pt;margin-top:796.3pt;width:471.35pt;height:28.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" fillcolor="white [3212]" stroked="f" strokeweight=".5pt">
              <v:textbox inset="0,0,0,0">
                <w:txbxContent>
                  <w:tbl>
                    <w:tblPr>
                      <w:tblStyle w:val="ab"/>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5"/>
                      <w:gridCol w:w="675"/>
                    </w:tblGrid>
                    <w:tr w:rsidR="00395867" w:rsidTr="00AF465C">
                      <w:trPr>
                        <w:trHeight w:val="397"/>
                        <w:jc w:val="right"/>
                      </w:trPr>
                      <w:tc>
                        <w:tcPr>
                          <w:tcW w:w="8175" w:type="dxa"/>
                          <w:vAlign w:val="center"/>
                        </w:tcPr>
                        <w:p w:rsidR="00395867" w:rsidRPr="00AF465C" w:rsidRDefault="00395867" w:rsidP="00395867">
                          <w:pPr>
                            <w:jc w:val="right"/>
                            <w:rPr>
                              <w:rFonts w:asciiTheme="minorHAnsi" w:hAnsiTheme="minorHAnsi" w:cstheme="minorHAnsi"/>
                              <w:color w:val="1E5FAA"/>
                              <w:sz w:val="16"/>
                              <w:szCs w:val="16"/>
                              <w:lang w:val="ru-RU"/>
                            </w:rPr>
                          </w:pPr>
                          <w:r w:rsidRPr="00AF465C">
                            <w:rPr>
                              <w:rFonts w:asciiTheme="minorHAnsi" w:hAnsiTheme="minorHAnsi" w:cstheme="minorHAnsi"/>
                              <w:color w:val="1E5FAA"/>
                              <w:sz w:val="16"/>
                              <w:szCs w:val="16"/>
                              <w:lang w:val="ru-RU"/>
                            </w:rPr>
                            <w:t>Головні особливості при лікуванні лікарсько-стійкого ТБ</w:t>
                          </w:r>
                        </w:p>
                      </w:tc>
                      <w:tc>
                        <w:tcPr>
                          <w:tcW w:w="675" w:type="dxa"/>
                          <w:vAlign w:val="center"/>
                        </w:tcPr>
                        <w:p w:rsidR="00395867" w:rsidRPr="00AF465C" w:rsidRDefault="00395867" w:rsidP="00395867">
                          <w:pPr>
                            <w:jc w:val="right"/>
                            <w:rPr>
                              <w:rFonts w:asciiTheme="minorHAnsi" w:hAnsiTheme="minorHAnsi" w:cstheme="minorHAnsi"/>
                              <w:color w:val="1E5FAA"/>
                              <w:sz w:val="16"/>
                              <w:szCs w:val="16"/>
                              <w:lang w:val="en-US"/>
                            </w:rPr>
                          </w:pP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=-8+</w:instrText>
                          </w: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PAGE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instrText>15</w:instrText>
                          </w:r>
                          <w:r>
                            <w:rPr>
                              <w:rFonts w:asciiTheme="minorHAnsi" w:hAnsiTheme="minorHAnsi" w:cstheme="minorHAnsi"/>
                              <w:color w:val="1E5FAA"/>
                              <w:sz w:val="16"/>
                              <w:szCs w:val="16"/>
                              <w:lang w:val="en-US"/>
                            </w:rPr>
                            <w:fldChar w:fldCharType="end"/>
                          </w:r>
                          <w:r>
                            <w:rPr>
                              <w:rFonts w:asciiTheme="minorHAnsi" w:hAnsiTheme="minorHAnsi" w:cstheme="minorHAnsi"/>
                              <w:color w:val="1E5FAA"/>
                              <w:sz w:val="16"/>
                              <w:szCs w:val="16"/>
                              <w:lang w:val="en-US"/>
                            </w:rPr>
                            <w:instrText xml:space="preserv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t>7</w:t>
                          </w:r>
                          <w:r>
                            <w:rPr>
                              <w:rFonts w:asciiTheme="minorHAnsi" w:hAnsiTheme="minorHAnsi" w:cstheme="minorHAnsi"/>
                              <w:color w:val="1E5FAA"/>
                              <w:sz w:val="16"/>
                              <w:szCs w:val="16"/>
                              <w:lang w:val="en-US"/>
                            </w:rPr>
                            <w:fldChar w:fldCharType="end"/>
                          </w:r>
                        </w:p>
                      </w:tc>
                    </w:tr>
                  </w:tbl>
                  <w:p w:rsidR="00395867" w:rsidRPr="00F90B9E" w:rsidRDefault="00395867" w:rsidP="00AF465C">
                    <w:pPr>
                      <w:rPr>
                        <w:sz w:val="18"/>
                      </w:rPr>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867" w:rsidRDefault="00395867" w:rsidP="00AF465C">
    <w:pPr>
      <w:pStyle w:val="a9"/>
    </w:pPr>
    <w:r w:rsidRPr="00163C09">
      <w:rPr>
        <w:rFonts w:eastAsia="Times New Roman"/>
        <w:b/>
        <w:bCs/>
        <w:noProof/>
        <w:color w:val="000000"/>
        <w:sz w:val="2"/>
        <w:szCs w:val="2"/>
      </w:rPr>
      <mc:AlternateContent>
        <mc:Choice Requires="wps">
          <w:drawing>
            <wp:anchor distT="0" distB="0" distL="114300" distR="114300" simplePos="0" relativeHeight="251673600" behindDoc="0" locked="0" layoutInCell="1" allowOverlap="1" wp14:anchorId="42036F15" wp14:editId="18C95338">
              <wp:simplePos x="0" y="0"/>
              <wp:positionH relativeFrom="page">
                <wp:posOffset>1164771</wp:posOffset>
              </wp:positionH>
              <wp:positionV relativeFrom="page">
                <wp:posOffset>10112829</wp:posOffset>
              </wp:positionV>
              <wp:extent cx="5986236" cy="363220"/>
              <wp:effectExtent l="0" t="0" r="0" b="0"/>
              <wp:wrapNone/>
              <wp:docPr id="31" name="Поле 31"/>
              <wp:cNvGraphicFramePr/>
              <a:graphic xmlns:a="http://schemas.openxmlformats.org/drawingml/2006/main">
                <a:graphicData uri="http://schemas.microsoft.com/office/word/2010/wordprocessingShape">
                  <wps:wsp>
                    <wps:cNvSpPr txBox="1"/>
                    <wps:spPr>
                      <a:xfrm>
                        <a:off x="0" y="0"/>
                        <a:ext cx="5986236" cy="3632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5"/>
                            <w:gridCol w:w="675"/>
                          </w:tblGrid>
                          <w:tr w:rsidR="00395867" w:rsidTr="00AF465C">
                            <w:trPr>
                              <w:trHeight w:val="397"/>
                              <w:jc w:val="right"/>
                            </w:trPr>
                            <w:tc>
                              <w:tcPr>
                                <w:tcW w:w="8175" w:type="dxa"/>
                                <w:vAlign w:val="center"/>
                              </w:tcPr>
                              <w:p w:rsidR="00395867" w:rsidRPr="00AF465C" w:rsidRDefault="00395867" w:rsidP="00395867">
                                <w:pPr>
                                  <w:jc w:val="right"/>
                                  <w:rPr>
                                    <w:rFonts w:asciiTheme="minorHAnsi" w:hAnsiTheme="minorHAnsi" w:cstheme="minorHAnsi"/>
                                    <w:color w:val="1E5FAA"/>
                                    <w:sz w:val="16"/>
                                    <w:szCs w:val="16"/>
                                    <w:lang w:val="ru-RU"/>
                                  </w:rPr>
                                </w:pPr>
                                <w:r w:rsidRPr="00AF465C">
                                  <w:rPr>
                                    <w:rFonts w:asciiTheme="minorHAnsi" w:hAnsiTheme="minorHAnsi" w:cstheme="minorHAnsi"/>
                                    <w:color w:val="1E5FAA"/>
                                    <w:sz w:val="16"/>
                                    <w:szCs w:val="16"/>
                                    <w:lang w:val="ru-RU"/>
                                  </w:rPr>
                                  <w:t>Схема лікування чутливого до рифампіцину та стійкого до ізоніазиду ТБ</w:t>
                                </w:r>
                              </w:p>
                            </w:tc>
                            <w:tc>
                              <w:tcPr>
                                <w:tcW w:w="675" w:type="dxa"/>
                                <w:vAlign w:val="center"/>
                              </w:tcPr>
                              <w:p w:rsidR="00395867" w:rsidRPr="00AF465C" w:rsidRDefault="00395867" w:rsidP="00395867">
                                <w:pPr>
                                  <w:jc w:val="right"/>
                                  <w:rPr>
                                    <w:rFonts w:asciiTheme="minorHAnsi" w:hAnsiTheme="minorHAnsi" w:cstheme="minorHAnsi"/>
                                    <w:color w:val="1E5FAA"/>
                                    <w:sz w:val="16"/>
                                    <w:szCs w:val="16"/>
                                    <w:lang w:val="en-US"/>
                                  </w:rPr>
                                </w:pP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=-8+</w:instrText>
                                </w: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PAGE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instrText>21</w:instrText>
                                </w:r>
                                <w:r>
                                  <w:rPr>
                                    <w:rFonts w:asciiTheme="minorHAnsi" w:hAnsiTheme="minorHAnsi" w:cstheme="minorHAnsi"/>
                                    <w:color w:val="1E5FAA"/>
                                    <w:sz w:val="16"/>
                                    <w:szCs w:val="16"/>
                                    <w:lang w:val="en-US"/>
                                  </w:rPr>
                                  <w:fldChar w:fldCharType="end"/>
                                </w:r>
                                <w:r>
                                  <w:rPr>
                                    <w:rFonts w:asciiTheme="minorHAnsi" w:hAnsiTheme="minorHAnsi" w:cstheme="minorHAnsi"/>
                                    <w:color w:val="1E5FAA"/>
                                    <w:sz w:val="16"/>
                                    <w:szCs w:val="16"/>
                                    <w:lang w:val="en-US"/>
                                  </w:rPr>
                                  <w:instrText xml:space="preserv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t>13</w:t>
                                </w:r>
                                <w:r>
                                  <w:rPr>
                                    <w:rFonts w:asciiTheme="minorHAnsi" w:hAnsiTheme="minorHAnsi" w:cstheme="minorHAnsi"/>
                                    <w:color w:val="1E5FAA"/>
                                    <w:sz w:val="16"/>
                                    <w:szCs w:val="16"/>
                                    <w:lang w:val="en-US"/>
                                  </w:rPr>
                                  <w:fldChar w:fldCharType="end"/>
                                </w:r>
                              </w:p>
                            </w:tc>
                          </w:tr>
                        </w:tbl>
                        <w:p w:rsidR="00395867" w:rsidRPr="00F90B9E" w:rsidRDefault="00395867" w:rsidP="00AF465C">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036F15" id="_x0000_t202" coordsize="21600,21600" o:spt="202" path="m,l,21600r21600,l21600,xe">
              <v:stroke joinstyle="miter"/>
              <v:path gradientshapeok="t" o:connecttype="rect"/>
            </v:shapetype>
            <v:shape id="Поле 31" o:spid="_x0000_s1044" type="#_x0000_t202" style="position:absolute;margin-left:91.7pt;margin-top:796.3pt;width:471.35pt;height:28.6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" fillcolor="white [3212]" stroked="f" strokeweight=".5pt">
              <v:textbox inset="0,0,0,0">
                <w:txbxContent>
                  <w:tbl>
                    <w:tblPr>
                      <w:tblStyle w:val="ab"/>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5"/>
                      <w:gridCol w:w="675"/>
                    </w:tblGrid>
                    <w:tr w:rsidR="00395867" w:rsidTr="00AF465C">
                      <w:trPr>
                        <w:trHeight w:val="397"/>
                        <w:jc w:val="right"/>
                      </w:trPr>
                      <w:tc>
                        <w:tcPr>
                          <w:tcW w:w="8175" w:type="dxa"/>
                          <w:vAlign w:val="center"/>
                        </w:tcPr>
                        <w:p w:rsidR="00395867" w:rsidRPr="00AF465C" w:rsidRDefault="00395867" w:rsidP="00395867">
                          <w:pPr>
                            <w:jc w:val="right"/>
                            <w:rPr>
                              <w:rFonts w:asciiTheme="minorHAnsi" w:hAnsiTheme="minorHAnsi" w:cstheme="minorHAnsi"/>
                              <w:color w:val="1E5FAA"/>
                              <w:sz w:val="16"/>
                              <w:szCs w:val="16"/>
                              <w:lang w:val="ru-RU"/>
                            </w:rPr>
                          </w:pPr>
                          <w:r w:rsidRPr="00AF465C">
                            <w:rPr>
                              <w:rFonts w:asciiTheme="minorHAnsi" w:hAnsiTheme="minorHAnsi" w:cstheme="minorHAnsi"/>
                              <w:color w:val="1E5FAA"/>
                              <w:sz w:val="16"/>
                              <w:szCs w:val="16"/>
                              <w:lang w:val="ru-RU"/>
                            </w:rPr>
                            <w:t>Схема лікування чутливого до рифампіцину та стійкого до ізоніазиду ТБ</w:t>
                          </w:r>
                        </w:p>
                      </w:tc>
                      <w:tc>
                        <w:tcPr>
                          <w:tcW w:w="675" w:type="dxa"/>
                          <w:vAlign w:val="center"/>
                        </w:tcPr>
                        <w:p w:rsidR="00395867" w:rsidRPr="00AF465C" w:rsidRDefault="00395867" w:rsidP="00395867">
                          <w:pPr>
                            <w:jc w:val="right"/>
                            <w:rPr>
                              <w:rFonts w:asciiTheme="minorHAnsi" w:hAnsiTheme="minorHAnsi" w:cstheme="minorHAnsi"/>
                              <w:color w:val="1E5FAA"/>
                              <w:sz w:val="16"/>
                              <w:szCs w:val="16"/>
                              <w:lang w:val="en-US"/>
                            </w:rPr>
                          </w:pP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=-8+</w:instrText>
                          </w: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PAGE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instrText>21</w:instrText>
                          </w:r>
                          <w:r>
                            <w:rPr>
                              <w:rFonts w:asciiTheme="minorHAnsi" w:hAnsiTheme="minorHAnsi" w:cstheme="minorHAnsi"/>
                              <w:color w:val="1E5FAA"/>
                              <w:sz w:val="16"/>
                              <w:szCs w:val="16"/>
                              <w:lang w:val="en-US"/>
                            </w:rPr>
                            <w:fldChar w:fldCharType="end"/>
                          </w:r>
                          <w:r>
                            <w:rPr>
                              <w:rFonts w:asciiTheme="minorHAnsi" w:hAnsiTheme="minorHAnsi" w:cstheme="minorHAnsi"/>
                              <w:color w:val="1E5FAA"/>
                              <w:sz w:val="16"/>
                              <w:szCs w:val="16"/>
                              <w:lang w:val="en-US"/>
                            </w:rPr>
                            <w:instrText xml:space="preserv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t>13</w:t>
                          </w:r>
                          <w:r>
                            <w:rPr>
                              <w:rFonts w:asciiTheme="minorHAnsi" w:hAnsiTheme="minorHAnsi" w:cstheme="minorHAnsi"/>
                              <w:color w:val="1E5FAA"/>
                              <w:sz w:val="16"/>
                              <w:szCs w:val="16"/>
                              <w:lang w:val="en-US"/>
                            </w:rPr>
                            <w:fldChar w:fldCharType="end"/>
                          </w:r>
                        </w:p>
                      </w:tc>
                    </w:tr>
                  </w:tbl>
                  <w:p w:rsidR="00395867" w:rsidRPr="00F90B9E" w:rsidRDefault="00395867" w:rsidP="00AF465C">
                    <w:pPr>
                      <w:rPr>
                        <w:sz w:val="18"/>
                      </w:rPr>
                    </w:pP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867" w:rsidRDefault="00395867" w:rsidP="00AF465C">
    <w:pPr>
      <w:pStyle w:val="a9"/>
    </w:pPr>
    <w:r w:rsidRPr="00163C09">
      <w:rPr>
        <w:rFonts w:eastAsia="Times New Roman"/>
        <w:b/>
        <w:bCs/>
        <w:noProof/>
        <w:color w:val="000000"/>
        <w:sz w:val="2"/>
        <w:szCs w:val="2"/>
      </w:rPr>
      <mc:AlternateContent>
        <mc:Choice Requires="wps">
          <w:drawing>
            <wp:anchor distT="0" distB="0" distL="114300" distR="114300" simplePos="0" relativeHeight="251675648" behindDoc="0" locked="0" layoutInCell="1" allowOverlap="1" wp14:anchorId="1A2F8AD5" wp14:editId="2CEDCA39">
              <wp:simplePos x="0" y="0"/>
              <wp:positionH relativeFrom="page">
                <wp:posOffset>1164771</wp:posOffset>
              </wp:positionH>
              <wp:positionV relativeFrom="page">
                <wp:posOffset>10112829</wp:posOffset>
              </wp:positionV>
              <wp:extent cx="5986236" cy="363220"/>
              <wp:effectExtent l="0" t="0" r="0" b="0"/>
              <wp:wrapNone/>
              <wp:docPr id="64" name="Поле 64"/>
              <wp:cNvGraphicFramePr/>
              <a:graphic xmlns:a="http://schemas.openxmlformats.org/drawingml/2006/main">
                <a:graphicData uri="http://schemas.microsoft.com/office/word/2010/wordprocessingShape">
                  <wps:wsp>
                    <wps:cNvSpPr txBox="1"/>
                    <wps:spPr>
                      <a:xfrm>
                        <a:off x="0" y="0"/>
                        <a:ext cx="5986236" cy="3632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5"/>
                            <w:gridCol w:w="675"/>
                          </w:tblGrid>
                          <w:tr w:rsidR="00395867" w:rsidTr="00AF465C">
                            <w:trPr>
                              <w:trHeight w:val="397"/>
                              <w:jc w:val="right"/>
                            </w:trPr>
                            <w:tc>
                              <w:tcPr>
                                <w:tcW w:w="8175" w:type="dxa"/>
                                <w:vAlign w:val="center"/>
                              </w:tcPr>
                              <w:p w:rsidR="00395867" w:rsidRPr="00AF465C" w:rsidRDefault="00395867" w:rsidP="00395867">
                                <w:pPr>
                                  <w:jc w:val="right"/>
                                  <w:rPr>
                                    <w:rFonts w:asciiTheme="minorHAnsi" w:hAnsiTheme="minorHAnsi" w:cstheme="minorHAnsi"/>
                                    <w:color w:val="1E5FAA"/>
                                    <w:sz w:val="16"/>
                                    <w:szCs w:val="16"/>
                                    <w:lang w:val="ru-RU"/>
                                  </w:rPr>
                                </w:pPr>
                                <w:r w:rsidRPr="00145FBD">
                                  <w:rPr>
                                    <w:rFonts w:asciiTheme="minorHAnsi" w:hAnsiTheme="minorHAnsi" w:cstheme="minorHAnsi"/>
                                    <w:color w:val="1E5FAA"/>
                                    <w:sz w:val="16"/>
                                    <w:szCs w:val="16"/>
                                    <w:lang w:val="ru-RU"/>
                                  </w:rPr>
                                  <w:t>Короткострокова пероральна бедаквіліновмісна схема лікування МР/Риф-ТБ</w:t>
                                </w:r>
                              </w:p>
                            </w:tc>
                            <w:tc>
                              <w:tcPr>
                                <w:tcW w:w="675" w:type="dxa"/>
                                <w:vAlign w:val="center"/>
                              </w:tcPr>
                              <w:p w:rsidR="00395867" w:rsidRPr="00AF465C" w:rsidRDefault="00395867" w:rsidP="00395867">
                                <w:pPr>
                                  <w:jc w:val="right"/>
                                  <w:rPr>
                                    <w:rFonts w:asciiTheme="minorHAnsi" w:hAnsiTheme="minorHAnsi" w:cstheme="minorHAnsi"/>
                                    <w:color w:val="1E5FAA"/>
                                    <w:sz w:val="16"/>
                                    <w:szCs w:val="16"/>
                                    <w:lang w:val="en-US"/>
                                  </w:rPr>
                                </w:pP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=-8+</w:instrText>
                                </w: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PAGE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instrText>27</w:instrText>
                                </w:r>
                                <w:r>
                                  <w:rPr>
                                    <w:rFonts w:asciiTheme="minorHAnsi" w:hAnsiTheme="minorHAnsi" w:cstheme="minorHAnsi"/>
                                    <w:color w:val="1E5FAA"/>
                                    <w:sz w:val="16"/>
                                    <w:szCs w:val="16"/>
                                    <w:lang w:val="en-US"/>
                                  </w:rPr>
                                  <w:fldChar w:fldCharType="end"/>
                                </w:r>
                                <w:r>
                                  <w:rPr>
                                    <w:rFonts w:asciiTheme="minorHAnsi" w:hAnsiTheme="minorHAnsi" w:cstheme="minorHAnsi"/>
                                    <w:color w:val="1E5FAA"/>
                                    <w:sz w:val="16"/>
                                    <w:szCs w:val="16"/>
                                    <w:lang w:val="en-US"/>
                                  </w:rPr>
                                  <w:instrText xml:space="preserv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t>19</w:t>
                                </w:r>
                                <w:r>
                                  <w:rPr>
                                    <w:rFonts w:asciiTheme="minorHAnsi" w:hAnsiTheme="minorHAnsi" w:cstheme="minorHAnsi"/>
                                    <w:color w:val="1E5FAA"/>
                                    <w:sz w:val="16"/>
                                    <w:szCs w:val="16"/>
                                    <w:lang w:val="en-US"/>
                                  </w:rPr>
                                  <w:fldChar w:fldCharType="end"/>
                                </w:r>
                              </w:p>
                            </w:tc>
                          </w:tr>
                        </w:tbl>
                        <w:p w:rsidR="00395867" w:rsidRPr="00F90B9E" w:rsidRDefault="00395867" w:rsidP="00AF465C">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2F8AD5" id="_x0000_t202" coordsize="21600,21600" o:spt="202" path="m,l,21600r21600,l21600,xe">
              <v:stroke joinstyle="miter"/>
              <v:path gradientshapeok="t" o:connecttype="rect"/>
            </v:shapetype>
            <v:shape id="Поле 64" o:spid="_x0000_s1045" type="#_x0000_t202" style="position:absolute;margin-left:91.7pt;margin-top:796.3pt;width:471.35pt;height:28.6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" fillcolor="white [3212]" stroked="f" strokeweight=".5pt">
              <v:textbox inset="0,0,0,0">
                <w:txbxContent>
                  <w:tbl>
                    <w:tblPr>
                      <w:tblStyle w:val="ab"/>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5"/>
                      <w:gridCol w:w="675"/>
                    </w:tblGrid>
                    <w:tr w:rsidR="00395867" w:rsidTr="00AF465C">
                      <w:trPr>
                        <w:trHeight w:val="397"/>
                        <w:jc w:val="right"/>
                      </w:trPr>
                      <w:tc>
                        <w:tcPr>
                          <w:tcW w:w="8175" w:type="dxa"/>
                          <w:vAlign w:val="center"/>
                        </w:tcPr>
                        <w:p w:rsidR="00395867" w:rsidRPr="00AF465C" w:rsidRDefault="00395867" w:rsidP="00395867">
                          <w:pPr>
                            <w:jc w:val="right"/>
                            <w:rPr>
                              <w:rFonts w:asciiTheme="minorHAnsi" w:hAnsiTheme="minorHAnsi" w:cstheme="minorHAnsi"/>
                              <w:color w:val="1E5FAA"/>
                              <w:sz w:val="16"/>
                              <w:szCs w:val="16"/>
                              <w:lang w:val="ru-RU"/>
                            </w:rPr>
                          </w:pPr>
                          <w:r w:rsidRPr="00145FBD">
                            <w:rPr>
                              <w:rFonts w:asciiTheme="minorHAnsi" w:hAnsiTheme="minorHAnsi" w:cstheme="minorHAnsi"/>
                              <w:color w:val="1E5FAA"/>
                              <w:sz w:val="16"/>
                              <w:szCs w:val="16"/>
                              <w:lang w:val="ru-RU"/>
                            </w:rPr>
                            <w:t>Короткострокова пероральна бедаквіліновмісна схема лікування МР/Риф-ТБ</w:t>
                          </w:r>
                        </w:p>
                      </w:tc>
                      <w:tc>
                        <w:tcPr>
                          <w:tcW w:w="675" w:type="dxa"/>
                          <w:vAlign w:val="center"/>
                        </w:tcPr>
                        <w:p w:rsidR="00395867" w:rsidRPr="00AF465C" w:rsidRDefault="00395867" w:rsidP="00395867">
                          <w:pPr>
                            <w:jc w:val="right"/>
                            <w:rPr>
                              <w:rFonts w:asciiTheme="minorHAnsi" w:hAnsiTheme="minorHAnsi" w:cstheme="minorHAnsi"/>
                              <w:color w:val="1E5FAA"/>
                              <w:sz w:val="16"/>
                              <w:szCs w:val="16"/>
                              <w:lang w:val="en-US"/>
                            </w:rPr>
                          </w:pP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=-8+</w:instrText>
                          </w: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PAGE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instrText>27</w:instrText>
                          </w:r>
                          <w:r>
                            <w:rPr>
                              <w:rFonts w:asciiTheme="minorHAnsi" w:hAnsiTheme="minorHAnsi" w:cstheme="minorHAnsi"/>
                              <w:color w:val="1E5FAA"/>
                              <w:sz w:val="16"/>
                              <w:szCs w:val="16"/>
                              <w:lang w:val="en-US"/>
                            </w:rPr>
                            <w:fldChar w:fldCharType="end"/>
                          </w:r>
                          <w:r>
                            <w:rPr>
                              <w:rFonts w:asciiTheme="minorHAnsi" w:hAnsiTheme="minorHAnsi" w:cstheme="minorHAnsi"/>
                              <w:color w:val="1E5FAA"/>
                              <w:sz w:val="16"/>
                              <w:szCs w:val="16"/>
                              <w:lang w:val="en-US"/>
                            </w:rPr>
                            <w:instrText xml:space="preserv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t>19</w:t>
                          </w:r>
                          <w:r>
                            <w:rPr>
                              <w:rFonts w:asciiTheme="minorHAnsi" w:hAnsiTheme="minorHAnsi" w:cstheme="minorHAnsi"/>
                              <w:color w:val="1E5FAA"/>
                              <w:sz w:val="16"/>
                              <w:szCs w:val="16"/>
                              <w:lang w:val="en-US"/>
                            </w:rPr>
                            <w:fldChar w:fldCharType="end"/>
                          </w:r>
                        </w:p>
                      </w:tc>
                    </w:tr>
                  </w:tbl>
                  <w:p w:rsidR="00395867" w:rsidRPr="00F90B9E" w:rsidRDefault="00395867" w:rsidP="00AF465C">
                    <w:pPr>
                      <w:rPr>
                        <w:sz w:val="18"/>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7DCB" w:rsidRDefault="00777DCB" w:rsidP="000344A4">
      <w:r>
        <w:separator/>
      </w:r>
    </w:p>
  </w:footnote>
  <w:footnote w:type="continuationSeparator" w:id="0">
    <w:p w:rsidR="00777DCB" w:rsidRDefault="00777DCB" w:rsidP="000344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867" w:rsidRDefault="00395867">
    <w:pPr>
      <w:pStyle w:val="a6"/>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867" w:rsidRDefault="00395867">
    <w:pPr>
      <w:pStyle w:val="a6"/>
    </w:pPr>
    <w:r w:rsidRPr="00650199">
      <w:rPr>
        <w:rFonts w:asciiTheme="minorHAnsi" w:eastAsia="Times New Roman" w:hAnsiTheme="minorHAnsi" w:cstheme="minorHAnsi"/>
        <w:b/>
        <w:bCs/>
        <w:noProof/>
        <w:color w:val="000000"/>
        <w:sz w:val="2"/>
        <w:szCs w:val="2"/>
      </w:rPr>
      <mc:AlternateContent>
        <mc:Choice Requires="wps">
          <w:drawing>
            <wp:anchor distT="0" distB="0" distL="114300" distR="114300" simplePos="0" relativeHeight="251706368" behindDoc="0" locked="0" layoutInCell="1" allowOverlap="1" wp14:anchorId="6F0D0084" wp14:editId="60D9CC0D">
              <wp:simplePos x="0" y="0"/>
              <wp:positionH relativeFrom="page">
                <wp:posOffset>339188</wp:posOffset>
              </wp:positionH>
              <wp:positionV relativeFrom="page">
                <wp:posOffset>2936875</wp:posOffset>
              </wp:positionV>
              <wp:extent cx="457200" cy="4410159"/>
              <wp:effectExtent l="0" t="0" r="0" b="9525"/>
              <wp:wrapNone/>
              <wp:docPr id="93" name="Поле 93"/>
              <wp:cNvGraphicFramePr/>
              <a:graphic xmlns:a="http://schemas.openxmlformats.org/drawingml/2006/main">
                <a:graphicData uri="http://schemas.microsoft.com/office/word/2010/wordprocessingShape">
                  <wps:wsp>
                    <wps:cNvSpPr txBox="1"/>
                    <wps:spPr>
                      <a:xfrm>
                        <a:off x="0" y="0"/>
                        <a:ext cx="457200" cy="441015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
                          </w:tblGrid>
                          <w:tr w:rsidR="00395867" w:rsidTr="00395867">
                            <w:trPr>
                              <w:cantSplit/>
                              <w:trHeight w:val="6231"/>
                              <w:jc w:val="center"/>
                            </w:trPr>
                            <w:tc>
                              <w:tcPr>
                                <w:tcW w:w="624" w:type="dxa"/>
                                <w:textDirection w:val="tbRl"/>
                                <w:vAlign w:val="center"/>
                              </w:tcPr>
                              <w:p w:rsidR="00395867" w:rsidRPr="00395867" w:rsidRDefault="00395867" w:rsidP="00395867">
                                <w:pPr>
                                  <w:ind w:left="57"/>
                                  <w:jc w:val="right"/>
                                  <w:rPr>
                                    <w:rFonts w:asciiTheme="minorHAnsi" w:hAnsiTheme="minorHAnsi" w:cstheme="minorHAnsi"/>
                                    <w:color w:val="1E5FAA"/>
                                    <w:sz w:val="16"/>
                                    <w:szCs w:val="16"/>
                                  </w:rPr>
                                </w:pPr>
                                <w:r w:rsidRPr="00395867">
                                  <w:rPr>
                                    <w:rFonts w:asciiTheme="minorHAnsi" w:hAnsiTheme="minorHAnsi" w:cstheme="minorHAnsi"/>
                                    <w:color w:val="1E5FAA"/>
                                    <w:sz w:val="16"/>
                                    <w:szCs w:val="16"/>
                                    <w:lang w:val="ru-RU"/>
                                  </w:rPr>
                                  <w:t>Додаток I: Дозування за ваговою категорією для лікарських препаратів, що застосовуються у схемах лікування мультирезистентного ТБ, для дорослих та дітей</w:t>
                                </w:r>
                              </w:p>
                            </w:tc>
                          </w:tr>
                          <w:tr w:rsidR="00395867" w:rsidTr="00395867">
                            <w:trPr>
                              <w:cantSplit/>
                              <w:trHeight w:val="567"/>
                              <w:jc w:val="center"/>
                            </w:trPr>
                            <w:tc>
                              <w:tcPr>
                                <w:tcW w:w="624" w:type="dxa"/>
                                <w:textDirection w:val="tbRl"/>
                                <w:vAlign w:val="center"/>
                              </w:tcPr>
                              <w:p w:rsidR="00395867" w:rsidRPr="00395867" w:rsidRDefault="00395867" w:rsidP="00395867">
                                <w:pPr>
                                  <w:ind w:left="57"/>
                                  <w:jc w:val="right"/>
                                  <w:rPr>
                                    <w:rFonts w:asciiTheme="minorHAnsi" w:hAnsiTheme="minorHAnsi" w:cstheme="minorHAnsi"/>
                                    <w:color w:val="1E5FAA"/>
                                    <w:sz w:val="16"/>
                                    <w:szCs w:val="16"/>
                                  </w:rPr>
                                </w:pP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=-8+</w:instrText>
                                </w: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PAGE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instrText>83</w:instrText>
                                </w:r>
                                <w:r>
                                  <w:rPr>
                                    <w:rFonts w:asciiTheme="minorHAnsi" w:hAnsiTheme="minorHAnsi" w:cstheme="minorHAnsi"/>
                                    <w:color w:val="1E5FAA"/>
                                    <w:sz w:val="16"/>
                                    <w:szCs w:val="16"/>
                                    <w:lang w:val="en-US"/>
                                  </w:rPr>
                                  <w:fldChar w:fldCharType="end"/>
                                </w:r>
                                <w:r>
                                  <w:rPr>
                                    <w:rFonts w:asciiTheme="minorHAnsi" w:hAnsiTheme="minorHAnsi" w:cstheme="minorHAnsi"/>
                                    <w:color w:val="1E5FAA"/>
                                    <w:sz w:val="16"/>
                                    <w:szCs w:val="16"/>
                                    <w:lang w:val="en-US"/>
                                  </w:rPr>
                                  <w:instrText xml:space="preserv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t>75</w:t>
                                </w:r>
                                <w:r>
                                  <w:rPr>
                                    <w:rFonts w:asciiTheme="minorHAnsi" w:hAnsiTheme="minorHAnsi" w:cstheme="minorHAnsi"/>
                                    <w:color w:val="1E5FAA"/>
                                    <w:sz w:val="16"/>
                                    <w:szCs w:val="16"/>
                                    <w:lang w:val="en-US"/>
                                  </w:rPr>
                                  <w:fldChar w:fldCharType="end"/>
                                </w:r>
                              </w:p>
                            </w:tc>
                          </w:tr>
                        </w:tbl>
                        <w:p w:rsidR="00395867" w:rsidRPr="00F90B9E" w:rsidRDefault="00395867" w:rsidP="00395867">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0D0084" id="_x0000_t202" coordsize="21600,21600" o:spt="202" path="m,l,21600r21600,l21600,xe">
              <v:stroke joinstyle="miter"/>
              <v:path gradientshapeok="t" o:connecttype="rect"/>
            </v:shapetype>
            <v:shape id="Поле 93" o:spid="_x0000_s1060" type="#_x0000_t202" style="position:absolute;margin-left:26.7pt;margin-top:231.25pt;width:36pt;height:347.2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" fillcolor="white [3212]" stroked="f" strokeweight=".5pt">
              <v:textbox inset="0,0,0,0">
                <w:txbxContent>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
                    </w:tblGrid>
                    <w:tr w:rsidR="00395867" w:rsidTr="00395867">
                      <w:trPr>
                        <w:cantSplit/>
                        <w:trHeight w:val="6231"/>
                        <w:jc w:val="center"/>
                      </w:trPr>
                      <w:tc>
                        <w:tcPr>
                          <w:tcW w:w="624" w:type="dxa"/>
                          <w:textDirection w:val="tbRl"/>
                          <w:vAlign w:val="center"/>
                        </w:tcPr>
                        <w:p w:rsidR="00395867" w:rsidRPr="00395867" w:rsidRDefault="00395867" w:rsidP="00395867">
                          <w:pPr>
                            <w:ind w:left="57"/>
                            <w:jc w:val="right"/>
                            <w:rPr>
                              <w:rFonts w:asciiTheme="minorHAnsi" w:hAnsiTheme="minorHAnsi" w:cstheme="minorHAnsi"/>
                              <w:color w:val="1E5FAA"/>
                              <w:sz w:val="16"/>
                              <w:szCs w:val="16"/>
                            </w:rPr>
                          </w:pPr>
                          <w:r w:rsidRPr="00395867">
                            <w:rPr>
                              <w:rFonts w:asciiTheme="minorHAnsi" w:hAnsiTheme="minorHAnsi" w:cstheme="minorHAnsi"/>
                              <w:color w:val="1E5FAA"/>
                              <w:sz w:val="16"/>
                              <w:szCs w:val="16"/>
                              <w:lang w:val="ru-RU"/>
                            </w:rPr>
                            <w:t>Додаток I: Дозування за ваговою категорією для лікарських препаратів, що застосовуються у схемах лікування мультирезистентного ТБ, для дорослих та дітей</w:t>
                          </w:r>
                        </w:p>
                      </w:tc>
                    </w:tr>
                    <w:tr w:rsidR="00395867" w:rsidTr="00395867">
                      <w:trPr>
                        <w:cantSplit/>
                        <w:trHeight w:val="567"/>
                        <w:jc w:val="center"/>
                      </w:trPr>
                      <w:tc>
                        <w:tcPr>
                          <w:tcW w:w="624" w:type="dxa"/>
                          <w:textDirection w:val="tbRl"/>
                          <w:vAlign w:val="center"/>
                        </w:tcPr>
                        <w:p w:rsidR="00395867" w:rsidRPr="00395867" w:rsidRDefault="00395867" w:rsidP="00395867">
                          <w:pPr>
                            <w:ind w:left="57"/>
                            <w:jc w:val="right"/>
                            <w:rPr>
                              <w:rFonts w:asciiTheme="minorHAnsi" w:hAnsiTheme="minorHAnsi" w:cstheme="minorHAnsi"/>
                              <w:color w:val="1E5FAA"/>
                              <w:sz w:val="16"/>
                              <w:szCs w:val="16"/>
                            </w:rPr>
                          </w:pP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=-8+</w:instrText>
                          </w: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PAGE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instrText>83</w:instrText>
                          </w:r>
                          <w:r>
                            <w:rPr>
                              <w:rFonts w:asciiTheme="minorHAnsi" w:hAnsiTheme="minorHAnsi" w:cstheme="minorHAnsi"/>
                              <w:color w:val="1E5FAA"/>
                              <w:sz w:val="16"/>
                              <w:szCs w:val="16"/>
                              <w:lang w:val="en-US"/>
                            </w:rPr>
                            <w:fldChar w:fldCharType="end"/>
                          </w:r>
                          <w:r>
                            <w:rPr>
                              <w:rFonts w:asciiTheme="minorHAnsi" w:hAnsiTheme="minorHAnsi" w:cstheme="minorHAnsi"/>
                              <w:color w:val="1E5FAA"/>
                              <w:sz w:val="16"/>
                              <w:szCs w:val="16"/>
                              <w:lang w:val="en-US"/>
                            </w:rPr>
                            <w:instrText xml:space="preserv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t>75</w:t>
                          </w:r>
                          <w:r>
                            <w:rPr>
                              <w:rFonts w:asciiTheme="minorHAnsi" w:hAnsiTheme="minorHAnsi" w:cstheme="minorHAnsi"/>
                              <w:color w:val="1E5FAA"/>
                              <w:sz w:val="16"/>
                              <w:szCs w:val="16"/>
                              <w:lang w:val="en-US"/>
                            </w:rPr>
                            <w:fldChar w:fldCharType="end"/>
                          </w:r>
                        </w:p>
                      </w:tc>
                    </w:tr>
                  </w:tbl>
                  <w:p w:rsidR="00395867" w:rsidRPr="00F90B9E" w:rsidRDefault="00395867" w:rsidP="00395867">
                    <w:pPr>
                      <w:rPr>
                        <w:sz w:val="18"/>
                      </w:rPr>
                    </w:pP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867" w:rsidRDefault="00395867">
    <w:pPr>
      <w:pStyle w:val="a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867" w:rsidRPr="00395867" w:rsidRDefault="00395867" w:rsidP="00395867">
    <w:pPr>
      <w:pStyle w:val="a6"/>
      <w:rPr>
        <w:sz w:val="2"/>
        <w:szCs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867" w:rsidRDefault="00395867">
    <w:pPr>
      <w:pStyle w:val="a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867" w:rsidRPr="000344A4" w:rsidRDefault="00395867">
    <w:pPr>
      <w:pStyle w:val="a6"/>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867" w:rsidRDefault="00395867">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867" w:rsidRDefault="00395867">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867" w:rsidRDefault="00395867">
    <w:pPr>
      <w:pStyle w:val="a6"/>
    </w:pPr>
    <w:r w:rsidRPr="00650199">
      <w:rPr>
        <w:rFonts w:asciiTheme="minorHAnsi" w:eastAsia="Times New Roman" w:hAnsiTheme="minorHAnsi" w:cstheme="minorHAnsi"/>
        <w:b/>
        <w:bCs/>
        <w:noProof/>
        <w:color w:val="000000"/>
        <w:sz w:val="2"/>
        <w:szCs w:val="2"/>
      </w:rPr>
      <mc:AlternateContent>
        <mc:Choice Requires="wps">
          <w:drawing>
            <wp:anchor distT="0" distB="0" distL="114300" distR="114300" simplePos="0" relativeHeight="251700224" behindDoc="0" locked="0" layoutInCell="1" allowOverlap="1" wp14:anchorId="6F74A1F8" wp14:editId="68769F20">
              <wp:simplePos x="0" y="0"/>
              <wp:positionH relativeFrom="page">
                <wp:posOffset>300192</wp:posOffset>
              </wp:positionH>
              <wp:positionV relativeFrom="page">
                <wp:posOffset>520700</wp:posOffset>
              </wp:positionV>
              <wp:extent cx="457200" cy="2848708"/>
              <wp:effectExtent l="0" t="0" r="0" b="8890"/>
              <wp:wrapNone/>
              <wp:docPr id="89" name="Поле 89"/>
              <wp:cNvGraphicFramePr/>
              <a:graphic xmlns:a="http://schemas.openxmlformats.org/drawingml/2006/main">
                <a:graphicData uri="http://schemas.microsoft.com/office/word/2010/wordprocessingShape">
                  <wps:wsp>
                    <wps:cNvSpPr txBox="1"/>
                    <wps:spPr>
                      <a:xfrm>
                        <a:off x="0" y="0"/>
                        <a:ext cx="457200" cy="284870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
                          </w:tblGrid>
                          <w:tr w:rsidR="00395867" w:rsidTr="00395867">
                            <w:trPr>
                              <w:cantSplit/>
                              <w:trHeight w:val="567"/>
                            </w:trPr>
                            <w:tc>
                              <w:tcPr>
                                <w:tcW w:w="397" w:type="dxa"/>
                                <w:textDirection w:val="tbRl"/>
                                <w:vAlign w:val="center"/>
                              </w:tcPr>
                              <w:p w:rsidR="00395867" w:rsidRPr="00395867" w:rsidRDefault="00395867" w:rsidP="00395867">
                                <w:pPr>
                                  <w:ind w:left="57"/>
                                  <w:rPr>
                                    <w:rFonts w:asciiTheme="minorHAnsi" w:hAnsiTheme="minorHAnsi" w:cstheme="minorHAnsi"/>
                                    <w:color w:val="1E5FAA"/>
                                    <w:sz w:val="16"/>
                                    <w:szCs w:val="16"/>
                                  </w:rPr>
                                </w:pPr>
                                <w:r w:rsidRPr="00395867">
                                  <w:rPr>
                                    <w:rFonts w:asciiTheme="minorHAnsi" w:hAnsiTheme="minorHAnsi" w:cstheme="minorHAnsi"/>
                                    <w:color w:val="1E5FAA"/>
                                    <w:sz w:val="16"/>
                                    <w:szCs w:val="16"/>
                                    <w:lang w:val="en-US"/>
                                  </w:rPr>
                                  <w:fldChar w:fldCharType="begin"/>
                                </w:r>
                                <w:r w:rsidRPr="00395867">
                                  <w:rPr>
                                    <w:rFonts w:asciiTheme="minorHAnsi" w:hAnsiTheme="minorHAnsi" w:cstheme="minorHAnsi"/>
                                    <w:color w:val="1E5FAA"/>
                                    <w:sz w:val="16"/>
                                    <w:szCs w:val="16"/>
                                    <w:lang w:val="en-US"/>
                                  </w:rPr>
                                  <w:instrText xml:space="preserve"> =-8+</w:instrText>
                                </w:r>
                                <w:r w:rsidRPr="00395867">
                                  <w:rPr>
                                    <w:rFonts w:asciiTheme="minorHAnsi" w:hAnsiTheme="minorHAnsi" w:cstheme="minorHAnsi"/>
                                    <w:color w:val="1E5FAA"/>
                                    <w:sz w:val="16"/>
                                    <w:szCs w:val="16"/>
                                    <w:lang w:val="en-US"/>
                                  </w:rPr>
                                  <w:fldChar w:fldCharType="begin"/>
                                </w:r>
                                <w:r w:rsidRPr="00395867">
                                  <w:rPr>
                                    <w:rFonts w:asciiTheme="minorHAnsi" w:hAnsiTheme="minorHAnsi" w:cstheme="minorHAnsi"/>
                                    <w:color w:val="1E5FAA"/>
                                    <w:sz w:val="16"/>
                                    <w:szCs w:val="16"/>
                                    <w:lang w:val="en-US"/>
                                  </w:rPr>
                                  <w:instrText xml:space="preserve"> PAGE </w:instrText>
                                </w:r>
                                <w:r w:rsidRPr="00395867">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instrText>44</w:instrText>
                                </w:r>
                                <w:r w:rsidRPr="00395867">
                                  <w:rPr>
                                    <w:rFonts w:asciiTheme="minorHAnsi" w:hAnsiTheme="minorHAnsi" w:cstheme="minorHAnsi"/>
                                    <w:color w:val="1E5FAA"/>
                                    <w:sz w:val="16"/>
                                    <w:szCs w:val="16"/>
                                    <w:lang w:val="en-US"/>
                                  </w:rPr>
                                  <w:fldChar w:fldCharType="end"/>
                                </w:r>
                                <w:r w:rsidRPr="00395867">
                                  <w:rPr>
                                    <w:rFonts w:asciiTheme="minorHAnsi" w:hAnsiTheme="minorHAnsi" w:cstheme="minorHAnsi"/>
                                    <w:color w:val="1E5FAA"/>
                                    <w:sz w:val="16"/>
                                    <w:szCs w:val="16"/>
                                    <w:lang w:val="en-US"/>
                                  </w:rPr>
                                  <w:instrText xml:space="preserve"> </w:instrText>
                                </w:r>
                                <w:r w:rsidRPr="00395867">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t>36</w:t>
                                </w:r>
                                <w:r w:rsidRPr="00395867">
                                  <w:rPr>
                                    <w:rFonts w:asciiTheme="minorHAnsi" w:hAnsiTheme="minorHAnsi" w:cstheme="minorHAnsi"/>
                                    <w:color w:val="1E5FAA"/>
                                    <w:sz w:val="16"/>
                                    <w:szCs w:val="16"/>
                                    <w:lang w:val="en-US"/>
                                  </w:rPr>
                                  <w:fldChar w:fldCharType="end"/>
                                </w:r>
                              </w:p>
                            </w:tc>
                          </w:tr>
                          <w:tr w:rsidR="00395867" w:rsidTr="00395867">
                            <w:trPr>
                              <w:cantSplit/>
                              <w:trHeight w:val="2955"/>
                            </w:trPr>
                            <w:tc>
                              <w:tcPr>
                                <w:tcW w:w="397" w:type="dxa"/>
                                <w:textDirection w:val="tbRl"/>
                              </w:tcPr>
                              <w:p w:rsidR="00395867" w:rsidRPr="00395867" w:rsidRDefault="00395867" w:rsidP="00395867">
                                <w:pPr>
                                  <w:ind w:left="57"/>
                                  <w:rPr>
                                    <w:rFonts w:asciiTheme="minorHAnsi" w:hAnsiTheme="minorHAnsi" w:cstheme="minorHAnsi"/>
                                    <w:color w:val="1E5FAA"/>
                                    <w:sz w:val="16"/>
                                    <w:szCs w:val="16"/>
                                  </w:rPr>
                                </w:pPr>
                                <w:r w:rsidRPr="00395867">
                                  <w:rPr>
                                    <w:rFonts w:asciiTheme="minorHAnsi" w:hAnsiTheme="minorHAnsi" w:cstheme="minorHAnsi"/>
                                    <w:color w:val="1E5FAA"/>
                                    <w:sz w:val="16"/>
                                    <w:szCs w:val="16"/>
                                  </w:rPr>
                                  <w:t xml:space="preserve">Операційне </w:t>
                                </w:r>
                                <w:r w:rsidRPr="00395867">
                                  <w:rPr>
                                    <w:rFonts w:asciiTheme="minorHAnsi" w:hAnsiTheme="minorHAnsi" w:cstheme="minorHAnsi"/>
                                    <w:color w:val="FF0000"/>
                                    <w:sz w:val="16"/>
                                    <w:szCs w:val="16"/>
                                  </w:rPr>
                                  <w:t xml:space="preserve">керівництво </w:t>
                                </w:r>
                              </w:p>
                              <w:p w:rsidR="00395867" w:rsidRPr="00395867" w:rsidRDefault="00395867" w:rsidP="00395867">
                                <w:pPr>
                                  <w:ind w:left="57"/>
                                  <w:rPr>
                                    <w:rFonts w:asciiTheme="minorHAnsi" w:hAnsiTheme="minorHAnsi" w:cstheme="minorHAnsi"/>
                                    <w:color w:val="1E5FAA"/>
                                    <w:sz w:val="16"/>
                                    <w:szCs w:val="16"/>
                                  </w:rPr>
                                </w:pPr>
                                <w:r w:rsidRPr="00395867">
                                  <w:rPr>
                                    <w:rFonts w:asciiTheme="minorHAnsi" w:hAnsiTheme="minorHAnsi" w:cstheme="minorHAnsi"/>
                                    <w:color w:val="FF0000"/>
                                    <w:sz w:val="16"/>
                                    <w:szCs w:val="16"/>
                                  </w:rPr>
                                  <w:t xml:space="preserve">ВООЗ </w:t>
                                </w:r>
                                <w:r w:rsidRPr="00395867">
                                  <w:rPr>
                                    <w:rFonts w:asciiTheme="minorHAnsi" w:hAnsiTheme="minorHAnsi" w:cstheme="minorHAnsi"/>
                                    <w:color w:val="1E5FAA"/>
                                    <w:sz w:val="16"/>
                                    <w:szCs w:val="16"/>
                                  </w:rPr>
                                  <w:t>щодо туберкульозу</w:t>
                                </w:r>
                              </w:p>
                            </w:tc>
                          </w:tr>
                        </w:tbl>
                        <w:p w:rsidR="00395867" w:rsidRPr="00F90B9E" w:rsidRDefault="00395867" w:rsidP="00395867">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74A1F8" id="_x0000_t202" coordsize="21600,21600" o:spt="202" path="m,l,21600r21600,l21600,xe">
              <v:stroke joinstyle="miter"/>
              <v:path gradientshapeok="t" o:connecttype="rect"/>
            </v:shapetype>
            <v:shape id="Поле 89" o:spid="_x0000_s1049" type="#_x0000_t202" style="position:absolute;margin-left:23.65pt;margin-top:41pt;width:36pt;height:224.3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" fillcolor="white [3212]" stroked="f" strokeweight=".5pt">
              <v:textbox inset="0,0,0,0">
                <w:txbxContent>
                  <w:tbl>
                    <w:tblPr>
                      <w:tblStyle w:val="ab"/>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
                    </w:tblGrid>
                    <w:tr w:rsidR="00395867" w:rsidTr="00395867">
                      <w:trPr>
                        <w:cantSplit/>
                        <w:trHeight w:val="567"/>
                      </w:trPr>
                      <w:tc>
                        <w:tcPr>
                          <w:tcW w:w="397" w:type="dxa"/>
                          <w:textDirection w:val="tbRl"/>
                          <w:vAlign w:val="center"/>
                        </w:tcPr>
                        <w:p w:rsidR="00395867" w:rsidRPr="00395867" w:rsidRDefault="00395867" w:rsidP="00395867">
                          <w:pPr>
                            <w:ind w:left="57"/>
                            <w:rPr>
                              <w:rFonts w:asciiTheme="minorHAnsi" w:hAnsiTheme="minorHAnsi" w:cstheme="minorHAnsi"/>
                              <w:color w:val="1E5FAA"/>
                              <w:sz w:val="16"/>
                              <w:szCs w:val="16"/>
                            </w:rPr>
                          </w:pPr>
                          <w:r w:rsidRPr="00395867">
                            <w:rPr>
                              <w:rFonts w:asciiTheme="minorHAnsi" w:hAnsiTheme="minorHAnsi" w:cstheme="minorHAnsi"/>
                              <w:color w:val="1E5FAA"/>
                              <w:sz w:val="16"/>
                              <w:szCs w:val="16"/>
                              <w:lang w:val="en-US"/>
                            </w:rPr>
                            <w:fldChar w:fldCharType="begin"/>
                          </w:r>
                          <w:r w:rsidRPr="00395867">
                            <w:rPr>
                              <w:rFonts w:asciiTheme="minorHAnsi" w:hAnsiTheme="minorHAnsi" w:cstheme="minorHAnsi"/>
                              <w:color w:val="1E5FAA"/>
                              <w:sz w:val="16"/>
                              <w:szCs w:val="16"/>
                              <w:lang w:val="en-US"/>
                            </w:rPr>
                            <w:instrText xml:space="preserve"> =-8+</w:instrText>
                          </w:r>
                          <w:r w:rsidRPr="00395867">
                            <w:rPr>
                              <w:rFonts w:asciiTheme="minorHAnsi" w:hAnsiTheme="minorHAnsi" w:cstheme="minorHAnsi"/>
                              <w:color w:val="1E5FAA"/>
                              <w:sz w:val="16"/>
                              <w:szCs w:val="16"/>
                              <w:lang w:val="en-US"/>
                            </w:rPr>
                            <w:fldChar w:fldCharType="begin"/>
                          </w:r>
                          <w:r w:rsidRPr="00395867">
                            <w:rPr>
                              <w:rFonts w:asciiTheme="minorHAnsi" w:hAnsiTheme="minorHAnsi" w:cstheme="minorHAnsi"/>
                              <w:color w:val="1E5FAA"/>
                              <w:sz w:val="16"/>
                              <w:szCs w:val="16"/>
                              <w:lang w:val="en-US"/>
                            </w:rPr>
                            <w:instrText xml:space="preserve"> PAGE </w:instrText>
                          </w:r>
                          <w:r w:rsidRPr="00395867">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instrText>44</w:instrText>
                          </w:r>
                          <w:r w:rsidRPr="00395867">
                            <w:rPr>
                              <w:rFonts w:asciiTheme="minorHAnsi" w:hAnsiTheme="minorHAnsi" w:cstheme="minorHAnsi"/>
                              <w:color w:val="1E5FAA"/>
                              <w:sz w:val="16"/>
                              <w:szCs w:val="16"/>
                              <w:lang w:val="en-US"/>
                            </w:rPr>
                            <w:fldChar w:fldCharType="end"/>
                          </w:r>
                          <w:r w:rsidRPr="00395867">
                            <w:rPr>
                              <w:rFonts w:asciiTheme="minorHAnsi" w:hAnsiTheme="minorHAnsi" w:cstheme="minorHAnsi"/>
                              <w:color w:val="1E5FAA"/>
                              <w:sz w:val="16"/>
                              <w:szCs w:val="16"/>
                              <w:lang w:val="en-US"/>
                            </w:rPr>
                            <w:instrText xml:space="preserve"> </w:instrText>
                          </w:r>
                          <w:r w:rsidRPr="00395867">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t>36</w:t>
                          </w:r>
                          <w:r w:rsidRPr="00395867">
                            <w:rPr>
                              <w:rFonts w:asciiTheme="minorHAnsi" w:hAnsiTheme="minorHAnsi" w:cstheme="minorHAnsi"/>
                              <w:color w:val="1E5FAA"/>
                              <w:sz w:val="16"/>
                              <w:szCs w:val="16"/>
                              <w:lang w:val="en-US"/>
                            </w:rPr>
                            <w:fldChar w:fldCharType="end"/>
                          </w:r>
                        </w:p>
                      </w:tc>
                    </w:tr>
                    <w:tr w:rsidR="00395867" w:rsidTr="00395867">
                      <w:trPr>
                        <w:cantSplit/>
                        <w:trHeight w:val="2955"/>
                      </w:trPr>
                      <w:tc>
                        <w:tcPr>
                          <w:tcW w:w="397" w:type="dxa"/>
                          <w:textDirection w:val="tbRl"/>
                        </w:tcPr>
                        <w:p w:rsidR="00395867" w:rsidRPr="00395867" w:rsidRDefault="00395867" w:rsidP="00395867">
                          <w:pPr>
                            <w:ind w:left="57"/>
                            <w:rPr>
                              <w:rFonts w:asciiTheme="minorHAnsi" w:hAnsiTheme="minorHAnsi" w:cstheme="minorHAnsi"/>
                              <w:color w:val="1E5FAA"/>
                              <w:sz w:val="16"/>
                              <w:szCs w:val="16"/>
                            </w:rPr>
                          </w:pPr>
                          <w:r w:rsidRPr="00395867">
                            <w:rPr>
                              <w:rFonts w:asciiTheme="minorHAnsi" w:hAnsiTheme="minorHAnsi" w:cstheme="minorHAnsi"/>
                              <w:color w:val="1E5FAA"/>
                              <w:sz w:val="16"/>
                              <w:szCs w:val="16"/>
                            </w:rPr>
                            <w:t xml:space="preserve">Операційне </w:t>
                          </w:r>
                          <w:r w:rsidRPr="00395867">
                            <w:rPr>
                              <w:rFonts w:asciiTheme="minorHAnsi" w:hAnsiTheme="minorHAnsi" w:cstheme="minorHAnsi"/>
                              <w:color w:val="FF0000"/>
                              <w:sz w:val="16"/>
                              <w:szCs w:val="16"/>
                            </w:rPr>
                            <w:t xml:space="preserve">керівництво </w:t>
                          </w:r>
                        </w:p>
                        <w:p w:rsidR="00395867" w:rsidRPr="00395867" w:rsidRDefault="00395867" w:rsidP="00395867">
                          <w:pPr>
                            <w:ind w:left="57"/>
                            <w:rPr>
                              <w:rFonts w:asciiTheme="minorHAnsi" w:hAnsiTheme="minorHAnsi" w:cstheme="minorHAnsi"/>
                              <w:color w:val="1E5FAA"/>
                              <w:sz w:val="16"/>
                              <w:szCs w:val="16"/>
                            </w:rPr>
                          </w:pPr>
                          <w:r w:rsidRPr="00395867">
                            <w:rPr>
                              <w:rFonts w:asciiTheme="minorHAnsi" w:hAnsiTheme="minorHAnsi" w:cstheme="minorHAnsi"/>
                              <w:color w:val="FF0000"/>
                              <w:sz w:val="16"/>
                              <w:szCs w:val="16"/>
                            </w:rPr>
                            <w:t xml:space="preserve">ВООЗ </w:t>
                          </w:r>
                          <w:r w:rsidRPr="00395867">
                            <w:rPr>
                              <w:rFonts w:asciiTheme="minorHAnsi" w:hAnsiTheme="minorHAnsi" w:cstheme="minorHAnsi"/>
                              <w:color w:val="1E5FAA"/>
                              <w:sz w:val="16"/>
                              <w:szCs w:val="16"/>
                            </w:rPr>
                            <w:t>щодо туберкульозу</w:t>
                          </w:r>
                        </w:p>
                      </w:tc>
                    </w:tr>
                  </w:tbl>
                  <w:p w:rsidR="00395867" w:rsidRPr="00F90B9E" w:rsidRDefault="00395867" w:rsidP="00395867">
                    <w:pPr>
                      <w:rPr>
                        <w:sz w:val="18"/>
                      </w:rPr>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867" w:rsidRDefault="00395867">
    <w:pPr>
      <w:pStyle w:val="a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867" w:rsidRDefault="00395867">
    <w:pPr>
      <w:pStyle w:val="a6"/>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867" w:rsidRDefault="00395867">
    <w:pPr>
      <w:pStyle w:val="a6"/>
    </w:pPr>
    <w:r w:rsidRPr="00650199">
      <w:rPr>
        <w:rFonts w:asciiTheme="minorHAnsi" w:eastAsia="Times New Roman" w:hAnsiTheme="minorHAnsi" w:cstheme="minorHAnsi"/>
        <w:b/>
        <w:bCs/>
        <w:noProof/>
        <w:color w:val="000000"/>
        <w:sz w:val="2"/>
        <w:szCs w:val="2"/>
      </w:rPr>
      <mc:AlternateContent>
        <mc:Choice Requires="wps">
          <w:drawing>
            <wp:anchor distT="0" distB="0" distL="114300" distR="114300" simplePos="0" relativeHeight="251704320" behindDoc="0" locked="0" layoutInCell="1" allowOverlap="1" wp14:anchorId="01769FC8" wp14:editId="3EDC6C83">
              <wp:simplePos x="0" y="0"/>
              <wp:positionH relativeFrom="page">
                <wp:posOffset>370368</wp:posOffset>
              </wp:positionH>
              <wp:positionV relativeFrom="page">
                <wp:posOffset>2954020</wp:posOffset>
              </wp:positionV>
              <wp:extent cx="457200" cy="4410159"/>
              <wp:effectExtent l="0" t="0" r="0" b="9525"/>
              <wp:wrapNone/>
              <wp:docPr id="92" name="Поле 92"/>
              <wp:cNvGraphicFramePr/>
              <a:graphic xmlns:a="http://schemas.openxmlformats.org/drawingml/2006/main">
                <a:graphicData uri="http://schemas.microsoft.com/office/word/2010/wordprocessingShape">
                  <wps:wsp>
                    <wps:cNvSpPr txBox="1"/>
                    <wps:spPr>
                      <a:xfrm>
                        <a:off x="0" y="0"/>
                        <a:ext cx="457200" cy="441015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
                          </w:tblGrid>
                          <w:tr w:rsidR="00395867" w:rsidTr="00395867">
                            <w:trPr>
                              <w:cantSplit/>
                              <w:trHeight w:val="6231"/>
                              <w:jc w:val="center"/>
                            </w:trPr>
                            <w:tc>
                              <w:tcPr>
                                <w:tcW w:w="624" w:type="dxa"/>
                                <w:textDirection w:val="tbRl"/>
                                <w:vAlign w:val="center"/>
                              </w:tcPr>
                              <w:p w:rsidR="00395867" w:rsidRPr="00395867" w:rsidRDefault="00395867" w:rsidP="00395867">
                                <w:pPr>
                                  <w:ind w:left="57"/>
                                  <w:jc w:val="right"/>
                                  <w:rPr>
                                    <w:rFonts w:asciiTheme="minorHAnsi" w:hAnsiTheme="minorHAnsi" w:cstheme="minorHAnsi"/>
                                    <w:color w:val="1E5FAA"/>
                                    <w:sz w:val="16"/>
                                    <w:szCs w:val="16"/>
                                  </w:rPr>
                                </w:pPr>
                                <w:r w:rsidRPr="00395867">
                                  <w:rPr>
                                    <w:rFonts w:asciiTheme="minorHAnsi" w:hAnsiTheme="minorHAnsi" w:cstheme="minorHAnsi"/>
                                    <w:color w:val="1E5FAA"/>
                                    <w:sz w:val="16"/>
                                    <w:szCs w:val="16"/>
                                    <w:lang w:val="ru-RU"/>
                                  </w:rPr>
                                  <w:t>Додаток I: Дозування за ваговою категорією для лікарських препаратів, що застосовуються у схемах лікування мультирезистентного ТБ, для дорослих та дітей</w:t>
                                </w:r>
                              </w:p>
                            </w:tc>
                          </w:tr>
                          <w:tr w:rsidR="00395867" w:rsidTr="00395867">
                            <w:trPr>
                              <w:cantSplit/>
                              <w:trHeight w:val="567"/>
                              <w:jc w:val="center"/>
                            </w:trPr>
                            <w:tc>
                              <w:tcPr>
                                <w:tcW w:w="624" w:type="dxa"/>
                                <w:textDirection w:val="tbRl"/>
                                <w:vAlign w:val="center"/>
                              </w:tcPr>
                              <w:p w:rsidR="00395867" w:rsidRPr="00395867" w:rsidRDefault="00395867" w:rsidP="00395867">
                                <w:pPr>
                                  <w:ind w:left="57"/>
                                  <w:jc w:val="right"/>
                                  <w:rPr>
                                    <w:rFonts w:asciiTheme="minorHAnsi" w:hAnsiTheme="minorHAnsi" w:cstheme="minorHAnsi"/>
                                    <w:color w:val="1E5FAA"/>
                                    <w:sz w:val="16"/>
                                    <w:szCs w:val="16"/>
                                  </w:rPr>
                                </w:pP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=-8+</w:instrText>
                                </w: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PAGE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instrText>77</w:instrText>
                                </w:r>
                                <w:r>
                                  <w:rPr>
                                    <w:rFonts w:asciiTheme="minorHAnsi" w:hAnsiTheme="minorHAnsi" w:cstheme="minorHAnsi"/>
                                    <w:color w:val="1E5FAA"/>
                                    <w:sz w:val="16"/>
                                    <w:szCs w:val="16"/>
                                    <w:lang w:val="en-US"/>
                                  </w:rPr>
                                  <w:fldChar w:fldCharType="end"/>
                                </w:r>
                                <w:r>
                                  <w:rPr>
                                    <w:rFonts w:asciiTheme="minorHAnsi" w:hAnsiTheme="minorHAnsi" w:cstheme="minorHAnsi"/>
                                    <w:color w:val="1E5FAA"/>
                                    <w:sz w:val="16"/>
                                    <w:szCs w:val="16"/>
                                    <w:lang w:val="en-US"/>
                                  </w:rPr>
                                  <w:instrText xml:space="preserv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t>69</w:t>
                                </w:r>
                                <w:r>
                                  <w:rPr>
                                    <w:rFonts w:asciiTheme="minorHAnsi" w:hAnsiTheme="minorHAnsi" w:cstheme="minorHAnsi"/>
                                    <w:color w:val="1E5FAA"/>
                                    <w:sz w:val="16"/>
                                    <w:szCs w:val="16"/>
                                    <w:lang w:val="en-US"/>
                                  </w:rPr>
                                  <w:fldChar w:fldCharType="end"/>
                                </w:r>
                              </w:p>
                            </w:tc>
                          </w:tr>
                        </w:tbl>
                        <w:p w:rsidR="00395867" w:rsidRPr="00F90B9E" w:rsidRDefault="00395867" w:rsidP="00395867">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769FC8" id="_x0000_t202" coordsize="21600,21600" o:spt="202" path="m,l,21600r21600,l21600,xe">
              <v:stroke joinstyle="miter"/>
              <v:path gradientshapeok="t" o:connecttype="rect"/>
            </v:shapetype>
            <v:shape id="Поле 92" o:spid="_x0000_s1058" type="#_x0000_t202" style="position:absolute;margin-left:29.15pt;margin-top:232.6pt;width:36pt;height:347.2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" fillcolor="white [3212]" stroked="f" strokeweight=".5pt">
              <v:textbox inset="0,0,0,0">
                <w:txbxContent>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
                    </w:tblGrid>
                    <w:tr w:rsidR="00395867" w:rsidTr="00395867">
                      <w:trPr>
                        <w:cantSplit/>
                        <w:trHeight w:val="6231"/>
                        <w:jc w:val="center"/>
                      </w:trPr>
                      <w:tc>
                        <w:tcPr>
                          <w:tcW w:w="624" w:type="dxa"/>
                          <w:textDirection w:val="tbRl"/>
                          <w:vAlign w:val="center"/>
                        </w:tcPr>
                        <w:p w:rsidR="00395867" w:rsidRPr="00395867" w:rsidRDefault="00395867" w:rsidP="00395867">
                          <w:pPr>
                            <w:ind w:left="57"/>
                            <w:jc w:val="right"/>
                            <w:rPr>
                              <w:rFonts w:asciiTheme="minorHAnsi" w:hAnsiTheme="minorHAnsi" w:cstheme="minorHAnsi"/>
                              <w:color w:val="1E5FAA"/>
                              <w:sz w:val="16"/>
                              <w:szCs w:val="16"/>
                            </w:rPr>
                          </w:pPr>
                          <w:r w:rsidRPr="00395867">
                            <w:rPr>
                              <w:rFonts w:asciiTheme="minorHAnsi" w:hAnsiTheme="minorHAnsi" w:cstheme="minorHAnsi"/>
                              <w:color w:val="1E5FAA"/>
                              <w:sz w:val="16"/>
                              <w:szCs w:val="16"/>
                              <w:lang w:val="ru-RU"/>
                            </w:rPr>
                            <w:t>Додаток I: Дозування за ваговою категорією для лікарських препаратів, що застосовуються у схемах лікування мультирезистентного ТБ, для дорослих та дітей</w:t>
                          </w:r>
                        </w:p>
                      </w:tc>
                    </w:tr>
                    <w:tr w:rsidR="00395867" w:rsidTr="00395867">
                      <w:trPr>
                        <w:cantSplit/>
                        <w:trHeight w:val="567"/>
                        <w:jc w:val="center"/>
                      </w:trPr>
                      <w:tc>
                        <w:tcPr>
                          <w:tcW w:w="624" w:type="dxa"/>
                          <w:textDirection w:val="tbRl"/>
                          <w:vAlign w:val="center"/>
                        </w:tcPr>
                        <w:p w:rsidR="00395867" w:rsidRPr="00395867" w:rsidRDefault="00395867" w:rsidP="00395867">
                          <w:pPr>
                            <w:ind w:left="57"/>
                            <w:jc w:val="right"/>
                            <w:rPr>
                              <w:rFonts w:asciiTheme="minorHAnsi" w:hAnsiTheme="minorHAnsi" w:cstheme="minorHAnsi"/>
                              <w:color w:val="1E5FAA"/>
                              <w:sz w:val="16"/>
                              <w:szCs w:val="16"/>
                            </w:rPr>
                          </w:pP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=-8+</w:instrText>
                          </w:r>
                          <w:r>
                            <w:rPr>
                              <w:rFonts w:asciiTheme="minorHAnsi" w:hAnsiTheme="minorHAnsi" w:cstheme="minorHAnsi"/>
                              <w:color w:val="1E5FAA"/>
                              <w:sz w:val="16"/>
                              <w:szCs w:val="16"/>
                              <w:lang w:val="en-US"/>
                            </w:rPr>
                            <w:fldChar w:fldCharType="begin"/>
                          </w:r>
                          <w:r>
                            <w:rPr>
                              <w:rFonts w:asciiTheme="minorHAnsi" w:hAnsiTheme="minorHAnsi" w:cstheme="minorHAnsi"/>
                              <w:color w:val="1E5FAA"/>
                              <w:sz w:val="16"/>
                              <w:szCs w:val="16"/>
                              <w:lang w:val="en-US"/>
                            </w:rPr>
                            <w:instrText xml:space="preserve"> PAGE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instrText>77</w:instrText>
                          </w:r>
                          <w:r>
                            <w:rPr>
                              <w:rFonts w:asciiTheme="minorHAnsi" w:hAnsiTheme="minorHAnsi" w:cstheme="minorHAnsi"/>
                              <w:color w:val="1E5FAA"/>
                              <w:sz w:val="16"/>
                              <w:szCs w:val="16"/>
                              <w:lang w:val="en-US"/>
                            </w:rPr>
                            <w:fldChar w:fldCharType="end"/>
                          </w:r>
                          <w:r>
                            <w:rPr>
                              <w:rFonts w:asciiTheme="minorHAnsi" w:hAnsiTheme="minorHAnsi" w:cstheme="minorHAnsi"/>
                              <w:color w:val="1E5FAA"/>
                              <w:sz w:val="16"/>
                              <w:szCs w:val="16"/>
                              <w:lang w:val="en-US"/>
                            </w:rPr>
                            <w:instrText xml:space="preserve"> </w:instrText>
                          </w:r>
                          <w:r>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t>69</w:t>
                          </w:r>
                          <w:r>
                            <w:rPr>
                              <w:rFonts w:asciiTheme="minorHAnsi" w:hAnsiTheme="minorHAnsi" w:cstheme="minorHAnsi"/>
                              <w:color w:val="1E5FAA"/>
                              <w:sz w:val="16"/>
                              <w:szCs w:val="16"/>
                              <w:lang w:val="en-US"/>
                            </w:rPr>
                            <w:fldChar w:fldCharType="end"/>
                          </w:r>
                        </w:p>
                      </w:tc>
                    </w:tr>
                  </w:tbl>
                  <w:p w:rsidR="00395867" w:rsidRPr="00F90B9E" w:rsidRDefault="00395867" w:rsidP="00395867">
                    <w:pPr>
                      <w:rPr>
                        <w:sz w:val="18"/>
                      </w:rPr>
                    </w:pP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867" w:rsidRDefault="00395867">
    <w:pPr>
      <w:pStyle w:val="a6"/>
    </w:pPr>
    <w:r w:rsidRPr="00650199">
      <w:rPr>
        <w:rFonts w:asciiTheme="minorHAnsi" w:eastAsia="Times New Roman" w:hAnsiTheme="minorHAnsi" w:cstheme="minorHAnsi"/>
        <w:b/>
        <w:bCs/>
        <w:noProof/>
        <w:color w:val="000000"/>
        <w:sz w:val="2"/>
        <w:szCs w:val="2"/>
      </w:rPr>
      <mc:AlternateContent>
        <mc:Choice Requires="wps">
          <w:drawing>
            <wp:anchor distT="0" distB="0" distL="114300" distR="114300" simplePos="0" relativeHeight="251702272" behindDoc="0" locked="0" layoutInCell="1" allowOverlap="1" wp14:anchorId="4400A6A3" wp14:editId="6805938E">
              <wp:simplePos x="0" y="0"/>
              <wp:positionH relativeFrom="page">
                <wp:posOffset>328393</wp:posOffset>
              </wp:positionH>
              <wp:positionV relativeFrom="page">
                <wp:posOffset>514350</wp:posOffset>
              </wp:positionV>
              <wp:extent cx="457200" cy="2848708"/>
              <wp:effectExtent l="0" t="0" r="0" b="8890"/>
              <wp:wrapNone/>
              <wp:docPr id="91" name="Поле 91"/>
              <wp:cNvGraphicFramePr/>
              <a:graphic xmlns:a="http://schemas.openxmlformats.org/drawingml/2006/main">
                <a:graphicData uri="http://schemas.microsoft.com/office/word/2010/wordprocessingShape">
                  <wps:wsp>
                    <wps:cNvSpPr txBox="1"/>
                    <wps:spPr>
                      <a:xfrm>
                        <a:off x="0" y="0"/>
                        <a:ext cx="457200" cy="284870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b"/>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
                          </w:tblGrid>
                          <w:tr w:rsidR="00395867" w:rsidTr="00395867">
                            <w:trPr>
                              <w:cantSplit/>
                              <w:trHeight w:val="567"/>
                            </w:trPr>
                            <w:tc>
                              <w:tcPr>
                                <w:tcW w:w="397" w:type="dxa"/>
                                <w:textDirection w:val="tbRl"/>
                                <w:vAlign w:val="center"/>
                              </w:tcPr>
                              <w:p w:rsidR="00395867" w:rsidRPr="00395867" w:rsidRDefault="00395867" w:rsidP="00395867">
                                <w:pPr>
                                  <w:ind w:left="57"/>
                                  <w:rPr>
                                    <w:rFonts w:asciiTheme="minorHAnsi" w:hAnsiTheme="minorHAnsi" w:cstheme="minorHAnsi"/>
                                    <w:color w:val="1E5FAA"/>
                                    <w:sz w:val="16"/>
                                    <w:szCs w:val="16"/>
                                  </w:rPr>
                                </w:pPr>
                                <w:r w:rsidRPr="00395867">
                                  <w:rPr>
                                    <w:rFonts w:asciiTheme="minorHAnsi" w:hAnsiTheme="minorHAnsi" w:cstheme="minorHAnsi"/>
                                    <w:color w:val="1E5FAA"/>
                                    <w:sz w:val="16"/>
                                    <w:szCs w:val="16"/>
                                    <w:lang w:val="en-US"/>
                                  </w:rPr>
                                  <w:fldChar w:fldCharType="begin"/>
                                </w:r>
                                <w:r w:rsidRPr="00395867">
                                  <w:rPr>
                                    <w:rFonts w:asciiTheme="minorHAnsi" w:hAnsiTheme="minorHAnsi" w:cstheme="minorHAnsi"/>
                                    <w:color w:val="1E5FAA"/>
                                    <w:sz w:val="16"/>
                                    <w:szCs w:val="16"/>
                                    <w:lang w:val="en-US"/>
                                  </w:rPr>
                                  <w:instrText xml:space="preserve"> =-8+</w:instrText>
                                </w:r>
                                <w:r w:rsidRPr="00395867">
                                  <w:rPr>
                                    <w:rFonts w:asciiTheme="minorHAnsi" w:hAnsiTheme="minorHAnsi" w:cstheme="minorHAnsi"/>
                                    <w:color w:val="1E5FAA"/>
                                    <w:sz w:val="16"/>
                                    <w:szCs w:val="16"/>
                                    <w:lang w:val="en-US"/>
                                  </w:rPr>
                                  <w:fldChar w:fldCharType="begin"/>
                                </w:r>
                                <w:r w:rsidRPr="00395867">
                                  <w:rPr>
                                    <w:rFonts w:asciiTheme="minorHAnsi" w:hAnsiTheme="minorHAnsi" w:cstheme="minorHAnsi"/>
                                    <w:color w:val="1E5FAA"/>
                                    <w:sz w:val="16"/>
                                    <w:szCs w:val="16"/>
                                    <w:lang w:val="en-US"/>
                                  </w:rPr>
                                  <w:instrText xml:space="preserve"> PAGE </w:instrText>
                                </w:r>
                                <w:r w:rsidRPr="00395867">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instrText>84</w:instrText>
                                </w:r>
                                <w:r w:rsidRPr="00395867">
                                  <w:rPr>
                                    <w:rFonts w:asciiTheme="minorHAnsi" w:hAnsiTheme="minorHAnsi" w:cstheme="minorHAnsi"/>
                                    <w:color w:val="1E5FAA"/>
                                    <w:sz w:val="16"/>
                                    <w:szCs w:val="16"/>
                                    <w:lang w:val="en-US"/>
                                  </w:rPr>
                                  <w:fldChar w:fldCharType="end"/>
                                </w:r>
                                <w:r w:rsidRPr="00395867">
                                  <w:rPr>
                                    <w:rFonts w:asciiTheme="minorHAnsi" w:hAnsiTheme="minorHAnsi" w:cstheme="minorHAnsi"/>
                                    <w:color w:val="1E5FAA"/>
                                    <w:sz w:val="16"/>
                                    <w:szCs w:val="16"/>
                                    <w:lang w:val="en-US"/>
                                  </w:rPr>
                                  <w:instrText xml:space="preserve"> </w:instrText>
                                </w:r>
                                <w:r w:rsidRPr="00395867">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t>76</w:t>
                                </w:r>
                                <w:r w:rsidRPr="00395867">
                                  <w:rPr>
                                    <w:rFonts w:asciiTheme="minorHAnsi" w:hAnsiTheme="minorHAnsi" w:cstheme="minorHAnsi"/>
                                    <w:color w:val="1E5FAA"/>
                                    <w:sz w:val="16"/>
                                    <w:szCs w:val="16"/>
                                    <w:lang w:val="en-US"/>
                                  </w:rPr>
                                  <w:fldChar w:fldCharType="end"/>
                                </w:r>
                              </w:p>
                            </w:tc>
                          </w:tr>
                          <w:tr w:rsidR="00395867" w:rsidTr="00395867">
                            <w:trPr>
                              <w:cantSplit/>
                              <w:trHeight w:val="2955"/>
                            </w:trPr>
                            <w:tc>
                              <w:tcPr>
                                <w:tcW w:w="397" w:type="dxa"/>
                                <w:textDirection w:val="tbRl"/>
                              </w:tcPr>
                              <w:p w:rsidR="00395867" w:rsidRPr="00395867" w:rsidRDefault="00395867" w:rsidP="00395867">
                                <w:pPr>
                                  <w:ind w:left="57"/>
                                  <w:rPr>
                                    <w:rFonts w:asciiTheme="minorHAnsi" w:hAnsiTheme="minorHAnsi" w:cstheme="minorHAnsi"/>
                                    <w:color w:val="1E5FAA"/>
                                    <w:sz w:val="16"/>
                                    <w:szCs w:val="16"/>
                                  </w:rPr>
                                </w:pPr>
                                <w:r w:rsidRPr="00395867">
                                  <w:rPr>
                                    <w:rFonts w:asciiTheme="minorHAnsi" w:hAnsiTheme="minorHAnsi" w:cstheme="minorHAnsi"/>
                                    <w:color w:val="1E5FAA"/>
                                    <w:sz w:val="16"/>
                                    <w:szCs w:val="16"/>
                                  </w:rPr>
                                  <w:t xml:space="preserve">Операційне </w:t>
                                </w:r>
                                <w:r w:rsidRPr="00395867">
                                  <w:rPr>
                                    <w:rFonts w:asciiTheme="minorHAnsi" w:hAnsiTheme="minorHAnsi" w:cstheme="minorHAnsi"/>
                                    <w:color w:val="FF0000"/>
                                    <w:sz w:val="16"/>
                                    <w:szCs w:val="16"/>
                                  </w:rPr>
                                  <w:t xml:space="preserve">керівництво </w:t>
                                </w:r>
                              </w:p>
                              <w:p w:rsidR="00395867" w:rsidRPr="00395867" w:rsidRDefault="00395867" w:rsidP="00395867">
                                <w:pPr>
                                  <w:ind w:left="57"/>
                                  <w:rPr>
                                    <w:rFonts w:asciiTheme="minorHAnsi" w:hAnsiTheme="minorHAnsi" w:cstheme="minorHAnsi"/>
                                    <w:color w:val="1E5FAA"/>
                                    <w:sz w:val="16"/>
                                    <w:szCs w:val="16"/>
                                  </w:rPr>
                                </w:pPr>
                                <w:r w:rsidRPr="00395867">
                                  <w:rPr>
                                    <w:rFonts w:asciiTheme="minorHAnsi" w:hAnsiTheme="minorHAnsi" w:cstheme="minorHAnsi"/>
                                    <w:color w:val="FF0000"/>
                                    <w:sz w:val="16"/>
                                    <w:szCs w:val="16"/>
                                  </w:rPr>
                                  <w:t xml:space="preserve">ВООЗ </w:t>
                                </w:r>
                                <w:r w:rsidRPr="00395867">
                                  <w:rPr>
                                    <w:rFonts w:asciiTheme="minorHAnsi" w:hAnsiTheme="minorHAnsi" w:cstheme="minorHAnsi"/>
                                    <w:color w:val="1E5FAA"/>
                                    <w:sz w:val="16"/>
                                    <w:szCs w:val="16"/>
                                  </w:rPr>
                                  <w:t>щодо туберкульозу</w:t>
                                </w:r>
                              </w:p>
                            </w:tc>
                          </w:tr>
                        </w:tbl>
                        <w:p w:rsidR="00395867" w:rsidRPr="00F90B9E" w:rsidRDefault="00395867" w:rsidP="00395867">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00A6A3" id="_x0000_t202" coordsize="21600,21600" o:spt="202" path="m,l,21600r21600,l21600,xe">
              <v:stroke joinstyle="miter"/>
              <v:path gradientshapeok="t" o:connecttype="rect"/>
            </v:shapetype>
            <v:shape id="Поле 91" o:spid="_x0000_s1059" type="#_x0000_t202" style="position:absolute;margin-left:25.85pt;margin-top:40.5pt;width:36pt;height:224.3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" fillcolor="white [3212]" stroked="f" strokeweight=".5pt">
              <v:textbox inset="0,0,0,0">
                <w:txbxContent>
                  <w:tbl>
                    <w:tblPr>
                      <w:tblStyle w:val="ab"/>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
                    </w:tblGrid>
                    <w:tr w:rsidR="00395867" w:rsidTr="00395867">
                      <w:trPr>
                        <w:cantSplit/>
                        <w:trHeight w:val="567"/>
                      </w:trPr>
                      <w:tc>
                        <w:tcPr>
                          <w:tcW w:w="397" w:type="dxa"/>
                          <w:textDirection w:val="tbRl"/>
                          <w:vAlign w:val="center"/>
                        </w:tcPr>
                        <w:p w:rsidR="00395867" w:rsidRPr="00395867" w:rsidRDefault="00395867" w:rsidP="00395867">
                          <w:pPr>
                            <w:ind w:left="57"/>
                            <w:rPr>
                              <w:rFonts w:asciiTheme="minorHAnsi" w:hAnsiTheme="minorHAnsi" w:cstheme="minorHAnsi"/>
                              <w:color w:val="1E5FAA"/>
                              <w:sz w:val="16"/>
                              <w:szCs w:val="16"/>
                            </w:rPr>
                          </w:pPr>
                          <w:r w:rsidRPr="00395867">
                            <w:rPr>
                              <w:rFonts w:asciiTheme="minorHAnsi" w:hAnsiTheme="minorHAnsi" w:cstheme="minorHAnsi"/>
                              <w:color w:val="1E5FAA"/>
                              <w:sz w:val="16"/>
                              <w:szCs w:val="16"/>
                              <w:lang w:val="en-US"/>
                            </w:rPr>
                            <w:fldChar w:fldCharType="begin"/>
                          </w:r>
                          <w:r w:rsidRPr="00395867">
                            <w:rPr>
                              <w:rFonts w:asciiTheme="minorHAnsi" w:hAnsiTheme="minorHAnsi" w:cstheme="minorHAnsi"/>
                              <w:color w:val="1E5FAA"/>
                              <w:sz w:val="16"/>
                              <w:szCs w:val="16"/>
                              <w:lang w:val="en-US"/>
                            </w:rPr>
                            <w:instrText xml:space="preserve"> =-8+</w:instrText>
                          </w:r>
                          <w:r w:rsidRPr="00395867">
                            <w:rPr>
                              <w:rFonts w:asciiTheme="minorHAnsi" w:hAnsiTheme="minorHAnsi" w:cstheme="minorHAnsi"/>
                              <w:color w:val="1E5FAA"/>
                              <w:sz w:val="16"/>
                              <w:szCs w:val="16"/>
                              <w:lang w:val="en-US"/>
                            </w:rPr>
                            <w:fldChar w:fldCharType="begin"/>
                          </w:r>
                          <w:r w:rsidRPr="00395867">
                            <w:rPr>
                              <w:rFonts w:asciiTheme="minorHAnsi" w:hAnsiTheme="minorHAnsi" w:cstheme="minorHAnsi"/>
                              <w:color w:val="1E5FAA"/>
                              <w:sz w:val="16"/>
                              <w:szCs w:val="16"/>
                              <w:lang w:val="en-US"/>
                            </w:rPr>
                            <w:instrText xml:space="preserve"> PAGE </w:instrText>
                          </w:r>
                          <w:r w:rsidRPr="00395867">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instrText>84</w:instrText>
                          </w:r>
                          <w:r w:rsidRPr="00395867">
                            <w:rPr>
                              <w:rFonts w:asciiTheme="minorHAnsi" w:hAnsiTheme="minorHAnsi" w:cstheme="minorHAnsi"/>
                              <w:color w:val="1E5FAA"/>
                              <w:sz w:val="16"/>
                              <w:szCs w:val="16"/>
                              <w:lang w:val="en-US"/>
                            </w:rPr>
                            <w:fldChar w:fldCharType="end"/>
                          </w:r>
                          <w:r w:rsidRPr="00395867">
                            <w:rPr>
                              <w:rFonts w:asciiTheme="minorHAnsi" w:hAnsiTheme="minorHAnsi" w:cstheme="minorHAnsi"/>
                              <w:color w:val="1E5FAA"/>
                              <w:sz w:val="16"/>
                              <w:szCs w:val="16"/>
                              <w:lang w:val="en-US"/>
                            </w:rPr>
                            <w:instrText xml:space="preserve"> </w:instrText>
                          </w:r>
                          <w:r w:rsidRPr="00395867">
                            <w:rPr>
                              <w:rFonts w:asciiTheme="minorHAnsi" w:hAnsiTheme="minorHAnsi" w:cstheme="minorHAnsi"/>
                              <w:color w:val="1E5FAA"/>
                              <w:sz w:val="16"/>
                              <w:szCs w:val="16"/>
                              <w:lang w:val="en-US"/>
                            </w:rPr>
                            <w:fldChar w:fldCharType="separate"/>
                          </w:r>
                          <w:r w:rsidR="00D235F0">
                            <w:rPr>
                              <w:rFonts w:asciiTheme="minorHAnsi" w:hAnsiTheme="minorHAnsi" w:cstheme="minorHAnsi"/>
                              <w:noProof/>
                              <w:color w:val="1E5FAA"/>
                              <w:sz w:val="16"/>
                              <w:szCs w:val="16"/>
                              <w:lang w:val="en-US"/>
                            </w:rPr>
                            <w:t>76</w:t>
                          </w:r>
                          <w:r w:rsidRPr="00395867">
                            <w:rPr>
                              <w:rFonts w:asciiTheme="minorHAnsi" w:hAnsiTheme="minorHAnsi" w:cstheme="minorHAnsi"/>
                              <w:color w:val="1E5FAA"/>
                              <w:sz w:val="16"/>
                              <w:szCs w:val="16"/>
                              <w:lang w:val="en-US"/>
                            </w:rPr>
                            <w:fldChar w:fldCharType="end"/>
                          </w:r>
                        </w:p>
                      </w:tc>
                    </w:tr>
                    <w:tr w:rsidR="00395867" w:rsidTr="00395867">
                      <w:trPr>
                        <w:cantSplit/>
                        <w:trHeight w:val="2955"/>
                      </w:trPr>
                      <w:tc>
                        <w:tcPr>
                          <w:tcW w:w="397" w:type="dxa"/>
                          <w:textDirection w:val="tbRl"/>
                        </w:tcPr>
                        <w:p w:rsidR="00395867" w:rsidRPr="00395867" w:rsidRDefault="00395867" w:rsidP="00395867">
                          <w:pPr>
                            <w:ind w:left="57"/>
                            <w:rPr>
                              <w:rFonts w:asciiTheme="minorHAnsi" w:hAnsiTheme="minorHAnsi" w:cstheme="minorHAnsi"/>
                              <w:color w:val="1E5FAA"/>
                              <w:sz w:val="16"/>
                              <w:szCs w:val="16"/>
                            </w:rPr>
                          </w:pPr>
                          <w:r w:rsidRPr="00395867">
                            <w:rPr>
                              <w:rFonts w:asciiTheme="minorHAnsi" w:hAnsiTheme="minorHAnsi" w:cstheme="minorHAnsi"/>
                              <w:color w:val="1E5FAA"/>
                              <w:sz w:val="16"/>
                              <w:szCs w:val="16"/>
                            </w:rPr>
                            <w:t xml:space="preserve">Операційне </w:t>
                          </w:r>
                          <w:r w:rsidRPr="00395867">
                            <w:rPr>
                              <w:rFonts w:asciiTheme="minorHAnsi" w:hAnsiTheme="minorHAnsi" w:cstheme="minorHAnsi"/>
                              <w:color w:val="FF0000"/>
                              <w:sz w:val="16"/>
                              <w:szCs w:val="16"/>
                            </w:rPr>
                            <w:t xml:space="preserve">керівництво </w:t>
                          </w:r>
                        </w:p>
                        <w:p w:rsidR="00395867" w:rsidRPr="00395867" w:rsidRDefault="00395867" w:rsidP="00395867">
                          <w:pPr>
                            <w:ind w:left="57"/>
                            <w:rPr>
                              <w:rFonts w:asciiTheme="minorHAnsi" w:hAnsiTheme="minorHAnsi" w:cstheme="minorHAnsi"/>
                              <w:color w:val="1E5FAA"/>
                              <w:sz w:val="16"/>
                              <w:szCs w:val="16"/>
                            </w:rPr>
                          </w:pPr>
                          <w:r w:rsidRPr="00395867">
                            <w:rPr>
                              <w:rFonts w:asciiTheme="minorHAnsi" w:hAnsiTheme="minorHAnsi" w:cstheme="minorHAnsi"/>
                              <w:color w:val="FF0000"/>
                              <w:sz w:val="16"/>
                              <w:szCs w:val="16"/>
                            </w:rPr>
                            <w:t xml:space="preserve">ВООЗ </w:t>
                          </w:r>
                          <w:r w:rsidRPr="00395867">
                            <w:rPr>
                              <w:rFonts w:asciiTheme="minorHAnsi" w:hAnsiTheme="minorHAnsi" w:cstheme="minorHAnsi"/>
                              <w:color w:val="1E5FAA"/>
                              <w:sz w:val="16"/>
                              <w:szCs w:val="16"/>
                            </w:rPr>
                            <w:t>щодо туберкульозу</w:t>
                          </w:r>
                        </w:p>
                      </w:tc>
                    </w:tr>
                  </w:tbl>
                  <w:p w:rsidR="00395867" w:rsidRPr="00F90B9E" w:rsidRDefault="00395867" w:rsidP="00395867">
                    <w:pPr>
                      <w:rPr>
                        <w:sz w:val="18"/>
                      </w:rPr>
                    </w:pP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867" w:rsidRDefault="00395867">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DC3EC490"/>
    <w:lvl w:ilvl="0">
      <w:numFmt w:val="bullet"/>
      <w:lvlText w:val="*"/>
      <w:lvlJc w:val="left"/>
    </w:lvl>
  </w:abstractNum>
  <w:abstractNum w:abstractNumId="1" w15:restartNumberingAfterBreak="0">
    <w:nsid w:val="171A6410"/>
    <w:multiLevelType w:val="hybridMultilevel"/>
    <w:tmpl w:val="1D849296"/>
    <w:lvl w:ilvl="0" w:tplc="52644D22">
      <w:numFmt w:val="bullet"/>
      <w:lvlText w:val=""/>
      <w:lvlJc w:val="left"/>
      <w:pPr>
        <w:ind w:left="720" w:hanging="360"/>
      </w:pPr>
      <w:rPr>
        <w:rFonts w:ascii="Wingdings" w:eastAsiaTheme="minorEastAsia" w:hAnsi="Wingdings" w:hint="default"/>
        <w:color w:val="1E5FAA"/>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1BF06A1F"/>
    <w:multiLevelType w:val="singleLevel"/>
    <w:tmpl w:val="0688013E"/>
    <w:lvl w:ilvl="0">
      <w:start w:val="1"/>
      <w:numFmt w:val="decimal"/>
      <w:lvlText w:val="%1"/>
      <w:legacy w:legacy="1" w:legacySpace="0" w:legacyIndent="360"/>
      <w:lvlJc w:val="left"/>
      <w:rPr>
        <w:rFonts w:asciiTheme="minorHAnsi" w:hAnsiTheme="minorHAnsi" w:cstheme="minorHAnsi" w:hint="default"/>
      </w:rPr>
    </w:lvl>
  </w:abstractNum>
  <w:abstractNum w:abstractNumId="3" w15:restartNumberingAfterBreak="0">
    <w:nsid w:val="20FD34C8"/>
    <w:multiLevelType w:val="singleLevel"/>
    <w:tmpl w:val="87C87E14"/>
    <w:lvl w:ilvl="0">
      <w:start w:val="1"/>
      <w:numFmt w:val="decimal"/>
      <w:lvlText w:val="4.%1"/>
      <w:legacy w:legacy="1" w:legacySpace="0" w:legacyIndent="331"/>
      <w:lvlJc w:val="left"/>
      <w:rPr>
        <w:rFonts w:asciiTheme="minorHAnsi" w:hAnsiTheme="minorHAnsi" w:cstheme="minorHAnsi" w:hint="default"/>
      </w:rPr>
    </w:lvl>
  </w:abstractNum>
  <w:abstractNum w:abstractNumId="4" w15:restartNumberingAfterBreak="0">
    <w:nsid w:val="23F5223C"/>
    <w:multiLevelType w:val="singleLevel"/>
    <w:tmpl w:val="CB225FF6"/>
    <w:lvl w:ilvl="0">
      <w:start w:val="2"/>
      <w:numFmt w:val="lowerLetter"/>
      <w:lvlText w:val="%1)"/>
      <w:legacy w:legacy="1" w:legacySpace="0" w:legacyIndent="322"/>
      <w:lvlJc w:val="left"/>
      <w:rPr>
        <w:rFonts w:asciiTheme="minorHAnsi" w:hAnsiTheme="minorHAnsi" w:cstheme="minorHAnsi" w:hint="default"/>
      </w:rPr>
    </w:lvl>
  </w:abstractNum>
  <w:abstractNum w:abstractNumId="5" w15:restartNumberingAfterBreak="0">
    <w:nsid w:val="2E471B18"/>
    <w:multiLevelType w:val="hybridMultilevel"/>
    <w:tmpl w:val="76FE4BA2"/>
    <w:lvl w:ilvl="0" w:tplc="52644D22">
      <w:numFmt w:val="bullet"/>
      <w:lvlText w:val=""/>
      <w:lvlJc w:val="left"/>
      <w:pPr>
        <w:ind w:left="720" w:hanging="360"/>
      </w:pPr>
      <w:rPr>
        <w:rFonts w:ascii="Wingdings" w:eastAsiaTheme="minorEastAsia" w:hAnsi="Wingdings" w:hint="default"/>
        <w:color w:val="1E5FAA"/>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48C57FD3"/>
    <w:multiLevelType w:val="singleLevel"/>
    <w:tmpl w:val="15A258B4"/>
    <w:lvl w:ilvl="0">
      <w:start w:val="1"/>
      <w:numFmt w:val="decimal"/>
      <w:lvlText w:val="3.%1"/>
      <w:legacy w:legacy="1" w:legacySpace="0" w:legacyIndent="331"/>
      <w:lvlJc w:val="left"/>
      <w:rPr>
        <w:rFonts w:asciiTheme="minorHAnsi" w:hAnsiTheme="minorHAnsi" w:cstheme="minorHAnsi" w:hint="default"/>
      </w:rPr>
    </w:lvl>
  </w:abstractNum>
  <w:abstractNum w:abstractNumId="7" w15:restartNumberingAfterBreak="0">
    <w:nsid w:val="52012DE5"/>
    <w:multiLevelType w:val="hybridMultilevel"/>
    <w:tmpl w:val="AF34DB0A"/>
    <w:lvl w:ilvl="0" w:tplc="52644D22">
      <w:numFmt w:val="bullet"/>
      <w:lvlText w:val=""/>
      <w:lvlJc w:val="left"/>
      <w:pPr>
        <w:ind w:left="720" w:hanging="360"/>
      </w:pPr>
      <w:rPr>
        <w:rFonts w:ascii="Wingdings" w:eastAsiaTheme="minorEastAsia" w:hAnsi="Wingdings" w:hint="default"/>
        <w:color w:val="1E5FAA"/>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523D2EF6"/>
    <w:multiLevelType w:val="singleLevel"/>
    <w:tmpl w:val="744C25B2"/>
    <w:lvl w:ilvl="0">
      <w:start w:val="1"/>
      <w:numFmt w:val="decimal"/>
      <w:lvlText w:val="8.%1"/>
      <w:legacy w:legacy="1" w:legacySpace="0" w:legacyIndent="331"/>
      <w:lvlJc w:val="left"/>
      <w:rPr>
        <w:rFonts w:asciiTheme="minorHAnsi" w:hAnsiTheme="minorHAnsi" w:cstheme="minorHAnsi" w:hint="default"/>
      </w:rPr>
    </w:lvl>
  </w:abstractNum>
  <w:abstractNum w:abstractNumId="9" w15:restartNumberingAfterBreak="0">
    <w:nsid w:val="54BB41DF"/>
    <w:multiLevelType w:val="hybridMultilevel"/>
    <w:tmpl w:val="6F2C60B0"/>
    <w:lvl w:ilvl="0" w:tplc="DC3EC490">
      <w:numFmt w:val="bullet"/>
      <w:lvlText w:val="•"/>
      <w:lvlJc w:val="left"/>
      <w:pPr>
        <w:ind w:left="720" w:hanging="360"/>
      </w:pPr>
      <w:rPr>
        <w:rFonts w:ascii="Arial" w:hAnsi="Arial" w:hint="default"/>
      </w:rPr>
    </w:lvl>
    <w:lvl w:ilvl="1" w:tplc="04220003">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575A699C"/>
    <w:multiLevelType w:val="singleLevel"/>
    <w:tmpl w:val="E7D6944A"/>
    <w:lvl w:ilvl="0">
      <w:start w:val="1"/>
      <w:numFmt w:val="lowerLetter"/>
      <w:lvlText w:val="%1)"/>
      <w:legacy w:legacy="1" w:legacySpace="0" w:legacyIndent="322"/>
      <w:lvlJc w:val="left"/>
      <w:rPr>
        <w:rFonts w:asciiTheme="minorHAnsi" w:hAnsiTheme="minorHAnsi" w:cstheme="minorHAnsi" w:hint="default"/>
      </w:rPr>
    </w:lvl>
  </w:abstractNum>
  <w:abstractNum w:abstractNumId="11" w15:restartNumberingAfterBreak="0">
    <w:nsid w:val="5A232CAD"/>
    <w:multiLevelType w:val="singleLevel"/>
    <w:tmpl w:val="042A1AD2"/>
    <w:lvl w:ilvl="0">
      <w:start w:val="16"/>
      <w:numFmt w:val="decimal"/>
      <w:lvlText w:val="%1"/>
      <w:legacy w:legacy="1" w:legacySpace="0" w:legacyIndent="360"/>
      <w:lvlJc w:val="left"/>
      <w:rPr>
        <w:rFonts w:asciiTheme="minorHAnsi" w:hAnsiTheme="minorHAnsi" w:cstheme="minorHAnsi" w:hint="default"/>
        <w:sz w:val="20"/>
      </w:rPr>
    </w:lvl>
  </w:abstractNum>
  <w:abstractNum w:abstractNumId="12" w15:restartNumberingAfterBreak="0">
    <w:nsid w:val="5BF22BB5"/>
    <w:multiLevelType w:val="singleLevel"/>
    <w:tmpl w:val="4502B0CE"/>
    <w:lvl w:ilvl="0">
      <w:start w:val="1"/>
      <w:numFmt w:val="decimal"/>
      <w:lvlText w:val="%1."/>
      <w:legacy w:legacy="1" w:legacySpace="0" w:legacyIndent="259"/>
      <w:lvlJc w:val="left"/>
      <w:rPr>
        <w:rFonts w:asciiTheme="minorHAnsi" w:hAnsiTheme="minorHAnsi" w:cstheme="minorHAnsi" w:hint="default"/>
      </w:rPr>
    </w:lvl>
  </w:abstractNum>
  <w:abstractNum w:abstractNumId="13" w15:restartNumberingAfterBreak="0">
    <w:nsid w:val="5CE802C8"/>
    <w:multiLevelType w:val="singleLevel"/>
    <w:tmpl w:val="94005CA0"/>
    <w:lvl w:ilvl="0">
      <w:start w:val="1"/>
      <w:numFmt w:val="decimal"/>
      <w:lvlText w:val="7.%1"/>
      <w:legacy w:legacy="1" w:legacySpace="0" w:legacyIndent="331"/>
      <w:lvlJc w:val="left"/>
      <w:rPr>
        <w:rFonts w:asciiTheme="minorHAnsi" w:hAnsiTheme="minorHAnsi" w:cstheme="minorHAnsi" w:hint="default"/>
      </w:rPr>
    </w:lvl>
  </w:abstractNum>
  <w:abstractNum w:abstractNumId="14" w15:restartNumberingAfterBreak="0">
    <w:nsid w:val="701233D1"/>
    <w:multiLevelType w:val="singleLevel"/>
    <w:tmpl w:val="9A4A996E"/>
    <w:lvl w:ilvl="0">
      <w:start w:val="1"/>
      <w:numFmt w:val="decimal"/>
      <w:lvlText w:val="6.%1"/>
      <w:legacy w:legacy="1" w:legacySpace="0" w:legacyIndent="331"/>
      <w:lvlJc w:val="left"/>
      <w:rPr>
        <w:rFonts w:asciiTheme="minorHAnsi" w:hAnsiTheme="minorHAnsi" w:cstheme="minorHAnsi" w:hint="default"/>
      </w:rPr>
    </w:lvl>
  </w:abstractNum>
  <w:abstractNum w:abstractNumId="15" w15:restartNumberingAfterBreak="0">
    <w:nsid w:val="78331FC4"/>
    <w:multiLevelType w:val="singleLevel"/>
    <w:tmpl w:val="93FCA986"/>
    <w:lvl w:ilvl="0">
      <w:start w:val="5"/>
      <w:numFmt w:val="decimal"/>
      <w:lvlText w:val="%1"/>
      <w:legacy w:legacy="1" w:legacySpace="0" w:legacyIndent="360"/>
      <w:lvlJc w:val="left"/>
      <w:rPr>
        <w:rFonts w:asciiTheme="minorHAnsi" w:hAnsiTheme="minorHAnsi" w:cstheme="minorHAnsi" w:hint="default"/>
      </w:rPr>
    </w:lvl>
  </w:abstractNum>
  <w:abstractNum w:abstractNumId="16" w15:restartNumberingAfterBreak="0">
    <w:nsid w:val="7AEB6CEF"/>
    <w:multiLevelType w:val="singleLevel"/>
    <w:tmpl w:val="5DEA61F4"/>
    <w:lvl w:ilvl="0">
      <w:start w:val="1"/>
      <w:numFmt w:val="decimal"/>
      <w:lvlText w:val="5.%1"/>
      <w:legacy w:legacy="1" w:legacySpace="0" w:legacyIndent="331"/>
      <w:lvlJc w:val="left"/>
      <w:rPr>
        <w:rFonts w:asciiTheme="minorHAnsi" w:hAnsiTheme="minorHAnsi" w:cstheme="minorHAnsi" w:hint="default"/>
      </w:rPr>
    </w:lvl>
  </w:abstractNum>
  <w:abstractNum w:abstractNumId="17" w15:restartNumberingAfterBreak="0">
    <w:nsid w:val="7AF31389"/>
    <w:multiLevelType w:val="hybridMultilevel"/>
    <w:tmpl w:val="2DBCCCCA"/>
    <w:lvl w:ilvl="0" w:tplc="DC3EC490">
      <w:numFmt w:val="bullet"/>
      <w:lvlText w:val="•"/>
      <w:lvlJc w:val="left"/>
      <w:pPr>
        <w:ind w:left="720" w:hanging="360"/>
      </w:pPr>
      <w:rPr>
        <w:rFonts w:ascii="Arial" w:hAnsi="Arial" w:hint="default"/>
      </w:rPr>
    </w:lvl>
    <w:lvl w:ilvl="1" w:tplc="DC3EC490">
      <w:numFmt w:val="bullet"/>
      <w:lvlText w:val="•"/>
      <w:lvlJc w:val="left"/>
      <w:pPr>
        <w:ind w:left="1440" w:hanging="360"/>
      </w:pPr>
      <w:rPr>
        <w:rFonts w:ascii="Arial" w:hAnsi="Arial"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3"/>
  </w:num>
  <w:num w:numId="4">
    <w:abstractNumId w:val="16"/>
  </w:num>
  <w:num w:numId="5">
    <w:abstractNumId w:val="14"/>
  </w:num>
  <w:num w:numId="6">
    <w:abstractNumId w:val="14"/>
    <w:lvlOverride w:ilvl="0">
      <w:lvl w:ilvl="0">
        <w:start w:val="3"/>
        <w:numFmt w:val="decimal"/>
        <w:lvlText w:val="6.%1"/>
        <w:legacy w:legacy="1" w:legacySpace="0" w:legacyIndent="331"/>
        <w:lvlJc w:val="left"/>
        <w:rPr>
          <w:rFonts w:asciiTheme="minorHAnsi" w:hAnsiTheme="minorHAnsi" w:cstheme="minorHAnsi" w:hint="default"/>
        </w:rPr>
      </w:lvl>
    </w:lvlOverride>
  </w:num>
  <w:num w:numId="7">
    <w:abstractNumId w:val="13"/>
  </w:num>
  <w:num w:numId="8">
    <w:abstractNumId w:val="8"/>
  </w:num>
  <w:num w:numId="9">
    <w:abstractNumId w:val="0"/>
    <w:lvlOverride w:ilvl="0">
      <w:lvl w:ilvl="0">
        <w:numFmt w:val="bullet"/>
        <w:lvlText w:val="•"/>
        <w:legacy w:legacy="1" w:legacySpace="0" w:legacyIndent="240"/>
        <w:lvlJc w:val="left"/>
        <w:rPr>
          <w:rFonts w:ascii="Arial" w:hAnsi="Arial" w:hint="default"/>
        </w:rPr>
      </w:lvl>
    </w:lvlOverride>
  </w:num>
  <w:num w:numId="10">
    <w:abstractNumId w:val="0"/>
    <w:lvlOverride w:ilvl="0">
      <w:lvl w:ilvl="0">
        <w:numFmt w:val="bullet"/>
        <w:lvlText w:val="•"/>
        <w:legacy w:legacy="1" w:legacySpace="0" w:legacyIndent="274"/>
        <w:lvlJc w:val="left"/>
        <w:rPr>
          <w:rFonts w:ascii="Arial" w:hAnsi="Arial" w:hint="default"/>
        </w:rPr>
      </w:lvl>
    </w:lvlOverride>
  </w:num>
  <w:num w:numId="11">
    <w:abstractNumId w:val="0"/>
    <w:lvlOverride w:ilvl="0">
      <w:lvl w:ilvl="0">
        <w:numFmt w:val="bullet"/>
        <w:lvlText w:val="•"/>
        <w:legacy w:legacy="1" w:legacySpace="0" w:legacyIndent="254"/>
        <w:lvlJc w:val="left"/>
        <w:rPr>
          <w:rFonts w:ascii="Arial" w:hAnsi="Arial" w:hint="default"/>
        </w:rPr>
      </w:lvl>
    </w:lvlOverride>
  </w:num>
  <w:num w:numId="12">
    <w:abstractNumId w:val="4"/>
  </w:num>
  <w:num w:numId="13">
    <w:abstractNumId w:val="10"/>
  </w:num>
  <w:num w:numId="14">
    <w:abstractNumId w:val="2"/>
  </w:num>
  <w:num w:numId="15">
    <w:abstractNumId w:val="15"/>
  </w:num>
  <w:num w:numId="16">
    <w:abstractNumId w:val="11"/>
  </w:num>
  <w:num w:numId="17">
    <w:abstractNumId w:val="11"/>
    <w:lvlOverride w:ilvl="0">
      <w:lvl w:ilvl="0">
        <w:start w:val="34"/>
        <w:numFmt w:val="decimal"/>
        <w:lvlText w:val="%1"/>
        <w:legacy w:legacy="1" w:legacySpace="0" w:legacyIndent="360"/>
        <w:lvlJc w:val="left"/>
        <w:rPr>
          <w:rFonts w:asciiTheme="minorHAnsi" w:hAnsiTheme="minorHAnsi" w:cstheme="minorHAnsi" w:hint="default"/>
        </w:rPr>
      </w:lvl>
    </w:lvlOverride>
  </w:num>
  <w:num w:numId="18">
    <w:abstractNumId w:val="11"/>
    <w:lvlOverride w:ilvl="0">
      <w:lvl w:ilvl="0">
        <w:start w:val="49"/>
        <w:numFmt w:val="decimal"/>
        <w:lvlText w:val="%1"/>
        <w:legacy w:legacy="1" w:legacySpace="0" w:legacyIndent="360"/>
        <w:lvlJc w:val="left"/>
        <w:rPr>
          <w:rFonts w:ascii="Arial" w:hAnsi="Arial" w:cs="Arial" w:hint="default"/>
        </w:rPr>
      </w:lvl>
    </w:lvlOverride>
  </w:num>
  <w:num w:numId="19">
    <w:abstractNumId w:val="11"/>
    <w:lvlOverride w:ilvl="0">
      <w:lvl w:ilvl="0">
        <w:start w:val="65"/>
        <w:numFmt w:val="decimal"/>
        <w:lvlText w:val="%1"/>
        <w:legacy w:legacy="1" w:legacySpace="0" w:legacyIndent="360"/>
        <w:lvlJc w:val="left"/>
        <w:rPr>
          <w:rFonts w:ascii="Arial" w:hAnsi="Arial" w:cs="Arial" w:hint="default"/>
        </w:rPr>
      </w:lvl>
    </w:lvlOverride>
  </w:num>
  <w:num w:numId="20">
    <w:abstractNumId w:val="11"/>
    <w:lvlOverride w:ilvl="0">
      <w:lvl w:ilvl="0">
        <w:start w:val="80"/>
        <w:numFmt w:val="decimal"/>
        <w:lvlText w:val="%1"/>
        <w:legacy w:legacy="1" w:legacySpace="0" w:legacyIndent="360"/>
        <w:lvlJc w:val="left"/>
        <w:rPr>
          <w:rFonts w:ascii="Arial" w:hAnsi="Arial" w:cs="Arial" w:hint="default"/>
        </w:rPr>
      </w:lvl>
    </w:lvlOverride>
  </w:num>
  <w:num w:numId="21">
    <w:abstractNumId w:val="11"/>
    <w:lvlOverride w:ilvl="0">
      <w:lvl w:ilvl="0">
        <w:start w:val="95"/>
        <w:numFmt w:val="decimal"/>
        <w:lvlText w:val="%1"/>
        <w:legacy w:legacy="1" w:legacySpace="0" w:legacyIndent="360"/>
        <w:lvlJc w:val="left"/>
        <w:rPr>
          <w:rFonts w:ascii="Arial" w:hAnsi="Arial" w:cs="Arial" w:hint="default"/>
        </w:rPr>
      </w:lvl>
    </w:lvlOverride>
  </w:num>
  <w:num w:numId="22">
    <w:abstractNumId w:val="11"/>
    <w:lvlOverride w:ilvl="0">
      <w:lvl w:ilvl="0">
        <w:start w:val="114"/>
        <w:numFmt w:val="decimal"/>
        <w:lvlText w:val="%1"/>
        <w:legacy w:legacy="1" w:legacySpace="0" w:legacyIndent="360"/>
        <w:lvlJc w:val="left"/>
        <w:rPr>
          <w:rFonts w:ascii="Arial" w:hAnsi="Arial" w:cs="Arial" w:hint="default"/>
        </w:rPr>
      </w:lvl>
    </w:lvlOverride>
  </w:num>
  <w:num w:numId="23">
    <w:abstractNumId w:val="5"/>
  </w:num>
  <w:num w:numId="24">
    <w:abstractNumId w:val="1"/>
  </w:num>
  <w:num w:numId="25">
    <w:abstractNumId w:val="9"/>
  </w:num>
  <w:num w:numId="26">
    <w:abstractNumId w:val="17"/>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bordersDoNotSurroundHeader/>
  <w:bordersDoNotSurroundFooter/>
  <w:hideSpellingErrors/>
  <w:defaultTabStop w:val="720"/>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738"/>
    <w:rsid w:val="000344A4"/>
    <w:rsid w:val="00080638"/>
    <w:rsid w:val="000A5DB9"/>
    <w:rsid w:val="000B215D"/>
    <w:rsid w:val="000C365F"/>
    <w:rsid w:val="000C4F1C"/>
    <w:rsid w:val="00145FBD"/>
    <w:rsid w:val="001E6B62"/>
    <w:rsid w:val="001F691B"/>
    <w:rsid w:val="002A03C7"/>
    <w:rsid w:val="00395867"/>
    <w:rsid w:val="00445738"/>
    <w:rsid w:val="005144DA"/>
    <w:rsid w:val="005225B5"/>
    <w:rsid w:val="005C0A87"/>
    <w:rsid w:val="006263CF"/>
    <w:rsid w:val="00777DCB"/>
    <w:rsid w:val="007E6088"/>
    <w:rsid w:val="00815B61"/>
    <w:rsid w:val="00A04C57"/>
    <w:rsid w:val="00A53870"/>
    <w:rsid w:val="00A76928"/>
    <w:rsid w:val="00AF465C"/>
    <w:rsid w:val="00C451C7"/>
    <w:rsid w:val="00C73DE6"/>
    <w:rsid w:val="00C74E14"/>
    <w:rsid w:val="00D15218"/>
    <w:rsid w:val="00D235F0"/>
    <w:rsid w:val="00DD0406"/>
    <w:rsid w:val="00F05E40"/>
    <w:rsid w:val="00F90B9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22544AAA-FEAC-4104-A917-484EFA14E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uk-UA" w:eastAsia="uk-UA"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autoSpaceDE w:val="0"/>
      <w:autoSpaceDN w:val="0"/>
      <w:adjustRightInd w:val="0"/>
      <w:spacing w:after="0" w:line="240" w:lineRule="auto"/>
    </w:pPr>
    <w:rPr>
      <w:rFonts w:ascii="Arial" w:hAnsi="Arial" w:cs="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445738"/>
    <w:pPr>
      <w:autoSpaceDE w:val="0"/>
      <w:autoSpaceDN w:val="0"/>
      <w:adjustRightInd w:val="0"/>
      <w:spacing w:after="0" w:line="240" w:lineRule="auto"/>
    </w:pPr>
    <w:rPr>
      <w:rFonts w:ascii="KQAMZ C+ Avenir LT Std" w:hAnsi="KQAMZ C+ Avenir LT Std" w:cs="KQAMZ C+ Avenir LT Std"/>
      <w:color w:val="000000"/>
      <w:sz w:val="24"/>
      <w:szCs w:val="24"/>
    </w:rPr>
  </w:style>
  <w:style w:type="paragraph" w:customStyle="1" w:styleId="Pa0">
    <w:name w:val="Pa0"/>
    <w:basedOn w:val="Default"/>
    <w:next w:val="Default"/>
    <w:uiPriority w:val="99"/>
    <w:rsid w:val="00445738"/>
    <w:pPr>
      <w:spacing w:line="221" w:lineRule="atLeast"/>
    </w:pPr>
    <w:rPr>
      <w:rFonts w:ascii="Segoe UI" w:hAnsi="Segoe UI" w:cs="Segoe UI"/>
      <w:color w:val="auto"/>
    </w:rPr>
  </w:style>
  <w:style w:type="character" w:customStyle="1" w:styleId="A7">
    <w:name w:val="A7"/>
    <w:uiPriority w:val="99"/>
    <w:rsid w:val="00445738"/>
    <w:rPr>
      <w:rFonts w:ascii="Wingdings" w:hAnsi="Wingdings"/>
      <w:color w:val="1E5FAA"/>
      <w:sz w:val="22"/>
    </w:rPr>
  </w:style>
  <w:style w:type="paragraph" w:customStyle="1" w:styleId="Pa18">
    <w:name w:val="Pa18"/>
    <w:basedOn w:val="Default"/>
    <w:next w:val="Default"/>
    <w:uiPriority w:val="99"/>
    <w:rsid w:val="00445738"/>
    <w:pPr>
      <w:spacing w:line="221" w:lineRule="atLeast"/>
    </w:pPr>
    <w:rPr>
      <w:rFonts w:ascii="Segoe UI Light" w:hAnsi="Segoe UI Light" w:cs="Segoe UI Light"/>
      <w:color w:val="auto"/>
    </w:rPr>
  </w:style>
  <w:style w:type="character" w:customStyle="1" w:styleId="A11">
    <w:name w:val="A11"/>
    <w:uiPriority w:val="99"/>
    <w:rsid w:val="00445738"/>
    <w:rPr>
      <w:rFonts w:ascii="Segoe UI Semibold" w:hAnsi="Segoe UI Semibold"/>
      <w:b/>
      <w:color w:val="000000"/>
      <w:sz w:val="12"/>
    </w:rPr>
  </w:style>
  <w:style w:type="paragraph" w:customStyle="1" w:styleId="Pa20">
    <w:name w:val="Pa20"/>
    <w:basedOn w:val="Default"/>
    <w:next w:val="Default"/>
    <w:uiPriority w:val="99"/>
    <w:rsid w:val="00445738"/>
    <w:pPr>
      <w:spacing w:line="221" w:lineRule="atLeast"/>
    </w:pPr>
    <w:rPr>
      <w:rFonts w:ascii="Segoe UI" w:hAnsi="Segoe UI" w:cs="Segoe UI"/>
      <w:color w:val="auto"/>
    </w:rPr>
  </w:style>
  <w:style w:type="paragraph" w:customStyle="1" w:styleId="Pa33">
    <w:name w:val="Pa33"/>
    <w:basedOn w:val="Default"/>
    <w:next w:val="Default"/>
    <w:uiPriority w:val="99"/>
    <w:rsid w:val="00445738"/>
    <w:pPr>
      <w:spacing w:line="221" w:lineRule="atLeast"/>
    </w:pPr>
    <w:rPr>
      <w:rFonts w:ascii="Segoe UI" w:hAnsi="Segoe UI" w:cs="Segoe UI"/>
      <w:color w:val="auto"/>
    </w:rPr>
  </w:style>
  <w:style w:type="paragraph" w:styleId="a3">
    <w:name w:val="Balloon Text"/>
    <w:basedOn w:val="a"/>
    <w:link w:val="a4"/>
    <w:uiPriority w:val="99"/>
    <w:semiHidden/>
    <w:unhideWhenUsed/>
    <w:rsid w:val="000B215D"/>
    <w:rPr>
      <w:rFonts w:ascii="Tahoma" w:hAnsi="Tahoma" w:cs="Tahoma"/>
      <w:sz w:val="16"/>
      <w:szCs w:val="16"/>
    </w:rPr>
  </w:style>
  <w:style w:type="character" w:customStyle="1" w:styleId="a4">
    <w:name w:val="Текст у виносці Знак"/>
    <w:basedOn w:val="a0"/>
    <w:link w:val="a3"/>
    <w:uiPriority w:val="99"/>
    <w:semiHidden/>
    <w:rsid w:val="000B215D"/>
    <w:rPr>
      <w:rFonts w:ascii="Tahoma" w:hAnsi="Tahoma" w:cs="Tahoma"/>
      <w:sz w:val="16"/>
      <w:szCs w:val="16"/>
    </w:rPr>
  </w:style>
  <w:style w:type="character" w:styleId="a5">
    <w:name w:val="Hyperlink"/>
    <w:basedOn w:val="a0"/>
    <w:uiPriority w:val="99"/>
    <w:unhideWhenUsed/>
    <w:rsid w:val="00C451C7"/>
    <w:rPr>
      <w:color w:val="0000FF" w:themeColor="hyperlink"/>
      <w:u w:val="single"/>
    </w:rPr>
  </w:style>
  <w:style w:type="paragraph" w:styleId="a6">
    <w:name w:val="header"/>
    <w:basedOn w:val="a"/>
    <w:link w:val="a8"/>
    <w:uiPriority w:val="99"/>
    <w:unhideWhenUsed/>
    <w:rsid w:val="000344A4"/>
    <w:pPr>
      <w:tabs>
        <w:tab w:val="center" w:pos="4677"/>
        <w:tab w:val="right" w:pos="9355"/>
      </w:tabs>
    </w:pPr>
  </w:style>
  <w:style w:type="character" w:customStyle="1" w:styleId="a8">
    <w:name w:val="Верхній колонтитул Знак"/>
    <w:basedOn w:val="a0"/>
    <w:link w:val="a6"/>
    <w:uiPriority w:val="99"/>
    <w:rsid w:val="000344A4"/>
    <w:rPr>
      <w:rFonts w:ascii="Arial" w:hAnsi="Arial" w:cs="Arial"/>
      <w:sz w:val="20"/>
      <w:szCs w:val="20"/>
    </w:rPr>
  </w:style>
  <w:style w:type="paragraph" w:styleId="a9">
    <w:name w:val="footer"/>
    <w:basedOn w:val="a"/>
    <w:link w:val="aa"/>
    <w:uiPriority w:val="99"/>
    <w:unhideWhenUsed/>
    <w:rsid w:val="000344A4"/>
    <w:pPr>
      <w:tabs>
        <w:tab w:val="center" w:pos="4677"/>
        <w:tab w:val="right" w:pos="9355"/>
      </w:tabs>
    </w:pPr>
  </w:style>
  <w:style w:type="character" w:customStyle="1" w:styleId="aa">
    <w:name w:val="Нижній колонтитул Знак"/>
    <w:basedOn w:val="a0"/>
    <w:link w:val="a9"/>
    <w:uiPriority w:val="99"/>
    <w:rsid w:val="000344A4"/>
    <w:rPr>
      <w:rFonts w:ascii="Arial" w:hAnsi="Arial" w:cs="Arial"/>
      <w:sz w:val="20"/>
      <w:szCs w:val="20"/>
    </w:rPr>
  </w:style>
  <w:style w:type="table" w:styleId="ab">
    <w:name w:val="Table Grid"/>
    <w:basedOn w:val="a1"/>
    <w:uiPriority w:val="59"/>
    <w:rsid w:val="00AF465C"/>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footer" Target="footer9.xml"/><Relationship Id="rId39" Type="http://schemas.openxmlformats.org/officeDocument/2006/relationships/image" Target="media/image12.png"/><Relationship Id="rId21" Type="http://schemas.openxmlformats.org/officeDocument/2006/relationships/footer" Target="footer6.xml"/><Relationship Id="rId34" Type="http://schemas.openxmlformats.org/officeDocument/2006/relationships/footer" Target="footer12.xml"/><Relationship Id="rId42" Type="http://schemas.openxmlformats.org/officeDocument/2006/relationships/footer" Target="footer16.xml"/><Relationship Id="rId47" Type="http://schemas.openxmlformats.org/officeDocument/2006/relationships/footer" Target="footer20.xml"/><Relationship Id="rId50" Type="http://schemas.openxmlformats.org/officeDocument/2006/relationships/footer" Target="footer21.xml"/><Relationship Id="rId55" Type="http://schemas.openxmlformats.org/officeDocument/2006/relationships/header" Target="header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0.png"/><Relationship Id="rId11" Type="http://schemas.openxmlformats.org/officeDocument/2006/relationships/image" Target="media/image3.jpeg"/><Relationship Id="rId24" Type="http://schemas.openxmlformats.org/officeDocument/2006/relationships/footer" Target="footer8.xml"/><Relationship Id="rId32" Type="http://schemas.openxmlformats.org/officeDocument/2006/relationships/footer" Target="footer11.xml"/><Relationship Id="rId37" Type="http://schemas.openxmlformats.org/officeDocument/2006/relationships/header" Target="header6.xml"/><Relationship Id="rId40" Type="http://schemas.openxmlformats.org/officeDocument/2006/relationships/image" Target="media/image13.png"/><Relationship Id="rId45" Type="http://schemas.openxmlformats.org/officeDocument/2006/relationships/footer" Target="footer19.xml"/><Relationship Id="rId53" Type="http://schemas.openxmlformats.org/officeDocument/2006/relationships/header" Target="header11.xml"/><Relationship Id="rId58" Type="http://schemas.openxmlformats.org/officeDocument/2006/relationships/image" Target="media/image14.jpe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footer" Target="footer4.xml"/><Relationship Id="rId14" Type="http://schemas.openxmlformats.org/officeDocument/2006/relationships/image" Target="media/image5.jpeg"/><Relationship Id="rId22" Type="http://schemas.openxmlformats.org/officeDocument/2006/relationships/footer" Target="footer7.xm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header" Target="header5.xml"/><Relationship Id="rId43" Type="http://schemas.openxmlformats.org/officeDocument/2006/relationships/footer" Target="footer17.xml"/><Relationship Id="rId48" Type="http://schemas.openxmlformats.org/officeDocument/2006/relationships/header" Target="header8.xml"/><Relationship Id="rId56" Type="http://schemas.openxmlformats.org/officeDocument/2006/relationships/header" Target="header13.xml"/><Relationship Id="rId8" Type="http://schemas.openxmlformats.org/officeDocument/2006/relationships/image" Target="media/image1.jpeg"/><Relationship Id="rId51" Type="http://schemas.openxmlformats.org/officeDocument/2006/relationships/footer" Target="footer22.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header" Target="header4.xml"/><Relationship Id="rId38" Type="http://schemas.openxmlformats.org/officeDocument/2006/relationships/footer" Target="footer14.xml"/><Relationship Id="rId46" Type="http://schemas.openxmlformats.org/officeDocument/2006/relationships/header" Target="header7.xml"/><Relationship Id="rId59" Type="http://schemas.openxmlformats.org/officeDocument/2006/relationships/header" Target="header14.xml"/><Relationship Id="rId20" Type="http://schemas.openxmlformats.org/officeDocument/2006/relationships/footer" Target="footer5.xml"/><Relationship Id="rId41" Type="http://schemas.openxmlformats.org/officeDocument/2006/relationships/footer" Target="footer15.xml"/><Relationship Id="rId54" Type="http://schemas.openxmlformats.org/officeDocument/2006/relationships/footer" Target="footer2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footer" Target="footer10.xml"/><Relationship Id="rId36" Type="http://schemas.openxmlformats.org/officeDocument/2006/relationships/footer" Target="footer13.xml"/><Relationship Id="rId49" Type="http://schemas.openxmlformats.org/officeDocument/2006/relationships/header" Target="header9.xml"/><Relationship Id="rId57" Type="http://schemas.openxmlformats.org/officeDocument/2006/relationships/footer" Target="footer24.xml"/><Relationship Id="rId10" Type="http://schemas.openxmlformats.org/officeDocument/2006/relationships/header" Target="header1.xml"/><Relationship Id="rId31" Type="http://schemas.openxmlformats.org/officeDocument/2006/relationships/header" Target="header3.xml"/><Relationship Id="rId44" Type="http://schemas.openxmlformats.org/officeDocument/2006/relationships/footer" Target="footer18.xml"/><Relationship Id="rId52" Type="http://schemas.openxmlformats.org/officeDocument/2006/relationships/header" Target="header10.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5CB9C4-0CA4-48AC-AF44-A9870FEC2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88</Pages>
  <Words>174334</Words>
  <Characters>99371</Characters>
  <Application>Microsoft Office Word</Application>
  <DocSecurity>0</DocSecurity>
  <Lines>828</Lines>
  <Paragraphs>546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273159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Крамченко Алена Андреевна</dc:creator>
  <cp:lastModifiedBy>Андрій Мамотенко</cp:lastModifiedBy>
  <cp:revision>2</cp:revision>
  <dcterms:created xsi:type="dcterms:W3CDTF">2020-11-30T10:38:00Z</dcterms:created>
  <dcterms:modified xsi:type="dcterms:W3CDTF">2020-11-30T10:38:00Z</dcterms:modified>
</cp:coreProperties>
</file>