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75B6" w14:textId="34D0E9B1" w:rsidR="00E4427E" w:rsidRPr="004A0EE2" w:rsidRDefault="001D47A4">
      <w:pPr>
        <w:rPr>
          <w:lang w:val="en-GB"/>
        </w:rPr>
      </w:pPr>
      <w:r w:rsidRPr="001D47A4">
        <w:rPr>
          <w:lang w:val="uk"/>
        </w:rPr>
        <w:t>Даний перелік включає лише країни або території, які ВООЗ визначила як такі, в яких існує ризик передачі вірусу жовтої гарячки та/або ті країни, в яких існують вимоги до подорожуючих при відвідуванні їх країни.</w:t>
      </w:r>
    </w:p>
    <w:tbl>
      <w:tblPr>
        <w:tblStyle w:val="5"/>
        <w:tblW w:w="9493" w:type="dxa"/>
        <w:tblInd w:w="288" w:type="dxa"/>
        <w:tblLook w:val="04A0" w:firstRow="1" w:lastRow="0" w:firstColumn="1" w:lastColumn="0" w:noHBand="0" w:noVBand="1"/>
      </w:tblPr>
      <w:tblGrid>
        <w:gridCol w:w="3965"/>
        <w:gridCol w:w="1559"/>
        <w:gridCol w:w="1985"/>
        <w:gridCol w:w="1984"/>
      </w:tblGrid>
      <w:tr w:rsidR="00901B91" w:rsidRPr="00236FE9" w14:paraId="2B9F6168" w14:textId="77777777" w:rsidTr="00251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 w:val="restart"/>
          </w:tcPr>
          <w:p w14:paraId="2CFA93B2" w14:textId="07C2E0F5" w:rsidR="00901B91" w:rsidRPr="00B320E4" w:rsidRDefault="00976448" w:rsidP="00966775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976448">
              <w:rPr>
                <w:lang w:val="uk"/>
              </w:rPr>
              <w:t>Країна</w:t>
            </w:r>
          </w:p>
        </w:tc>
        <w:tc>
          <w:tcPr>
            <w:tcW w:w="1559" w:type="dxa"/>
            <w:vMerge w:val="restart"/>
          </w:tcPr>
          <w:p w14:paraId="2400DF92" w14:textId="7E827D15" w:rsidR="00901B91" w:rsidRPr="00976448" w:rsidRDefault="00901B91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lang w:val="ru-RU"/>
              </w:rPr>
            </w:pPr>
            <w:r w:rsidRPr="00194E88">
              <w:rPr>
                <w:lang w:val="uk"/>
              </w:rPr>
              <w:t>Країна з ризиком передачі жовтої</w:t>
            </w:r>
            <w:r w:rsidR="0091420B">
              <w:rPr>
                <w:lang w:val="uk"/>
              </w:rPr>
              <w:t xml:space="preserve"> </w:t>
            </w:r>
            <w:r w:rsidR="00976448">
              <w:rPr>
                <w:lang w:val="uk"/>
              </w:rPr>
              <w:t>г</w:t>
            </w:r>
            <w:r w:rsidR="00976448" w:rsidRPr="00976448">
              <w:rPr>
                <w:lang w:val="uk"/>
              </w:rPr>
              <w:t>арячки</w:t>
            </w:r>
          </w:p>
        </w:tc>
        <w:tc>
          <w:tcPr>
            <w:tcW w:w="3969" w:type="dxa"/>
            <w:gridSpan w:val="2"/>
          </w:tcPr>
          <w:p w14:paraId="62FD547E" w14:textId="2BFBB815" w:rsidR="00901B91" w:rsidRPr="00976448" w:rsidRDefault="00976448" w:rsidP="0091420B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ru-RU"/>
              </w:rPr>
            </w:pPr>
            <w:r w:rsidRPr="00976448">
              <w:rPr>
                <w:color w:val="auto"/>
                <w:lang w:val="uk"/>
              </w:rPr>
              <w:t>Країна, що вимагає вакцинацію проти жовтої гарячки від подорожуючих, які прибувають з</w:t>
            </w:r>
            <w:r w:rsidRPr="00976448">
              <w:rPr>
                <w:color w:val="auto"/>
                <w:vertAlign w:val="superscript"/>
                <w:lang w:val="uk"/>
              </w:rPr>
              <w:t>3</w:t>
            </w:r>
            <w:r w:rsidR="001F5577">
              <w:rPr>
                <w:color w:val="auto"/>
                <w:lang w:val="uk"/>
              </w:rPr>
              <w:t>:</w:t>
            </w:r>
          </w:p>
        </w:tc>
      </w:tr>
      <w:tr w:rsidR="00976448" w:rsidRPr="00236FE9" w14:paraId="3E75BE4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/>
            <w:tcBorders>
              <w:bottom w:val="single" w:sz="8" w:space="0" w:color="4BACC6" w:themeColor="accent5"/>
            </w:tcBorders>
          </w:tcPr>
          <w:p w14:paraId="1C68A162" w14:textId="77777777" w:rsidR="00976448" w:rsidRPr="0097644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8" w:space="0" w:color="4BACC6" w:themeColor="accent5"/>
            </w:tcBorders>
          </w:tcPr>
          <w:p w14:paraId="7503F4D4" w14:textId="77777777" w:rsidR="00976448" w:rsidRPr="0097644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703A10A7" w14:textId="77777777" w:rsidR="00976448" w:rsidRPr="00976448" w:rsidRDefault="00976448" w:rsidP="0091420B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879"/>
                <w:tab w:val="left" w:pos="3175"/>
                <w:tab w:val="left" w:pos="4819"/>
              </w:tabs>
              <w:spacing w:before="57"/>
              <w:ind w:left="0" w:right="-1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val="uk"/>
              </w:rPr>
            </w:pPr>
            <w:r w:rsidRPr="00976448">
              <w:rPr>
                <w:b/>
                <w:bCs/>
                <w:color w:val="auto"/>
                <w:lang w:val="uk"/>
              </w:rPr>
              <w:t>країн з ризиком передачі жовтої гарячки</w:t>
            </w:r>
          </w:p>
          <w:p w14:paraId="776AD45D" w14:textId="269FD03C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</w:pPr>
            <w:r w:rsidRPr="00976448">
              <w:rPr>
                <w:b/>
                <w:bCs/>
                <w:color w:val="auto"/>
                <w:lang w:val="uk"/>
              </w:rPr>
              <w:t xml:space="preserve">(вік </w:t>
            </w:r>
            <w:r w:rsidR="0091420B">
              <w:rPr>
                <w:b/>
                <w:bCs/>
                <w:color w:val="auto"/>
                <w:lang w:val="uk"/>
              </w:rPr>
              <w:t>п</w:t>
            </w:r>
            <w:r w:rsidRPr="00976448">
              <w:rPr>
                <w:b/>
                <w:bCs/>
                <w:color w:val="auto"/>
                <w:lang w:val="uk"/>
              </w:rPr>
              <w:t>одорожуючого)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5DA9D5F0" w14:textId="77777777" w:rsidR="00976448" w:rsidRPr="00976448" w:rsidRDefault="00976448" w:rsidP="0091420B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val="uk"/>
              </w:rPr>
            </w:pPr>
            <w:r w:rsidRPr="00976448">
              <w:rPr>
                <w:b/>
                <w:bCs/>
                <w:color w:val="auto"/>
                <w:lang w:val="uk"/>
              </w:rPr>
              <w:t>всіх країн</w:t>
            </w:r>
          </w:p>
          <w:p w14:paraId="5861E407" w14:textId="74313427" w:rsidR="00976448" w:rsidRPr="00194E88" w:rsidRDefault="00976448" w:rsidP="0091420B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976448">
              <w:rPr>
                <w:b/>
                <w:bCs/>
                <w:color w:val="auto"/>
                <w:lang w:val="uk"/>
              </w:rPr>
              <w:t>(вік подорожуючого)</w:t>
            </w:r>
          </w:p>
        </w:tc>
      </w:tr>
      <w:tr w:rsidR="00976448" w:rsidRPr="00236FE9" w14:paraId="6A9B10DD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6118C8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9" w:type="dxa"/>
          </w:tcPr>
          <w:p w14:paraId="2A49C02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A5CBA0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025AA5E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8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DFFC55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9E2E3D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Албанія</w:t>
            </w:r>
          </w:p>
        </w:tc>
        <w:tc>
          <w:tcPr>
            <w:tcW w:w="1559" w:type="dxa"/>
          </w:tcPr>
          <w:p w14:paraId="704BEC7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BBAD1D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 (≥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39110BD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8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B4E8852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842881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Алжир</w:t>
            </w:r>
          </w:p>
        </w:tc>
        <w:tc>
          <w:tcPr>
            <w:tcW w:w="1559" w:type="dxa"/>
          </w:tcPr>
          <w:p w14:paraId="6B6B293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91883B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 xml:space="preserve">4 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>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0C82A70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8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225C4ED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ED05DE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Ангола</w:t>
            </w:r>
          </w:p>
        </w:tc>
        <w:tc>
          <w:tcPr>
            <w:tcW w:w="1559" w:type="dxa"/>
          </w:tcPr>
          <w:p w14:paraId="7AB0000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</w:p>
        </w:tc>
        <w:tc>
          <w:tcPr>
            <w:tcW w:w="1985" w:type="dxa"/>
          </w:tcPr>
          <w:p w14:paraId="4CFEB9F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6331A22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</w:tr>
      <w:tr w:rsidR="00976448" w:rsidRPr="00194E88" w14:paraId="1496E6A4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E00720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Антигуа і Барбуда</w:t>
            </w:r>
          </w:p>
        </w:tc>
        <w:tc>
          <w:tcPr>
            <w:tcW w:w="1559" w:type="dxa"/>
          </w:tcPr>
          <w:p w14:paraId="7222ECF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0E933F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D7B772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28AA0F5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C1AE263" w14:textId="6F014C73" w:rsidR="00976448" w:rsidRPr="0091420B" w:rsidRDefault="00777D45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lang w:val="uk"/>
              </w:rPr>
            </w:pPr>
            <w:r w:rsidRPr="0091420B">
              <w:rPr>
                <w:lang w:val="uk"/>
              </w:rPr>
              <w:t xml:space="preserve">Аргентина (провінції </w:t>
            </w:r>
            <w:proofErr w:type="spellStart"/>
            <w:r w:rsidRPr="0091420B">
              <w:rPr>
                <w:lang w:val="uk"/>
              </w:rPr>
              <w:t>Місьйонес</w:t>
            </w:r>
            <w:proofErr w:type="spellEnd"/>
            <w:r w:rsidRPr="0091420B">
              <w:rPr>
                <w:lang w:val="uk"/>
              </w:rPr>
              <w:t xml:space="preserve"> та </w:t>
            </w:r>
            <w:proofErr w:type="spellStart"/>
            <w:r w:rsidRPr="0091420B">
              <w:rPr>
                <w:lang w:val="uk"/>
              </w:rPr>
              <w:t>Коррієнтес</w:t>
            </w:r>
            <w:proofErr w:type="spellEnd"/>
            <w:r w:rsidRPr="0091420B">
              <w:rPr>
                <w:lang w:val="uk"/>
              </w:rPr>
              <w:t>)</w:t>
            </w:r>
          </w:p>
        </w:tc>
        <w:tc>
          <w:tcPr>
            <w:tcW w:w="1559" w:type="dxa"/>
          </w:tcPr>
          <w:p w14:paraId="2E6BF4BD" w14:textId="7FF3941A" w:rsidR="00976448" w:rsidRPr="00FE57BB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perscript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vertAlign w:val="superscript"/>
                <w:lang w:val="uk"/>
              </w:rPr>
              <w:t>5</w:t>
            </w:r>
          </w:p>
        </w:tc>
        <w:tc>
          <w:tcPr>
            <w:tcW w:w="1985" w:type="dxa"/>
          </w:tcPr>
          <w:p w14:paraId="7E98CB6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46C018F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5735EF3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B4DC00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Аруба</w:t>
            </w:r>
          </w:p>
        </w:tc>
        <w:tc>
          <w:tcPr>
            <w:tcW w:w="1559" w:type="dxa"/>
          </w:tcPr>
          <w:p w14:paraId="60CDA5E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C61D64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 xml:space="preserve">4 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>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606608F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6A112A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60E5AF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Австралія</w:t>
            </w:r>
          </w:p>
        </w:tc>
        <w:tc>
          <w:tcPr>
            <w:tcW w:w="1559" w:type="dxa"/>
          </w:tcPr>
          <w:p w14:paraId="1FC52CB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A507683" w14:textId="2A4E80D6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color w:val="auto"/>
                <w:vertAlign w:val="superscript"/>
                <w:lang w:val="uk"/>
              </w:rPr>
              <w:t>,</w:t>
            </w:r>
            <w:r w:rsidR="0091420B">
              <w:rPr>
                <w:color w:val="auto"/>
                <w:vertAlign w:val="superscript"/>
                <w:lang w:val="uk"/>
              </w:rPr>
              <w:t xml:space="preserve"> </w:t>
            </w:r>
            <w:r>
              <w:rPr>
                <w:spacing w:val="-1"/>
                <w:vertAlign w:val="superscript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2BDF753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A849D4A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556FAD" w14:textId="6F6B6E1F" w:rsidR="00976448" w:rsidRPr="0091420B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B320E4">
              <w:rPr>
                <w:lang w:val="uk"/>
              </w:rPr>
              <w:t>Багам</w:t>
            </w:r>
            <w:r w:rsidR="0091420B">
              <w:rPr>
                <w:lang w:val="uk"/>
              </w:rPr>
              <w:t>с</w:t>
            </w:r>
            <w:r w:rsidR="0091420B" w:rsidRPr="0091420B">
              <w:rPr>
                <w:lang w:val="uk"/>
              </w:rPr>
              <w:t>ькі острови</w:t>
            </w:r>
          </w:p>
        </w:tc>
        <w:tc>
          <w:tcPr>
            <w:tcW w:w="1559" w:type="dxa"/>
          </w:tcPr>
          <w:p w14:paraId="54AA25F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E7FB16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 xml:space="preserve">4 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>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23C57E2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8F176BC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C930FE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Бахрейн</w:t>
            </w:r>
          </w:p>
        </w:tc>
        <w:tc>
          <w:tcPr>
            <w:tcW w:w="1559" w:type="dxa"/>
          </w:tcPr>
          <w:p w14:paraId="30D5D99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709A3E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 xml:space="preserve">4 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>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67E21FF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91EE294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64FDF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Бангладеш</w:t>
            </w:r>
          </w:p>
        </w:tc>
        <w:tc>
          <w:tcPr>
            <w:tcW w:w="1559" w:type="dxa"/>
          </w:tcPr>
          <w:p w14:paraId="477097C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57B37A2" w14:textId="12106B6E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23121E3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885DE00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0E70822" w14:textId="1E1B7CA1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Барбадос</w:t>
            </w:r>
          </w:p>
        </w:tc>
        <w:tc>
          <w:tcPr>
            <w:tcW w:w="1559" w:type="dxa"/>
          </w:tcPr>
          <w:p w14:paraId="3A2FB4F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33DBBBF" w14:textId="1AF625BE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spacing w:val="-1"/>
                <w:vertAlign w:val="superscript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258822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7D63999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2A2529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Беліз</w:t>
            </w:r>
          </w:p>
        </w:tc>
        <w:tc>
          <w:tcPr>
            <w:tcW w:w="1559" w:type="dxa"/>
          </w:tcPr>
          <w:p w14:paraId="084711E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9864A05" w14:textId="6F6552B8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236FE9">
              <w:rPr>
                <w:color w:val="auto"/>
                <w:lang w:val="uk"/>
              </w:rPr>
              <w:t xml:space="preserve">Так (≥ </w:t>
            </w:r>
            <w:r>
              <w:rPr>
                <w:color w:val="auto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місяців)</w:t>
            </w:r>
            <w:r w:rsidRPr="00236FE9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1FD274C4" w14:textId="785B63E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EACA485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06C9DD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Бенін</w:t>
            </w:r>
          </w:p>
        </w:tc>
        <w:tc>
          <w:tcPr>
            <w:tcW w:w="1559" w:type="dxa"/>
          </w:tcPr>
          <w:p w14:paraId="01F0133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721E74E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1577C42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</w:tr>
      <w:tr w:rsidR="00976448" w:rsidRPr="00194E88" w14:paraId="3691F0A1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0305D6E" w14:textId="4CCC9E7C" w:rsidR="00976448" w:rsidRPr="00B320E4" w:rsidRDefault="00976448" w:rsidP="0091420B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Болівія</w:t>
            </w:r>
            <w:r>
              <w:rPr>
                <w:lang w:val="uk"/>
              </w:rPr>
              <w:t xml:space="preserve"> (</w:t>
            </w:r>
            <w:r w:rsidR="0091420B">
              <w:rPr>
                <w:lang w:val="uk"/>
              </w:rPr>
              <w:t>б</w:t>
            </w:r>
            <w:r w:rsidR="0091420B" w:rsidRPr="0091420B">
              <w:rPr>
                <w:lang w:val="uk"/>
              </w:rPr>
              <w:t>агатонаціональна</w:t>
            </w:r>
            <w:r w:rsidR="0091420B">
              <w:rPr>
                <w:lang w:val="uk"/>
              </w:rPr>
              <w:t xml:space="preserve"> д</w:t>
            </w:r>
            <w:r w:rsidR="0091420B" w:rsidRPr="0091420B">
              <w:rPr>
                <w:lang w:val="uk"/>
              </w:rPr>
              <w:t>ержава</w:t>
            </w:r>
            <w:r>
              <w:rPr>
                <w:lang w:val="uk"/>
              </w:rPr>
              <w:t>)</w:t>
            </w:r>
          </w:p>
        </w:tc>
        <w:tc>
          <w:tcPr>
            <w:tcW w:w="1559" w:type="dxa"/>
          </w:tcPr>
          <w:p w14:paraId="4A7D1A01" w14:textId="59448929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3C5B786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1C279BD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9C3A84A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C9177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color w:val="auto"/>
                <w:lang w:val="uk"/>
              </w:rPr>
              <w:t>Бонай</w:t>
            </w:r>
            <w:r>
              <w:rPr>
                <w:color w:val="auto"/>
                <w:lang w:val="uk"/>
              </w:rPr>
              <w:t>ре</w:t>
            </w:r>
          </w:p>
        </w:tc>
        <w:tc>
          <w:tcPr>
            <w:tcW w:w="1559" w:type="dxa"/>
          </w:tcPr>
          <w:p w14:paraId="18954AC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262906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</w:t>
            </w:r>
          </w:p>
        </w:tc>
        <w:tc>
          <w:tcPr>
            <w:tcW w:w="1984" w:type="dxa"/>
          </w:tcPr>
          <w:p w14:paraId="0A49BC2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2FF01C8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21BF85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Ботсвана</w:t>
            </w:r>
          </w:p>
        </w:tc>
        <w:tc>
          <w:tcPr>
            <w:tcW w:w="1559" w:type="dxa"/>
          </w:tcPr>
          <w:p w14:paraId="3613438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C1259C0" w14:textId="404872D9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709EE1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4EC4D8F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BF415F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Бразилія</w:t>
            </w:r>
          </w:p>
        </w:tc>
        <w:tc>
          <w:tcPr>
            <w:tcW w:w="1559" w:type="dxa"/>
          </w:tcPr>
          <w:p w14:paraId="4DFAB8E8" w14:textId="60E9C7DE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26948DE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rFonts w:asciiTheme="majorBidi" w:hAnsiTheme="majorBidi" w:cstheme="majorBidi"/>
                <w:color w:val="auto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14:paraId="2C138BF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D7A8F92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868127B" w14:textId="6156866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Бруней</w:t>
            </w:r>
            <w:r w:rsidR="0091420B">
              <w:rPr>
                <w:lang w:val="uk"/>
              </w:rPr>
              <w:t xml:space="preserve"> </w:t>
            </w:r>
            <w:r w:rsidRPr="00B320E4">
              <w:rPr>
                <w:lang w:val="uk"/>
              </w:rPr>
              <w:t>Даруссалам</w:t>
            </w:r>
          </w:p>
        </w:tc>
        <w:tc>
          <w:tcPr>
            <w:tcW w:w="1559" w:type="dxa"/>
          </w:tcPr>
          <w:p w14:paraId="4B99E6F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A3EED0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 xml:space="preserve">4 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>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0B18B23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756B38C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1E2C3D4" w14:textId="191E83E2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Буркіна</w:t>
            </w:r>
            <w:r w:rsidR="0091420B">
              <w:rPr>
                <w:lang w:val="uk"/>
              </w:rPr>
              <w:t xml:space="preserve"> </w:t>
            </w:r>
            <w:proofErr w:type="spellStart"/>
            <w:r w:rsidRPr="00B320E4">
              <w:rPr>
                <w:lang w:val="uk"/>
              </w:rPr>
              <w:t>Фасо</w:t>
            </w:r>
            <w:proofErr w:type="spellEnd"/>
          </w:p>
        </w:tc>
        <w:tc>
          <w:tcPr>
            <w:tcW w:w="1559" w:type="dxa"/>
          </w:tcPr>
          <w:p w14:paraId="237F9C8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71A4619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4A40144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</w:tr>
      <w:tr w:rsidR="00976448" w:rsidRPr="00194E88" w14:paraId="30297776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432CDD5" w14:textId="0F8A87B4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Бурунді</w:t>
            </w:r>
          </w:p>
        </w:tc>
        <w:tc>
          <w:tcPr>
            <w:tcW w:w="1559" w:type="dxa"/>
          </w:tcPr>
          <w:p w14:paraId="5C0F6BA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56A0ADB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6D35487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</w:tr>
      <w:tr w:rsidR="00976448" w:rsidRPr="00194E88" w14:paraId="1730A36C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1D8C44E" w14:textId="6227BDC1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Кабо</w:t>
            </w:r>
            <w:r w:rsidR="0091420B">
              <w:rPr>
                <w:lang w:val="uk"/>
              </w:rPr>
              <w:t xml:space="preserve"> </w:t>
            </w:r>
            <w:r>
              <w:rPr>
                <w:lang w:val="uk"/>
              </w:rPr>
              <w:t xml:space="preserve">Верде </w:t>
            </w:r>
            <w:r w:rsidRPr="00B320E4">
              <w:rPr>
                <w:lang w:val="uk"/>
              </w:rPr>
              <w:t xml:space="preserve"> </w:t>
            </w:r>
          </w:p>
        </w:tc>
        <w:tc>
          <w:tcPr>
            <w:tcW w:w="1559" w:type="dxa"/>
          </w:tcPr>
          <w:p w14:paraId="33EFC76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0C1261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5CDFF7C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58EBFDC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FFA26D3" w14:textId="52E5B67A" w:rsidR="00976448" w:rsidRPr="0091420B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D6281F">
              <w:rPr>
                <w:lang w:val="uk"/>
              </w:rPr>
              <w:t>Камбодж</w:t>
            </w:r>
            <w:r w:rsidR="0091420B">
              <w:rPr>
                <w:lang w:val="uk"/>
              </w:rPr>
              <w:t>а</w:t>
            </w:r>
          </w:p>
        </w:tc>
        <w:tc>
          <w:tcPr>
            <w:tcW w:w="1559" w:type="dxa"/>
          </w:tcPr>
          <w:p w14:paraId="7AB03627" w14:textId="77777777" w:rsidR="00976448" w:rsidRPr="00D6281F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51A7DA3" w14:textId="77777777" w:rsidR="00976448" w:rsidRPr="00D6281F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D6281F">
              <w:rPr>
                <w:color w:val="auto"/>
                <w:lang w:val="uk"/>
              </w:rPr>
              <w:t>Так</w:t>
            </w:r>
            <w:r w:rsidRPr="00D6281F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D6281F">
              <w:rPr>
                <w:color w:val="auto"/>
                <w:lang w:val="uk"/>
              </w:rPr>
              <w:t xml:space="preserve"> (≥ 1 рік)</w:t>
            </w:r>
          </w:p>
        </w:tc>
        <w:tc>
          <w:tcPr>
            <w:tcW w:w="1984" w:type="dxa"/>
          </w:tcPr>
          <w:p w14:paraId="7452BFA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0E23C69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0632745" w14:textId="77777777" w:rsidR="00976448" w:rsidRPr="00D6281F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D6281F">
              <w:rPr>
                <w:lang w:val="uk"/>
              </w:rPr>
              <w:t>Камерун</w:t>
            </w:r>
          </w:p>
        </w:tc>
        <w:tc>
          <w:tcPr>
            <w:tcW w:w="1559" w:type="dxa"/>
          </w:tcPr>
          <w:p w14:paraId="26E685CB" w14:textId="77777777" w:rsidR="00976448" w:rsidRPr="00D6281F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D6281F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74A77CCF" w14:textId="77777777" w:rsidR="00976448" w:rsidRPr="00D6281F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D6281F">
              <w:rPr>
                <w:rFonts w:asciiTheme="majorBidi" w:hAnsiTheme="majorBidi" w:cstheme="majorBidi"/>
                <w:color w:val="auto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14:paraId="586BF6A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1 рік</w:t>
            </w:r>
            <w:r w:rsidRPr="00B320E4">
              <w:rPr>
                <w:color w:val="auto"/>
                <w:lang w:val="uk"/>
              </w:rPr>
              <w:t>)</w:t>
            </w:r>
          </w:p>
        </w:tc>
      </w:tr>
      <w:tr w:rsidR="00976448" w:rsidRPr="00194E88" w14:paraId="27E3F9FA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2345685" w14:textId="680298A3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Центральн</w:t>
            </w:r>
            <w:r w:rsidR="00E330A7">
              <w:rPr>
                <w:lang w:val="uk"/>
              </w:rPr>
              <w:t>а</w:t>
            </w:r>
            <w:r w:rsidR="00E330A7">
              <w:rPr>
                <w:rFonts w:asciiTheme="minorHAnsi" w:hAnsiTheme="minorHAnsi"/>
                <w:lang w:val="uk"/>
              </w:rPr>
              <w:t xml:space="preserve"> А</w:t>
            </w:r>
            <w:r w:rsidRPr="00B320E4">
              <w:rPr>
                <w:lang w:val="uk"/>
              </w:rPr>
              <w:t>фриканська Республіка</w:t>
            </w:r>
          </w:p>
        </w:tc>
        <w:tc>
          <w:tcPr>
            <w:tcW w:w="1559" w:type="dxa"/>
          </w:tcPr>
          <w:p w14:paraId="6CE8060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1C3B3E7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27D8168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</w:tr>
      <w:tr w:rsidR="00976448" w:rsidRPr="00194E88" w14:paraId="7C569822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FF9BE9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Чад</w:t>
            </w:r>
          </w:p>
        </w:tc>
        <w:tc>
          <w:tcPr>
            <w:tcW w:w="1559" w:type="dxa"/>
          </w:tcPr>
          <w:p w14:paraId="5B128239" w14:textId="50C3F7B6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5</w:t>
            </w:r>
          </w:p>
        </w:tc>
        <w:tc>
          <w:tcPr>
            <w:tcW w:w="1985" w:type="dxa"/>
          </w:tcPr>
          <w:p w14:paraId="701AA1D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48BFACD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</w:tr>
      <w:tr w:rsidR="00976448" w:rsidRPr="00194E88" w14:paraId="732341CC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1173D0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Китай</w:t>
            </w:r>
          </w:p>
        </w:tc>
        <w:tc>
          <w:tcPr>
            <w:tcW w:w="1559" w:type="dxa"/>
          </w:tcPr>
          <w:p w14:paraId="138BEB2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9C96CA4" w14:textId="2CC38410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3F59CD3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6F7906F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AA0287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Острів Різдва</w:t>
            </w:r>
          </w:p>
        </w:tc>
        <w:tc>
          <w:tcPr>
            <w:tcW w:w="1559" w:type="dxa"/>
          </w:tcPr>
          <w:p w14:paraId="5D3E4D8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A301EA3" w14:textId="118B1808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color w:val="auto"/>
                <w:vertAlign w:val="superscript"/>
                <w:lang w:val="uk"/>
              </w:rPr>
              <w:t>,</w:t>
            </w:r>
            <w:r>
              <w:rPr>
                <w:spacing w:val="-1"/>
                <w:vertAlign w:val="superscript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631425B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FBB3F7A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26CB99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Колумбія</w:t>
            </w:r>
          </w:p>
        </w:tc>
        <w:tc>
          <w:tcPr>
            <w:tcW w:w="1559" w:type="dxa"/>
          </w:tcPr>
          <w:p w14:paraId="10185901" w14:textId="3E5ACC9D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111B46F8" w14:textId="5D767011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color w:val="auto"/>
                <w:vertAlign w:val="superscript"/>
                <w:lang w:val="uk"/>
              </w:rPr>
              <w:t>,</w:t>
            </w:r>
            <w:r>
              <w:rPr>
                <w:spacing w:val="-1"/>
                <w:vertAlign w:val="superscript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5E7E562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8D6DF48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D7EFF1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Конго</w:t>
            </w:r>
          </w:p>
        </w:tc>
        <w:tc>
          <w:tcPr>
            <w:tcW w:w="1559" w:type="dxa"/>
          </w:tcPr>
          <w:p w14:paraId="4C0CF20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27AE5DE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6755FCF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center" w:pos="862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</w:tr>
      <w:tr w:rsidR="00976448" w:rsidRPr="00194E88" w14:paraId="002B7F57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640AC8B" w14:textId="1D2695BB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Коста</w:t>
            </w:r>
            <w:r w:rsidR="00E61239">
              <w:rPr>
                <w:lang w:val="uk"/>
              </w:rPr>
              <w:t xml:space="preserve"> </w:t>
            </w:r>
            <w:r w:rsidRPr="00B320E4">
              <w:rPr>
                <w:lang w:val="uk"/>
              </w:rPr>
              <w:t>Ріка</w:t>
            </w:r>
          </w:p>
        </w:tc>
        <w:tc>
          <w:tcPr>
            <w:tcW w:w="1559" w:type="dxa"/>
          </w:tcPr>
          <w:p w14:paraId="4A280CB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D7D89FF" w14:textId="621E0C02" w:rsidR="00976448" w:rsidRPr="00EC1546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spacing w:val="-1"/>
                <w:vertAlign w:val="superscript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 w:rsidRPr="004D4402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4D4402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5423E59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5315330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FC0E9E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Кот-д'Івуар</w:t>
            </w:r>
          </w:p>
        </w:tc>
        <w:tc>
          <w:tcPr>
            <w:tcW w:w="1559" w:type="dxa"/>
          </w:tcPr>
          <w:p w14:paraId="46D9E65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30673C6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0385F5B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  <w:r w:rsidRPr="00B320E4">
              <w:rPr>
                <w:color w:val="auto"/>
                <w:lang w:val="uk"/>
              </w:rPr>
              <w:tab/>
            </w:r>
          </w:p>
        </w:tc>
      </w:tr>
      <w:tr w:rsidR="00976448" w:rsidRPr="00194E88" w14:paraId="373A8A72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513820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Куба</w:t>
            </w:r>
          </w:p>
        </w:tc>
        <w:tc>
          <w:tcPr>
            <w:tcW w:w="1559" w:type="dxa"/>
          </w:tcPr>
          <w:p w14:paraId="16E2D561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720B51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5CD01EC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75E9162A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BDE0770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194E88">
              <w:rPr>
                <w:lang w:val="uk"/>
              </w:rPr>
              <w:t>Кюрасао</w:t>
            </w:r>
          </w:p>
        </w:tc>
        <w:tc>
          <w:tcPr>
            <w:tcW w:w="1559" w:type="dxa"/>
          </w:tcPr>
          <w:p w14:paraId="6FD02D39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063E63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</w:t>
            </w:r>
          </w:p>
        </w:tc>
        <w:tc>
          <w:tcPr>
            <w:tcW w:w="1984" w:type="dxa"/>
          </w:tcPr>
          <w:p w14:paraId="33844F7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B5287A6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A044139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194E88">
              <w:rPr>
                <w:lang w:val="uk"/>
              </w:rPr>
              <w:t>Корейська Народно-Демократична Республіка</w:t>
            </w:r>
          </w:p>
        </w:tc>
        <w:tc>
          <w:tcPr>
            <w:tcW w:w="1559" w:type="dxa"/>
          </w:tcPr>
          <w:p w14:paraId="6046D3D7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839B86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7964CE7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192FB88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82AB70F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194E88">
              <w:rPr>
                <w:lang w:val="uk"/>
              </w:rPr>
              <w:lastRenderedPageBreak/>
              <w:t>Демократична Республіка Конго</w:t>
            </w:r>
          </w:p>
        </w:tc>
        <w:tc>
          <w:tcPr>
            <w:tcW w:w="1559" w:type="dxa"/>
          </w:tcPr>
          <w:p w14:paraId="39BD866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36DAE47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067C173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</w:tr>
      <w:tr w:rsidR="00976448" w:rsidRPr="00194E88" w14:paraId="1BFB665E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EC881D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Домініка</w:t>
            </w:r>
          </w:p>
        </w:tc>
        <w:tc>
          <w:tcPr>
            <w:tcW w:w="1559" w:type="dxa"/>
          </w:tcPr>
          <w:p w14:paraId="4D2A3BD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845C6E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57EC36B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B793731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692E8D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Домініканська Республіка</w:t>
            </w:r>
          </w:p>
        </w:tc>
        <w:tc>
          <w:tcPr>
            <w:tcW w:w="1559" w:type="dxa"/>
          </w:tcPr>
          <w:p w14:paraId="1CFC090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BF41C5B" w14:textId="0F961577" w:rsidR="00976448" w:rsidRPr="00957EDC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 w:rsidRPr="00D6281F">
              <w:rPr>
                <w:color w:val="auto"/>
                <w:vertAlign w:val="superscript"/>
                <w:lang w:val="uk"/>
              </w:rPr>
              <w:t>,</w:t>
            </w:r>
            <w:r>
              <w:rPr>
                <w:color w:val="auto"/>
                <w:vertAlign w:val="superscript"/>
                <w:lang w:val="uk"/>
              </w:rPr>
              <w:t xml:space="preserve"> 6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 xml:space="preserve">≥ 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>1 рік)</w:t>
            </w:r>
          </w:p>
        </w:tc>
        <w:tc>
          <w:tcPr>
            <w:tcW w:w="1984" w:type="dxa"/>
          </w:tcPr>
          <w:p w14:paraId="2EF0805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7325325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447309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Еквадор</w:t>
            </w:r>
          </w:p>
        </w:tc>
        <w:tc>
          <w:tcPr>
            <w:tcW w:w="1559" w:type="dxa"/>
          </w:tcPr>
          <w:p w14:paraId="4A20BA65" w14:textId="5DEFF6CF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649B99D8" w14:textId="7A1B30A6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 w:rsidRPr="00D6281F">
              <w:rPr>
                <w:color w:val="auto"/>
                <w:vertAlign w:val="superscript"/>
                <w:lang w:val="uk"/>
              </w:rPr>
              <w:t>,</w:t>
            </w:r>
            <w:r w:rsidR="00E61239">
              <w:rPr>
                <w:color w:val="auto"/>
                <w:vertAlign w:val="superscript"/>
                <w:lang w:val="uk"/>
              </w:rPr>
              <w:t xml:space="preserve"> </w:t>
            </w:r>
            <w:r>
              <w:rPr>
                <w:color w:val="auto"/>
                <w:vertAlign w:val="superscript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069D58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DEDD5F3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0AC92E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Єгипет</w:t>
            </w:r>
          </w:p>
        </w:tc>
        <w:tc>
          <w:tcPr>
            <w:tcW w:w="1559" w:type="dxa"/>
          </w:tcPr>
          <w:p w14:paraId="178B6C7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ACC3FC8" w14:textId="4B0A605E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color w:val="auto"/>
                <w:vertAlign w:val="superscript"/>
                <w:lang w:val="uk"/>
              </w:rPr>
              <w:t>,</w:t>
            </w:r>
            <w:r w:rsidR="00E61239">
              <w:rPr>
                <w:color w:val="auto"/>
                <w:vertAlign w:val="superscript"/>
                <w:lang w:val="uk"/>
              </w:rPr>
              <w:t xml:space="preserve"> </w:t>
            </w:r>
            <w:r>
              <w:rPr>
                <w:spacing w:val="-1"/>
                <w:vertAlign w:val="superscript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68B7CAD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4E87E13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835B36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Сальвадор</w:t>
            </w:r>
          </w:p>
        </w:tc>
        <w:tc>
          <w:tcPr>
            <w:tcW w:w="1559" w:type="dxa"/>
          </w:tcPr>
          <w:p w14:paraId="1F31490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0CB184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A6F8FB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8DDFEAC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63973A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Екваторіальна Гвінея</w:t>
            </w:r>
          </w:p>
        </w:tc>
        <w:tc>
          <w:tcPr>
            <w:tcW w:w="1559" w:type="dxa"/>
          </w:tcPr>
          <w:p w14:paraId="75166B7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78267F7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місяців)</w:t>
            </w:r>
          </w:p>
        </w:tc>
        <w:tc>
          <w:tcPr>
            <w:tcW w:w="1984" w:type="dxa"/>
          </w:tcPr>
          <w:p w14:paraId="77F5B99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842A3B4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7FC91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Еритрея</w:t>
            </w:r>
          </w:p>
        </w:tc>
        <w:tc>
          <w:tcPr>
            <w:tcW w:w="1559" w:type="dxa"/>
          </w:tcPr>
          <w:p w14:paraId="2C52C24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DF359A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7BC4642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A44C2C2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F8EF625" w14:textId="681FE351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 xml:space="preserve">Есватіні </w:t>
            </w:r>
          </w:p>
        </w:tc>
        <w:tc>
          <w:tcPr>
            <w:tcW w:w="1559" w:type="dxa"/>
          </w:tcPr>
          <w:p w14:paraId="5A85EDC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EFF49A6" w14:textId="3A77C4ED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02B9502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55BD42B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AF0571B" w14:textId="55165B4F" w:rsidR="00976448" w:rsidRPr="00E61239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B320E4">
              <w:rPr>
                <w:lang w:val="uk"/>
              </w:rPr>
              <w:t>Ефіопі</w:t>
            </w:r>
            <w:r w:rsidR="00E61239">
              <w:rPr>
                <w:lang w:val="uk"/>
              </w:rPr>
              <w:t>я</w:t>
            </w:r>
          </w:p>
        </w:tc>
        <w:tc>
          <w:tcPr>
            <w:tcW w:w="1559" w:type="dxa"/>
          </w:tcPr>
          <w:p w14:paraId="514A945A" w14:textId="7C4673D3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352A2FF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2E7EE67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597D1A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E7624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Фіджі</w:t>
            </w:r>
          </w:p>
        </w:tc>
        <w:tc>
          <w:tcPr>
            <w:tcW w:w="1559" w:type="dxa"/>
          </w:tcPr>
          <w:p w14:paraId="4DB1B31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52FE11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8DA9BC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D51AC9F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C52C6C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Французька Гвіана</w:t>
            </w:r>
          </w:p>
        </w:tc>
        <w:tc>
          <w:tcPr>
            <w:tcW w:w="1559" w:type="dxa"/>
          </w:tcPr>
          <w:p w14:paraId="3EA0118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1DCDA7C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75AA9CE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</w:tr>
      <w:tr w:rsidR="00976448" w:rsidRPr="00194E88" w14:paraId="1002D1BD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15828D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Французька Полінезія</w:t>
            </w:r>
          </w:p>
        </w:tc>
        <w:tc>
          <w:tcPr>
            <w:tcW w:w="1559" w:type="dxa"/>
          </w:tcPr>
          <w:p w14:paraId="1E240BE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7E9C5E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E59399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7F66181D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734F38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Габон</w:t>
            </w:r>
          </w:p>
        </w:tc>
        <w:tc>
          <w:tcPr>
            <w:tcW w:w="1559" w:type="dxa"/>
          </w:tcPr>
          <w:p w14:paraId="256EB6B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23655BC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027FE44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</w:tr>
      <w:tr w:rsidR="00976448" w:rsidRPr="00194E88" w14:paraId="72E6017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AB80EF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Гамбія</w:t>
            </w:r>
          </w:p>
        </w:tc>
        <w:tc>
          <w:tcPr>
            <w:tcW w:w="1559" w:type="dxa"/>
          </w:tcPr>
          <w:p w14:paraId="52220E7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7F90C53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AF5672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6FE9AED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A33F5DB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CD32072" w14:textId="0B3FFD36" w:rsidR="00976448" w:rsidRPr="00E61239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B320E4">
              <w:rPr>
                <w:lang w:val="uk"/>
              </w:rPr>
              <w:t>Ган</w:t>
            </w:r>
            <w:r w:rsidR="00E61239">
              <w:rPr>
                <w:lang w:val="uk"/>
              </w:rPr>
              <w:t>а</w:t>
            </w:r>
          </w:p>
        </w:tc>
        <w:tc>
          <w:tcPr>
            <w:tcW w:w="1559" w:type="dxa"/>
          </w:tcPr>
          <w:p w14:paraId="4A90BD1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2DB3B33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61EF08D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</w:tr>
      <w:tr w:rsidR="00976448" w:rsidRPr="00194E88" w14:paraId="0191BD80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66B97C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Гренада</w:t>
            </w:r>
          </w:p>
        </w:tc>
        <w:tc>
          <w:tcPr>
            <w:tcW w:w="1559" w:type="dxa"/>
          </w:tcPr>
          <w:p w14:paraId="08AB1A4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71C770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 xml:space="preserve">≥ 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>1 рік)</w:t>
            </w:r>
          </w:p>
        </w:tc>
        <w:tc>
          <w:tcPr>
            <w:tcW w:w="1984" w:type="dxa"/>
          </w:tcPr>
          <w:p w14:paraId="0A0F21D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CE8B504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F1F982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Гваделупа</w:t>
            </w:r>
          </w:p>
        </w:tc>
        <w:tc>
          <w:tcPr>
            <w:tcW w:w="1559" w:type="dxa"/>
          </w:tcPr>
          <w:p w14:paraId="0A1D53B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222156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 xml:space="preserve">≥ 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>1 рік)</w:t>
            </w:r>
          </w:p>
        </w:tc>
        <w:tc>
          <w:tcPr>
            <w:tcW w:w="1984" w:type="dxa"/>
          </w:tcPr>
          <w:p w14:paraId="109B326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94F6196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675250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Гватемала</w:t>
            </w:r>
          </w:p>
        </w:tc>
        <w:tc>
          <w:tcPr>
            <w:tcW w:w="1559" w:type="dxa"/>
          </w:tcPr>
          <w:p w14:paraId="07198D4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A4E993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 xml:space="preserve">≥ 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>1 рік)</w:t>
            </w:r>
          </w:p>
        </w:tc>
        <w:tc>
          <w:tcPr>
            <w:tcW w:w="1984" w:type="dxa"/>
          </w:tcPr>
          <w:p w14:paraId="3458AF7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AA353F9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55F81A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Гвінея</w:t>
            </w:r>
          </w:p>
        </w:tc>
        <w:tc>
          <w:tcPr>
            <w:tcW w:w="1559" w:type="dxa"/>
          </w:tcPr>
          <w:p w14:paraId="3BFE769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2C17F67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2E56FFE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7107D3D1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6D94D4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Гвінея-Бісау</w:t>
            </w:r>
          </w:p>
        </w:tc>
        <w:tc>
          <w:tcPr>
            <w:tcW w:w="1559" w:type="dxa"/>
          </w:tcPr>
          <w:p w14:paraId="1975694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4854277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5F7A472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</w:tr>
      <w:tr w:rsidR="00976448" w:rsidRPr="00194E88" w14:paraId="216CC4DB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455EB6A" w14:textId="2A176D3A" w:rsidR="00976448" w:rsidRPr="00E61239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B320E4">
              <w:rPr>
                <w:lang w:val="uk"/>
              </w:rPr>
              <w:t>Гай</w:t>
            </w:r>
            <w:r w:rsidR="00E61239">
              <w:rPr>
                <w:lang w:val="uk"/>
              </w:rPr>
              <w:t>а</w:t>
            </w:r>
            <w:r w:rsidRPr="00B320E4">
              <w:rPr>
                <w:lang w:val="uk"/>
              </w:rPr>
              <w:t>н</w:t>
            </w:r>
            <w:r w:rsidR="00E61239">
              <w:rPr>
                <w:lang w:val="uk"/>
              </w:rPr>
              <w:t>а</w:t>
            </w:r>
          </w:p>
        </w:tc>
        <w:tc>
          <w:tcPr>
            <w:tcW w:w="1559" w:type="dxa"/>
          </w:tcPr>
          <w:p w14:paraId="7F35305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368BD2CB" w14:textId="67EC6EE3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6,</w:t>
            </w:r>
            <w:r w:rsidR="00E61239">
              <w:rPr>
                <w:color w:val="auto"/>
                <w:vertAlign w:val="superscript"/>
                <w:lang w:val="uk"/>
              </w:rPr>
              <w:t xml:space="preserve"> 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2D228C4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239E71A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4C8D47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Гаїті</w:t>
            </w:r>
          </w:p>
        </w:tc>
        <w:tc>
          <w:tcPr>
            <w:tcW w:w="1559" w:type="dxa"/>
          </w:tcPr>
          <w:p w14:paraId="078B709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B6BDDE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 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42D8AF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15F5C13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263861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Гондурас</w:t>
            </w:r>
          </w:p>
        </w:tc>
        <w:tc>
          <w:tcPr>
            <w:tcW w:w="1559" w:type="dxa"/>
          </w:tcPr>
          <w:p w14:paraId="5F1C22A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56A5C0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6C58451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716E891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5BFAC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Індія</w:t>
            </w:r>
          </w:p>
        </w:tc>
        <w:tc>
          <w:tcPr>
            <w:tcW w:w="1559" w:type="dxa"/>
          </w:tcPr>
          <w:p w14:paraId="6DB06EC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4966A8A" w14:textId="7466F652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6,7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місяців)</w:t>
            </w:r>
          </w:p>
        </w:tc>
        <w:tc>
          <w:tcPr>
            <w:tcW w:w="1984" w:type="dxa"/>
          </w:tcPr>
          <w:p w14:paraId="3981E40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4FC6347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4E4E9B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Індонезія</w:t>
            </w:r>
          </w:p>
        </w:tc>
        <w:tc>
          <w:tcPr>
            <w:tcW w:w="1559" w:type="dxa"/>
          </w:tcPr>
          <w:p w14:paraId="6CE66ED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F37F14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002FCDF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0E5DBE3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17974A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Іран (Ісламська Республіка)</w:t>
            </w:r>
          </w:p>
        </w:tc>
        <w:tc>
          <w:tcPr>
            <w:tcW w:w="1559" w:type="dxa"/>
          </w:tcPr>
          <w:p w14:paraId="4B7C4AE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A52A13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4F007DC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6153AD9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D316DD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Ірак</w:t>
            </w:r>
          </w:p>
        </w:tc>
        <w:tc>
          <w:tcPr>
            <w:tcW w:w="1559" w:type="dxa"/>
          </w:tcPr>
          <w:p w14:paraId="1C4F3A1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674DA6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194E88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6BEC5F6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FB41F62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77F92D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Ямайка</w:t>
            </w:r>
          </w:p>
        </w:tc>
        <w:tc>
          <w:tcPr>
            <w:tcW w:w="1559" w:type="dxa"/>
          </w:tcPr>
          <w:p w14:paraId="54310D2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8D39E0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6963AB6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626B186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C24C19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Йорданія</w:t>
            </w:r>
          </w:p>
        </w:tc>
        <w:tc>
          <w:tcPr>
            <w:tcW w:w="1559" w:type="dxa"/>
          </w:tcPr>
          <w:p w14:paraId="19230F7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115847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6187146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4FBB1D3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575300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Казахстан</w:t>
            </w:r>
          </w:p>
        </w:tc>
        <w:tc>
          <w:tcPr>
            <w:tcW w:w="1559" w:type="dxa"/>
          </w:tcPr>
          <w:p w14:paraId="5BC162C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4F73008" w14:textId="58FB88C1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</w:p>
        </w:tc>
        <w:tc>
          <w:tcPr>
            <w:tcW w:w="1984" w:type="dxa"/>
          </w:tcPr>
          <w:p w14:paraId="39FA5E2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4CD27E1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6E1BE7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Кенія</w:t>
            </w:r>
          </w:p>
        </w:tc>
        <w:tc>
          <w:tcPr>
            <w:tcW w:w="1559" w:type="dxa"/>
          </w:tcPr>
          <w:p w14:paraId="2D54109A" w14:textId="6514E2D1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5</w:t>
            </w:r>
          </w:p>
        </w:tc>
        <w:tc>
          <w:tcPr>
            <w:tcW w:w="1985" w:type="dxa"/>
          </w:tcPr>
          <w:p w14:paraId="0D0DC11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63B5140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5D37E83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D7FC17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9" w:type="dxa"/>
          </w:tcPr>
          <w:p w14:paraId="692D230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3A5C3F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095BE7A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5A033D8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DA936F0" w14:textId="20BB0D81" w:rsidR="00976448" w:rsidRPr="000B7F99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B320E4">
              <w:rPr>
                <w:lang w:val="uk"/>
              </w:rPr>
              <w:t>Лібері</w:t>
            </w:r>
            <w:r w:rsidR="000B7F99">
              <w:rPr>
                <w:lang w:val="uk"/>
              </w:rPr>
              <w:t>я</w:t>
            </w:r>
          </w:p>
        </w:tc>
        <w:tc>
          <w:tcPr>
            <w:tcW w:w="1559" w:type="dxa"/>
          </w:tcPr>
          <w:p w14:paraId="1FAD7CB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5D97398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0D87965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center" w:pos="955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CA2C4E8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DF1B8F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Лівія</w:t>
            </w:r>
          </w:p>
        </w:tc>
        <w:tc>
          <w:tcPr>
            <w:tcW w:w="1559" w:type="dxa"/>
          </w:tcPr>
          <w:p w14:paraId="0D50B65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C70EC3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3220EE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1D004D3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B68BDF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Мадагаскар</w:t>
            </w:r>
          </w:p>
        </w:tc>
        <w:tc>
          <w:tcPr>
            <w:tcW w:w="1559" w:type="dxa"/>
          </w:tcPr>
          <w:p w14:paraId="5C4C83B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E66259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2FBE47A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D14BCD6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455D1B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Малаві</w:t>
            </w:r>
          </w:p>
        </w:tc>
        <w:tc>
          <w:tcPr>
            <w:tcW w:w="1559" w:type="dxa"/>
          </w:tcPr>
          <w:p w14:paraId="3B5C3D9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CB496D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170B71A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4E3787B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F9D200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Малайзія</w:t>
            </w:r>
          </w:p>
        </w:tc>
        <w:tc>
          <w:tcPr>
            <w:tcW w:w="1559" w:type="dxa"/>
          </w:tcPr>
          <w:p w14:paraId="19E3896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91B503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37E059D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B712326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591C55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Мальдіви</w:t>
            </w:r>
          </w:p>
        </w:tc>
        <w:tc>
          <w:tcPr>
            <w:tcW w:w="1559" w:type="dxa"/>
          </w:tcPr>
          <w:p w14:paraId="144BD54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C429DC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місяців))</w:t>
            </w:r>
          </w:p>
        </w:tc>
        <w:tc>
          <w:tcPr>
            <w:tcW w:w="1984" w:type="dxa"/>
          </w:tcPr>
          <w:p w14:paraId="62AB949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CD24FC6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E5E5A0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Малі</w:t>
            </w:r>
          </w:p>
        </w:tc>
        <w:tc>
          <w:tcPr>
            <w:tcW w:w="1559" w:type="dxa"/>
          </w:tcPr>
          <w:p w14:paraId="34B05D57" w14:textId="4301DA3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6CF99F4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3F5F79D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</w:tr>
      <w:tr w:rsidR="00976448" w:rsidRPr="00194E88" w14:paraId="47A8241B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B4B45E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Мальта</w:t>
            </w:r>
          </w:p>
        </w:tc>
        <w:tc>
          <w:tcPr>
            <w:tcW w:w="1559" w:type="dxa"/>
          </w:tcPr>
          <w:p w14:paraId="51C4B89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2EAF36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0A8912E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0D75959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87E030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Мартініка</w:t>
            </w:r>
          </w:p>
        </w:tc>
        <w:tc>
          <w:tcPr>
            <w:tcW w:w="1559" w:type="dxa"/>
          </w:tcPr>
          <w:p w14:paraId="35461AC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D7EF15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69FE037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DBF2634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08B8DD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Мавританія</w:t>
            </w:r>
          </w:p>
        </w:tc>
        <w:tc>
          <w:tcPr>
            <w:tcW w:w="1559" w:type="dxa"/>
          </w:tcPr>
          <w:p w14:paraId="34CE2BA8" w14:textId="5E58043D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5 (Значення)</w:t>
            </w:r>
          </w:p>
        </w:tc>
        <w:tc>
          <w:tcPr>
            <w:tcW w:w="1985" w:type="dxa"/>
          </w:tcPr>
          <w:p w14:paraId="646D93E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5ACF4CB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4EC7C28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929804C" w14:textId="1F04DE4B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lastRenderedPageBreak/>
              <w:t>Майотта</w:t>
            </w:r>
          </w:p>
        </w:tc>
        <w:tc>
          <w:tcPr>
            <w:tcW w:w="1559" w:type="dxa"/>
          </w:tcPr>
          <w:p w14:paraId="182B8A3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9618EE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EB445F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7B7C7D1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F63CE3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Монтсеррат</w:t>
            </w:r>
          </w:p>
        </w:tc>
        <w:tc>
          <w:tcPr>
            <w:tcW w:w="1559" w:type="dxa"/>
          </w:tcPr>
          <w:p w14:paraId="62EA087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5" w:type="dxa"/>
          </w:tcPr>
          <w:p w14:paraId="47538EFA" w14:textId="71A788B3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6BA0ED2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825CFD8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079692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Мозамбік</w:t>
            </w:r>
          </w:p>
        </w:tc>
        <w:tc>
          <w:tcPr>
            <w:tcW w:w="1559" w:type="dxa"/>
          </w:tcPr>
          <w:p w14:paraId="4CC2E66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C0E38A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78A0B3F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615198C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DA370B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М'янма</w:t>
            </w:r>
          </w:p>
        </w:tc>
        <w:tc>
          <w:tcPr>
            <w:tcW w:w="1559" w:type="dxa"/>
          </w:tcPr>
          <w:p w14:paraId="32277E1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01BE92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39CD5A7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9367E54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281C2D0" w14:textId="0B735BDA" w:rsidR="00976448" w:rsidRPr="002B0E56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B320E4">
              <w:rPr>
                <w:lang w:val="uk"/>
              </w:rPr>
              <w:t>Намібі</w:t>
            </w:r>
            <w:r w:rsidR="002B0E56">
              <w:rPr>
                <w:lang w:val="uk"/>
              </w:rPr>
              <w:t>я</w:t>
            </w:r>
          </w:p>
        </w:tc>
        <w:tc>
          <w:tcPr>
            <w:tcW w:w="1559" w:type="dxa"/>
          </w:tcPr>
          <w:p w14:paraId="071B6CD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22A842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741D0AD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3A52E5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A991F4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Непал</w:t>
            </w:r>
          </w:p>
        </w:tc>
        <w:tc>
          <w:tcPr>
            <w:tcW w:w="1559" w:type="dxa"/>
          </w:tcPr>
          <w:p w14:paraId="3F51BA9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D6F030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66D2E4E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BEAE4B0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2EF9C1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Нова Каледонія</w:t>
            </w:r>
          </w:p>
        </w:tc>
        <w:tc>
          <w:tcPr>
            <w:tcW w:w="1559" w:type="dxa"/>
          </w:tcPr>
          <w:p w14:paraId="2D43179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1EBAB8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92141E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98D2C56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D53F84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Нікараґуа</w:t>
            </w:r>
          </w:p>
        </w:tc>
        <w:tc>
          <w:tcPr>
            <w:tcW w:w="1559" w:type="dxa"/>
          </w:tcPr>
          <w:p w14:paraId="3968621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487927F" w14:textId="77777777" w:rsidR="00976448" w:rsidRPr="00B320E4" w:rsidDel="00C008D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100C0E4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766BE34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7EAB7F4" w14:textId="77777777" w:rsidR="00976448" w:rsidRPr="00B320E4" w:rsidDel="00C008D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Нігер</w:t>
            </w:r>
          </w:p>
        </w:tc>
        <w:tc>
          <w:tcPr>
            <w:tcW w:w="1559" w:type="dxa"/>
          </w:tcPr>
          <w:p w14:paraId="02A00E3F" w14:textId="7F84D08F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514F2B14" w14:textId="77777777" w:rsidR="00976448" w:rsidRPr="00B320E4" w:rsidDel="00C008D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65346DD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</w:tr>
      <w:tr w:rsidR="00976448" w:rsidRPr="00194E88" w14:paraId="0E171A01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B9B965A" w14:textId="2541F1B7" w:rsidR="00976448" w:rsidRPr="002B0E56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proofErr w:type="spellStart"/>
            <w:r w:rsidRPr="00B320E4">
              <w:rPr>
                <w:lang w:val="uk"/>
              </w:rPr>
              <w:t>Нігерії</w:t>
            </w:r>
            <w:r w:rsidR="002B0E56">
              <w:rPr>
                <w:lang w:val="uk"/>
              </w:rPr>
              <w:t>я</w:t>
            </w:r>
            <w:proofErr w:type="spellEnd"/>
          </w:p>
        </w:tc>
        <w:tc>
          <w:tcPr>
            <w:tcW w:w="1559" w:type="dxa"/>
          </w:tcPr>
          <w:p w14:paraId="0AE3BCC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5DCE2670" w14:textId="77777777" w:rsidR="00976448" w:rsidRPr="00B320E4" w:rsidDel="00C008D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48A5721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</w:tr>
      <w:tr w:rsidR="00976448" w:rsidRPr="00194E88" w14:paraId="523F78AC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tcBorders>
              <w:bottom w:val="nil"/>
            </w:tcBorders>
          </w:tcPr>
          <w:p w14:paraId="274D419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Ніуе</w:t>
            </w:r>
          </w:p>
        </w:tc>
        <w:tc>
          <w:tcPr>
            <w:tcW w:w="1559" w:type="dxa"/>
            <w:tcBorders>
              <w:bottom w:val="nil"/>
            </w:tcBorders>
          </w:tcPr>
          <w:p w14:paraId="59D97A7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73D28AA" w14:textId="77777777" w:rsidR="00976448" w:rsidRPr="00B320E4" w:rsidDel="00C008D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  <w:tcBorders>
              <w:bottom w:val="nil"/>
            </w:tcBorders>
          </w:tcPr>
          <w:p w14:paraId="504DC30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5C0978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tcBorders>
              <w:top w:val="nil"/>
              <w:bottom w:val="nil"/>
            </w:tcBorders>
          </w:tcPr>
          <w:p w14:paraId="680540D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Оман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964B1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CB349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ACE45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ECE2B67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tcBorders>
              <w:top w:val="nil"/>
              <w:bottom w:val="nil"/>
            </w:tcBorders>
          </w:tcPr>
          <w:p w14:paraId="1881D92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Пакистан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7589F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3A6A72" w14:textId="77777777" w:rsidR="00976448" w:rsidRPr="00F0778B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lang w:val="en-GB"/>
              </w:rPr>
            </w:pPr>
            <w:r w:rsidRPr="00F0778B">
              <w:rPr>
                <w:color w:val="auto"/>
                <w:lang w:val="uk"/>
              </w:rPr>
              <w:t>Так (≥ 1 рік)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128D9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50DA1FA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tcBorders>
              <w:top w:val="nil"/>
            </w:tcBorders>
          </w:tcPr>
          <w:p w14:paraId="3663D09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Панама</w:t>
            </w:r>
          </w:p>
        </w:tc>
        <w:tc>
          <w:tcPr>
            <w:tcW w:w="1559" w:type="dxa"/>
            <w:tcBorders>
              <w:top w:val="nil"/>
            </w:tcBorders>
          </w:tcPr>
          <w:p w14:paraId="2E45A684" w14:textId="6DE2C561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  <w:tcBorders>
              <w:top w:val="nil"/>
            </w:tcBorders>
          </w:tcPr>
          <w:p w14:paraId="4111ED3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 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  <w:tcBorders>
              <w:top w:val="nil"/>
            </w:tcBorders>
          </w:tcPr>
          <w:p w14:paraId="67C754D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9D386AD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tcBorders>
              <w:top w:val="nil"/>
            </w:tcBorders>
          </w:tcPr>
          <w:p w14:paraId="570BDBA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Папуа Нова Гвінея</w:t>
            </w:r>
          </w:p>
        </w:tc>
        <w:tc>
          <w:tcPr>
            <w:tcW w:w="1559" w:type="dxa"/>
            <w:tcBorders>
              <w:top w:val="nil"/>
            </w:tcBorders>
          </w:tcPr>
          <w:p w14:paraId="7CF725E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075251F" w14:textId="3CD842E9" w:rsidR="0097644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1 рік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14:paraId="191DDDD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88F751A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2E255F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Парагвай</w:t>
            </w:r>
          </w:p>
        </w:tc>
        <w:tc>
          <w:tcPr>
            <w:tcW w:w="1559" w:type="dxa"/>
          </w:tcPr>
          <w:p w14:paraId="3008CAA2" w14:textId="2BC5BF31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5</w:t>
            </w:r>
          </w:p>
        </w:tc>
        <w:tc>
          <w:tcPr>
            <w:tcW w:w="1985" w:type="dxa"/>
          </w:tcPr>
          <w:p w14:paraId="5C5283E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1 рік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649A8FE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58453B2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28C144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Перу</w:t>
            </w:r>
          </w:p>
        </w:tc>
        <w:tc>
          <w:tcPr>
            <w:tcW w:w="1559" w:type="dxa"/>
          </w:tcPr>
          <w:p w14:paraId="62F3AE1B" w14:textId="71FCDD3E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396B1D5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5D529E0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663716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08BAA8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Філіппіни</w:t>
            </w:r>
          </w:p>
        </w:tc>
        <w:tc>
          <w:tcPr>
            <w:tcW w:w="1559" w:type="dxa"/>
          </w:tcPr>
          <w:p w14:paraId="091904B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FD6788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1DAEA8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35F5966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0025B64" w14:textId="66C06D74" w:rsidR="00976448" w:rsidRPr="00B320E4" w:rsidRDefault="002B0E56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О</w:t>
            </w:r>
            <w:r w:rsidRPr="002B0E56">
              <w:rPr>
                <w:lang w:val="uk"/>
              </w:rPr>
              <w:t xml:space="preserve">строви </w:t>
            </w:r>
            <w:r w:rsidR="00976448" w:rsidRPr="00B320E4">
              <w:rPr>
                <w:lang w:val="uk"/>
              </w:rPr>
              <w:t>Піткерн</w:t>
            </w:r>
          </w:p>
        </w:tc>
        <w:tc>
          <w:tcPr>
            <w:tcW w:w="1559" w:type="dxa"/>
          </w:tcPr>
          <w:p w14:paraId="2578F1C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BDF5EA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333E982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7AF1178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BF559FE" w14:textId="14618C69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Руанд</w:t>
            </w:r>
            <w:r w:rsidR="002B0E56">
              <w:rPr>
                <w:lang w:val="uk"/>
              </w:rPr>
              <w:t>а</w:t>
            </w:r>
            <w:r w:rsidRPr="00B320E4">
              <w:rPr>
                <w:lang w:val="uk"/>
              </w:rPr>
              <w:tab/>
            </w:r>
          </w:p>
        </w:tc>
        <w:tc>
          <w:tcPr>
            <w:tcW w:w="1559" w:type="dxa"/>
          </w:tcPr>
          <w:p w14:paraId="0E8A717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02FB65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71745A0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2AA2FEA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23DE85C" w14:textId="57E58269" w:rsidR="00976448" w:rsidRPr="002B0E56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inorHAnsi" w:hAnsiTheme="minorHAnsi" w:cstheme="majorBidi"/>
                <w:lang w:val="ru-RU"/>
              </w:rPr>
            </w:pPr>
            <w:r w:rsidRPr="00B320E4">
              <w:rPr>
                <w:lang w:val="uk"/>
              </w:rPr>
              <w:t>Сен-Барте</w:t>
            </w:r>
            <w:r w:rsidR="002B0E56">
              <w:rPr>
                <w:lang w:val="uk"/>
              </w:rPr>
              <w:t>л</w:t>
            </w:r>
            <w:r w:rsidR="002B0E56" w:rsidRPr="002B0E56">
              <w:rPr>
                <w:lang w:val="uk"/>
              </w:rPr>
              <w:t>ьмі</w:t>
            </w:r>
          </w:p>
        </w:tc>
        <w:tc>
          <w:tcPr>
            <w:tcW w:w="1559" w:type="dxa"/>
          </w:tcPr>
          <w:p w14:paraId="0C07DB01" w14:textId="77777777" w:rsidR="00976448" w:rsidRPr="00A6632A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985" w:type="dxa"/>
          </w:tcPr>
          <w:p w14:paraId="2469771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7D09F93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3244B50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5FCC666" w14:textId="71513DB1" w:rsidR="00976448" w:rsidRPr="00B320E4" w:rsidRDefault="002B0E56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О</w:t>
            </w:r>
            <w:r w:rsidRPr="002B0E56">
              <w:rPr>
                <w:lang w:val="uk"/>
              </w:rPr>
              <w:t xml:space="preserve">стрів </w:t>
            </w:r>
            <w:r w:rsidR="00976448">
              <w:rPr>
                <w:lang w:val="uk"/>
              </w:rPr>
              <w:t xml:space="preserve">Святої </w:t>
            </w:r>
            <w:r>
              <w:rPr>
                <w:lang w:val="uk"/>
              </w:rPr>
              <w:t>О</w:t>
            </w:r>
            <w:r w:rsidRPr="002B0E56">
              <w:rPr>
                <w:lang w:val="uk"/>
              </w:rPr>
              <w:t>л</w:t>
            </w:r>
            <w:r w:rsidR="00976448">
              <w:rPr>
                <w:lang w:val="uk"/>
              </w:rPr>
              <w:t>ени</w:t>
            </w:r>
          </w:p>
        </w:tc>
        <w:tc>
          <w:tcPr>
            <w:tcW w:w="1559" w:type="dxa"/>
          </w:tcPr>
          <w:p w14:paraId="5D541F3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F3E112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 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B255B1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249B221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69FA4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Сент-Кітс і Невіс</w:t>
            </w:r>
          </w:p>
        </w:tc>
        <w:tc>
          <w:tcPr>
            <w:tcW w:w="1559" w:type="dxa"/>
          </w:tcPr>
          <w:p w14:paraId="06B2605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425A89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33C1864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86F5A36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0436F6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Сент-Люсія</w:t>
            </w:r>
          </w:p>
        </w:tc>
        <w:tc>
          <w:tcPr>
            <w:tcW w:w="1559" w:type="dxa"/>
          </w:tcPr>
          <w:p w14:paraId="3614E2C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A4E01B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7DA545B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A7B0155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2E4AB6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Сен-Мартен</w:t>
            </w:r>
          </w:p>
        </w:tc>
        <w:tc>
          <w:tcPr>
            <w:tcW w:w="1559" w:type="dxa"/>
          </w:tcPr>
          <w:p w14:paraId="4990437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E791D2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7600A6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7ADFB116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EEE867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194E88">
              <w:rPr>
                <w:lang w:val="uk"/>
              </w:rPr>
              <w:t>Сент-Вінсент і Гренадини</w:t>
            </w:r>
          </w:p>
        </w:tc>
        <w:tc>
          <w:tcPr>
            <w:tcW w:w="1559" w:type="dxa"/>
          </w:tcPr>
          <w:p w14:paraId="47569F0B" w14:textId="77777777" w:rsidR="00976448" w:rsidRPr="00194E8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1204AE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2EE74F7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019108D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2998FA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Самоа</w:t>
            </w:r>
          </w:p>
        </w:tc>
        <w:tc>
          <w:tcPr>
            <w:tcW w:w="1559" w:type="dxa"/>
          </w:tcPr>
          <w:p w14:paraId="0829D54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7E7371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C395FB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73BF0EA2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C9C9F61" w14:textId="1B64DE6C" w:rsidR="00976448" w:rsidRPr="000E4D2E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inorHAnsi" w:hAnsiTheme="minorHAnsi" w:cstheme="majorBidi"/>
                <w:lang w:val="fr-CH"/>
              </w:rPr>
            </w:pPr>
            <w:r w:rsidRPr="00B320E4">
              <w:rPr>
                <w:lang w:val="uk"/>
              </w:rPr>
              <w:t>Сан-Том</w:t>
            </w:r>
            <w:r>
              <w:rPr>
                <w:lang w:val="uk"/>
              </w:rPr>
              <w:t xml:space="preserve">е </w:t>
            </w:r>
            <w:r w:rsidRPr="00B320E4">
              <w:rPr>
                <w:lang w:val="uk"/>
              </w:rPr>
              <w:t xml:space="preserve">і </w:t>
            </w:r>
            <w:r w:rsidR="000E4D2E">
              <w:rPr>
                <w:lang w:val="uk"/>
              </w:rPr>
              <w:t>П</w:t>
            </w:r>
            <w:r w:rsidR="000E4D2E" w:rsidRPr="000E4D2E">
              <w:rPr>
                <w:lang w:val="uk"/>
              </w:rPr>
              <w:t>ринсіпі</w:t>
            </w:r>
          </w:p>
        </w:tc>
        <w:tc>
          <w:tcPr>
            <w:tcW w:w="1559" w:type="dxa"/>
          </w:tcPr>
          <w:p w14:paraId="0F9B21E2" w14:textId="77777777" w:rsidR="00976448" w:rsidRPr="000E4D2E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fr-CH"/>
              </w:rPr>
            </w:pPr>
          </w:p>
        </w:tc>
        <w:tc>
          <w:tcPr>
            <w:tcW w:w="1985" w:type="dxa"/>
          </w:tcPr>
          <w:p w14:paraId="4D6FA62E" w14:textId="78CE7602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F470CB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7EACA286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3A1545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Саудівська Аравія</w:t>
            </w:r>
          </w:p>
        </w:tc>
        <w:tc>
          <w:tcPr>
            <w:tcW w:w="1559" w:type="dxa"/>
          </w:tcPr>
          <w:p w14:paraId="5F2E42D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CC6D76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3430F3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753A35E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FE3E93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Сенегал</w:t>
            </w:r>
          </w:p>
        </w:tc>
        <w:tc>
          <w:tcPr>
            <w:tcW w:w="1559" w:type="dxa"/>
          </w:tcPr>
          <w:p w14:paraId="2575AFA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2EE16680" w14:textId="23923353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1826107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8925AB1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EAF0EB6" w14:textId="427E45C5" w:rsidR="00976448" w:rsidRPr="000E4D2E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B320E4">
              <w:rPr>
                <w:lang w:val="uk"/>
              </w:rPr>
              <w:t>Сейшел</w:t>
            </w:r>
            <w:r w:rsidR="000E4D2E">
              <w:rPr>
                <w:lang w:val="uk"/>
              </w:rPr>
              <w:t>и</w:t>
            </w:r>
          </w:p>
        </w:tc>
        <w:tc>
          <w:tcPr>
            <w:tcW w:w="1559" w:type="dxa"/>
          </w:tcPr>
          <w:p w14:paraId="0CD4337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3C7EDF2" w14:textId="3AC7AFB9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7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680024D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63ACC2D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1AE2B8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Сьєрра-Леоне</w:t>
            </w:r>
          </w:p>
        </w:tc>
        <w:tc>
          <w:tcPr>
            <w:tcW w:w="1559" w:type="dxa"/>
          </w:tcPr>
          <w:p w14:paraId="21C934E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3EFF981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6E79EB0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</w:p>
        </w:tc>
      </w:tr>
      <w:tr w:rsidR="00976448" w:rsidRPr="00194E88" w14:paraId="5AC00428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8B7C9C5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Сінґапур</w:t>
            </w:r>
          </w:p>
        </w:tc>
        <w:tc>
          <w:tcPr>
            <w:tcW w:w="1559" w:type="dxa"/>
          </w:tcPr>
          <w:p w14:paraId="2DC441D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5D1F971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1FF37AF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0C23D909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36C4A80" w14:textId="51455C29" w:rsidR="00976448" w:rsidRPr="000E4D2E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0E4D2E">
              <w:rPr>
                <w:lang w:val="uk"/>
              </w:rPr>
              <w:t>С</w:t>
            </w:r>
            <w:r w:rsidR="000E4D2E" w:rsidRPr="000E4D2E">
              <w:rPr>
                <w:lang w:val="uk"/>
              </w:rPr>
              <w:t>інт</w:t>
            </w:r>
            <w:r w:rsidR="000E4D2E">
              <w:rPr>
                <w:lang w:val="uk"/>
              </w:rPr>
              <w:t>-</w:t>
            </w:r>
            <w:r w:rsidR="000E4D2E" w:rsidRPr="000E4D2E">
              <w:rPr>
                <w:lang w:val="uk"/>
              </w:rPr>
              <w:t>Естатіус</w:t>
            </w:r>
          </w:p>
        </w:tc>
        <w:tc>
          <w:tcPr>
            <w:tcW w:w="1559" w:type="dxa"/>
          </w:tcPr>
          <w:p w14:paraId="3C72CD6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B3F4F33" w14:textId="77777777" w:rsidR="0097644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 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6 місяців)</w:t>
            </w:r>
          </w:p>
        </w:tc>
        <w:tc>
          <w:tcPr>
            <w:tcW w:w="1984" w:type="dxa"/>
          </w:tcPr>
          <w:p w14:paraId="66CE1C6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D38EF20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649E44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Сен-Мартен</w:t>
            </w:r>
          </w:p>
        </w:tc>
        <w:tc>
          <w:tcPr>
            <w:tcW w:w="1559" w:type="dxa"/>
          </w:tcPr>
          <w:p w14:paraId="6BC7E9A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F5BDF1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 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>місяців)</w:t>
            </w:r>
          </w:p>
        </w:tc>
        <w:tc>
          <w:tcPr>
            <w:tcW w:w="1984" w:type="dxa"/>
          </w:tcPr>
          <w:p w14:paraId="328B834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CA28C0E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C3A636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Соломонові острови</w:t>
            </w:r>
          </w:p>
        </w:tc>
        <w:tc>
          <w:tcPr>
            <w:tcW w:w="1559" w:type="dxa"/>
          </w:tcPr>
          <w:p w14:paraId="6704833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32BC21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lang w:val="uk"/>
              </w:rPr>
              <w:t xml:space="preserve"> (≥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  <w:r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30C264D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70A17401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2E3BEA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Сомалі</w:t>
            </w:r>
          </w:p>
        </w:tc>
        <w:tc>
          <w:tcPr>
            <w:tcW w:w="1559" w:type="dxa"/>
          </w:tcPr>
          <w:p w14:paraId="261667D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49A3BC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6BF3521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319019F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CEC2BF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Південно-Африканська Республіка</w:t>
            </w:r>
          </w:p>
        </w:tc>
        <w:tc>
          <w:tcPr>
            <w:tcW w:w="1559" w:type="dxa"/>
          </w:tcPr>
          <w:p w14:paraId="0B60A33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1561424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4F386F77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0DE863B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15FFEF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Південний Судан</w:t>
            </w:r>
          </w:p>
        </w:tc>
        <w:tc>
          <w:tcPr>
            <w:tcW w:w="1559" w:type="dxa"/>
          </w:tcPr>
          <w:p w14:paraId="4AC5FBA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285474B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4B0F312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</w:tr>
      <w:tr w:rsidR="00976448" w:rsidRPr="00194E88" w14:paraId="4C58242F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3D05B1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Шрі-Ланка</w:t>
            </w:r>
          </w:p>
        </w:tc>
        <w:tc>
          <w:tcPr>
            <w:tcW w:w="1559" w:type="dxa"/>
          </w:tcPr>
          <w:p w14:paraId="3B42D95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0E98DEF6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19AE3C9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C22191F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C70EE0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Судан</w:t>
            </w:r>
          </w:p>
        </w:tc>
        <w:tc>
          <w:tcPr>
            <w:tcW w:w="1559" w:type="dxa"/>
          </w:tcPr>
          <w:p w14:paraId="43692D6F" w14:textId="7A03DEED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5</w:t>
            </w:r>
          </w:p>
        </w:tc>
        <w:tc>
          <w:tcPr>
            <w:tcW w:w="1985" w:type="dxa"/>
          </w:tcPr>
          <w:p w14:paraId="3500C48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79805AA3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2D2824B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32AA87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Суринам</w:t>
            </w:r>
          </w:p>
        </w:tc>
        <w:tc>
          <w:tcPr>
            <w:tcW w:w="1559" w:type="dxa"/>
          </w:tcPr>
          <w:p w14:paraId="268E57F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3DD0898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439A74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65FF56AE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0DD3FA0" w14:textId="77777777" w:rsidR="00976448" w:rsidRPr="00B320E4" w:rsidDel="00F3351B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Таїланд</w:t>
            </w:r>
          </w:p>
        </w:tc>
        <w:tc>
          <w:tcPr>
            <w:tcW w:w="1559" w:type="dxa"/>
          </w:tcPr>
          <w:p w14:paraId="52DEC8CC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7CA149F" w14:textId="77777777" w:rsidR="00976448" w:rsidRPr="00B320E4" w:rsidDel="00F3351B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9 місяців)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2E8601C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1B8E1A6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FAD492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lastRenderedPageBreak/>
              <w:t>Того</w:t>
            </w:r>
          </w:p>
        </w:tc>
        <w:tc>
          <w:tcPr>
            <w:tcW w:w="1559" w:type="dxa"/>
          </w:tcPr>
          <w:p w14:paraId="05DCEF6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07D93B2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33BE2C5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</w:tr>
      <w:tr w:rsidR="00976448" w:rsidRPr="00194E88" w14:paraId="7EB22923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CB56C6E" w14:textId="1D40CD3C" w:rsidR="00976448" w:rsidRPr="00A6632A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ru-RU"/>
              </w:rPr>
            </w:pPr>
            <w:r w:rsidRPr="00B320E4">
              <w:rPr>
                <w:lang w:val="uk"/>
              </w:rPr>
              <w:t>Тринідад і Тобаго</w:t>
            </w:r>
            <w:r>
              <w:rPr>
                <w:lang w:val="uk"/>
              </w:rPr>
              <w:t xml:space="preserve"> (острів Тринідад)</w:t>
            </w:r>
          </w:p>
        </w:tc>
        <w:tc>
          <w:tcPr>
            <w:tcW w:w="1559" w:type="dxa"/>
          </w:tcPr>
          <w:p w14:paraId="670D8A9B" w14:textId="1A20FBAA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0D8B439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1 рік</w:t>
            </w:r>
            <w:r w:rsidRPr="00B320E4">
              <w:rPr>
                <w:color w:val="auto"/>
                <w:lang w:val="uk"/>
              </w:rPr>
              <w:t>)</w:t>
            </w:r>
          </w:p>
        </w:tc>
        <w:tc>
          <w:tcPr>
            <w:tcW w:w="1984" w:type="dxa"/>
          </w:tcPr>
          <w:p w14:paraId="32ABAA5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145391F7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3E10EA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lang w:val="uk"/>
              </w:rPr>
              <w:t>Уганда</w:t>
            </w:r>
          </w:p>
        </w:tc>
        <w:tc>
          <w:tcPr>
            <w:tcW w:w="1559" w:type="dxa"/>
          </w:tcPr>
          <w:p w14:paraId="3BFB64D9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val="en-GB"/>
              </w:rPr>
            </w:pPr>
            <w:r w:rsidRPr="00B320E4">
              <w:rPr>
                <w:lang w:val="uk"/>
              </w:rPr>
              <w:t>Так</w:t>
            </w:r>
          </w:p>
        </w:tc>
        <w:tc>
          <w:tcPr>
            <w:tcW w:w="1985" w:type="dxa"/>
          </w:tcPr>
          <w:p w14:paraId="3658A64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rFonts w:asciiTheme="majorBidi" w:hAnsiTheme="majorBidi" w:cstheme="majorBidi"/>
                <w:color w:val="auto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14:paraId="01F0F780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</w:tr>
      <w:tr w:rsidR="00976448" w:rsidRPr="00194E88" w14:paraId="23C3A374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513678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>
              <w:rPr>
                <w:lang w:val="uk"/>
              </w:rPr>
              <w:t>Об'єднані Арабські Емірати</w:t>
            </w:r>
          </w:p>
        </w:tc>
        <w:tc>
          <w:tcPr>
            <w:tcW w:w="1559" w:type="dxa"/>
          </w:tcPr>
          <w:p w14:paraId="3476A83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472106F9" w14:textId="77777777" w:rsidR="00976448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356CC9">
              <w:rPr>
                <w:color w:val="auto"/>
                <w:lang w:val="uk"/>
              </w:rPr>
              <w:t>Так</w:t>
            </w:r>
            <w:r w:rsidRPr="00D6281F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356CC9">
              <w:rPr>
                <w:color w:val="auto"/>
                <w:lang w:val="uk"/>
              </w:rPr>
              <w:t xml:space="preserve"> (≥ 9 місяців)</w:t>
            </w:r>
          </w:p>
        </w:tc>
        <w:tc>
          <w:tcPr>
            <w:tcW w:w="1984" w:type="dxa"/>
          </w:tcPr>
          <w:p w14:paraId="59155DF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04B7368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3626C3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Об'єднана Республіка Танзанія</w:t>
            </w:r>
          </w:p>
        </w:tc>
        <w:tc>
          <w:tcPr>
            <w:tcW w:w="1559" w:type="dxa"/>
          </w:tcPr>
          <w:p w14:paraId="11DF247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3887E8CA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50FA6041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5E389E85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99735CB" w14:textId="132E5E0A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Венесуела (Болів</w:t>
            </w:r>
            <w:r w:rsidR="00251CBA">
              <w:rPr>
                <w:lang w:val="uk"/>
              </w:rPr>
              <w:t>і</w:t>
            </w:r>
            <w:r w:rsidR="00251CBA" w:rsidRPr="00251CBA">
              <w:rPr>
                <w:lang w:val="uk"/>
              </w:rPr>
              <w:t>йська</w:t>
            </w:r>
            <w:r w:rsidRPr="00B320E4">
              <w:rPr>
                <w:lang w:val="uk"/>
              </w:rPr>
              <w:t xml:space="preserve"> Республіка)</w:t>
            </w:r>
          </w:p>
        </w:tc>
        <w:tc>
          <w:tcPr>
            <w:tcW w:w="1559" w:type="dxa"/>
          </w:tcPr>
          <w:p w14:paraId="18F7A4DC" w14:textId="1689B628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Так</w:t>
            </w:r>
            <w:r>
              <w:rPr>
                <w:color w:val="auto"/>
                <w:vertAlign w:val="superscript"/>
                <w:lang w:val="uk"/>
              </w:rPr>
              <w:t xml:space="preserve">5 </w:t>
            </w:r>
          </w:p>
        </w:tc>
        <w:tc>
          <w:tcPr>
            <w:tcW w:w="1985" w:type="dxa"/>
          </w:tcPr>
          <w:p w14:paraId="6F7C45EA" w14:textId="60B8B7C4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>
              <w:rPr>
                <w:color w:val="auto"/>
                <w:lang w:val="uk"/>
              </w:rPr>
              <w:t>Так</w:t>
            </w:r>
            <w:r w:rsidRPr="00125B9C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color w:val="auto"/>
                <w:vertAlign w:val="superscript"/>
                <w:lang w:val="uk"/>
              </w:rPr>
              <w:t>,</w:t>
            </w:r>
            <w:r>
              <w:rPr>
                <w:spacing w:val="-1"/>
                <w:vertAlign w:val="superscript"/>
                <w:lang w:val="uk"/>
              </w:rPr>
              <w:t>6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(≥</w:t>
            </w:r>
            <w:r>
              <w:rPr>
                <w:lang w:val="uk"/>
              </w:rPr>
              <w:t xml:space="preserve"> </w:t>
            </w:r>
            <w:r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D93127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2A6BED9B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D264A1B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Уолліс і Футуна</w:t>
            </w:r>
          </w:p>
        </w:tc>
        <w:tc>
          <w:tcPr>
            <w:tcW w:w="1559" w:type="dxa"/>
          </w:tcPr>
          <w:p w14:paraId="00F5B5F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6D529B7F" w14:textId="77777777" w:rsidR="00976448" w:rsidRPr="00B320E4" w:rsidDel="009758AE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15243E04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4C0E0E1C" w14:textId="77777777" w:rsidTr="0091420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9871819" w14:textId="1814AF20" w:rsidR="00976448" w:rsidRPr="00251CBA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inorHAnsi" w:hAnsiTheme="minorHAnsi" w:cstheme="majorBidi"/>
                <w:lang w:val="en-GB"/>
              </w:rPr>
            </w:pPr>
            <w:r w:rsidRPr="00B320E4">
              <w:rPr>
                <w:lang w:val="uk"/>
              </w:rPr>
              <w:t>Замбі</w:t>
            </w:r>
            <w:r w:rsidR="00251CBA">
              <w:rPr>
                <w:lang w:val="uk"/>
              </w:rPr>
              <w:t>я</w:t>
            </w:r>
          </w:p>
        </w:tc>
        <w:tc>
          <w:tcPr>
            <w:tcW w:w="1559" w:type="dxa"/>
          </w:tcPr>
          <w:p w14:paraId="1EB420D2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7F5BD26E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1 рік)</w:t>
            </w:r>
          </w:p>
        </w:tc>
        <w:tc>
          <w:tcPr>
            <w:tcW w:w="1984" w:type="dxa"/>
          </w:tcPr>
          <w:p w14:paraId="00A4C45F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  <w:tr w:rsidR="00976448" w:rsidRPr="00194E88" w14:paraId="3FD19071" w14:textId="77777777" w:rsidTr="0091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240185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096"/>
              </w:tabs>
              <w:spacing w:before="57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B320E4">
              <w:rPr>
                <w:lang w:val="uk"/>
              </w:rPr>
              <w:t>Зімбабве</w:t>
            </w:r>
          </w:p>
        </w:tc>
        <w:tc>
          <w:tcPr>
            <w:tcW w:w="1559" w:type="dxa"/>
          </w:tcPr>
          <w:p w14:paraId="7FF2DAE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985" w:type="dxa"/>
          </w:tcPr>
          <w:p w14:paraId="22C4E88D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  <w:r w:rsidRPr="00B320E4">
              <w:rPr>
                <w:color w:val="auto"/>
                <w:lang w:val="uk"/>
              </w:rPr>
              <w:t>Так</w:t>
            </w:r>
            <w:r w:rsidRPr="00B320E4">
              <w:rPr>
                <w:color w:val="auto"/>
                <w:vertAlign w:val="superscript"/>
                <w:lang w:val="uk"/>
              </w:rPr>
              <w:t>4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(</w:t>
            </w:r>
            <w:r>
              <w:rPr>
                <w:color w:val="auto"/>
                <w:lang w:val="uk"/>
              </w:rPr>
              <w:t>≥</w:t>
            </w:r>
            <w:r>
              <w:rPr>
                <w:lang w:val="uk"/>
              </w:rPr>
              <w:t xml:space="preserve"> </w:t>
            </w:r>
            <w:r w:rsidRPr="00B320E4">
              <w:rPr>
                <w:color w:val="auto"/>
                <w:lang w:val="uk"/>
              </w:rPr>
              <w:t xml:space="preserve"> 9 місяців)</w:t>
            </w:r>
          </w:p>
        </w:tc>
        <w:tc>
          <w:tcPr>
            <w:tcW w:w="1984" w:type="dxa"/>
          </w:tcPr>
          <w:p w14:paraId="771A1CD8" w14:textId="77777777" w:rsidR="00976448" w:rsidRPr="00B320E4" w:rsidRDefault="00976448" w:rsidP="00976448">
            <w:pPr>
              <w:pStyle w:val="T1text"/>
              <w:pBdr>
                <w:bottom w:val="none" w:sz="0" w:space="0" w:color="auto"/>
              </w:pBdr>
              <w:tabs>
                <w:tab w:val="clear" w:pos="2268"/>
                <w:tab w:val="left" w:pos="1587"/>
                <w:tab w:val="left" w:pos="3175"/>
                <w:tab w:val="left" w:pos="4819"/>
              </w:tabs>
              <w:spacing w:before="57"/>
              <w:ind w:lef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GB"/>
              </w:rPr>
            </w:pPr>
          </w:p>
        </w:tc>
      </w:tr>
    </w:tbl>
    <w:p w14:paraId="659F1032" w14:textId="77777777" w:rsidR="00FC2184" w:rsidRDefault="002D0F48" w:rsidP="00FC2184">
      <w:pPr>
        <w:pStyle w:val="a8"/>
        <w:rPr>
          <w:rFonts w:ascii="NewsGoth BT" w:hAnsi="NewsGoth BT" w:cs="NewsGoth BT"/>
          <w:lang w:val="en-GB"/>
        </w:rPr>
      </w:pPr>
      <w:r w:rsidRPr="00FC2184">
        <w:rPr>
          <w:rFonts w:ascii="NewsGoth BT" w:hAnsi="NewsGoth BT" w:cs="NewsGoth BT"/>
          <w:lang w:val="en-GB"/>
        </w:rPr>
        <w:t xml:space="preserve">    </w:t>
      </w:r>
    </w:p>
    <w:p w14:paraId="510DBFD4" w14:textId="066C67B6" w:rsidR="000A5442" w:rsidRPr="00A6632A" w:rsidRDefault="000A5442" w:rsidP="00932571">
      <w:pPr>
        <w:pStyle w:val="T1text"/>
        <w:pBdr>
          <w:bottom w:val="none" w:sz="0" w:space="0" w:color="auto"/>
        </w:pBdr>
        <w:tabs>
          <w:tab w:val="clear" w:pos="2268"/>
          <w:tab w:val="left" w:pos="221"/>
        </w:tabs>
        <w:spacing w:before="57"/>
        <w:ind w:left="227" w:hanging="85"/>
        <w:rPr>
          <w:rFonts w:asciiTheme="majorBidi" w:hAnsiTheme="majorBidi" w:cstheme="majorBidi"/>
          <w:sz w:val="14"/>
          <w:szCs w:val="14"/>
          <w:lang w:val="ru-RU"/>
        </w:rPr>
      </w:pPr>
      <w:bookmarkStart w:id="0" w:name="_Hlk45995447"/>
      <w:r w:rsidRPr="005267FD">
        <w:rPr>
          <w:sz w:val="14"/>
          <w:szCs w:val="14"/>
          <w:vertAlign w:val="superscript"/>
          <w:lang w:val="uk"/>
        </w:rPr>
        <w:t>1</w:t>
      </w:r>
      <w:r w:rsidRPr="005267FD">
        <w:rPr>
          <w:sz w:val="14"/>
          <w:szCs w:val="14"/>
          <w:lang w:val="uk"/>
        </w:rPr>
        <w:t xml:space="preserve"> </w:t>
      </w:r>
      <w:r w:rsidR="003F5804" w:rsidRPr="003F5804">
        <w:rPr>
          <w:sz w:val="14"/>
          <w:szCs w:val="14"/>
          <w:lang w:val="uk"/>
        </w:rPr>
        <w:t>Для цієї публікації терміни «країна» та «країни» стосуються країн, територій та районів.</w:t>
      </w:r>
      <w:r w:rsidRPr="005267FD">
        <w:rPr>
          <w:sz w:val="14"/>
          <w:szCs w:val="14"/>
          <w:lang w:val="uk"/>
        </w:rPr>
        <w:t>.</w:t>
      </w:r>
    </w:p>
    <w:p w14:paraId="47D2F3E8" w14:textId="77777777" w:rsidR="00932571" w:rsidRDefault="000A5442" w:rsidP="00932571">
      <w:pPr>
        <w:pStyle w:val="T1text"/>
        <w:pBdr>
          <w:bottom w:val="none" w:sz="0" w:space="0" w:color="auto"/>
        </w:pBdr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  <w:r w:rsidRPr="005267FD">
        <w:rPr>
          <w:spacing w:val="-1"/>
          <w:sz w:val="14"/>
          <w:szCs w:val="14"/>
          <w:vertAlign w:val="superscript"/>
          <w:lang w:val="uk"/>
        </w:rPr>
        <w:t>2</w:t>
      </w:r>
      <w:r w:rsidRPr="005267FD">
        <w:rPr>
          <w:spacing w:val="-1"/>
          <w:sz w:val="14"/>
          <w:szCs w:val="14"/>
          <w:lang w:val="uk"/>
        </w:rPr>
        <w:t xml:space="preserve"> </w:t>
      </w:r>
      <w:r w:rsidR="00932571" w:rsidRPr="00932571">
        <w:rPr>
          <w:spacing w:val="-1"/>
          <w:sz w:val="14"/>
          <w:szCs w:val="14"/>
          <w:lang w:val="uk"/>
        </w:rPr>
        <w:t>Ризик передачі жовтої гарячки визначається як випадки захворювання на жовту гарячку, про які в даний час надходять повідомлення або надходили повідомлення в минулому, та наявність векторів і тварин-носіїв інфекції, що представляють собою потенційний ризик інфікування та передачі інфекції.</w:t>
      </w:r>
    </w:p>
    <w:p w14:paraId="60766247" w14:textId="38A520ED" w:rsidR="00932571" w:rsidRDefault="000A5442" w:rsidP="00932571">
      <w:pPr>
        <w:pStyle w:val="T1text"/>
        <w:pBdr>
          <w:bottom w:val="none" w:sz="0" w:space="0" w:color="auto"/>
        </w:pBdr>
        <w:tabs>
          <w:tab w:val="left" w:pos="221"/>
        </w:tabs>
        <w:spacing w:before="57"/>
        <w:ind w:left="227" w:hanging="85"/>
        <w:rPr>
          <w:rFonts w:asciiTheme="minorHAnsi" w:hAnsiTheme="minorHAnsi"/>
          <w:lang w:val="uk"/>
        </w:rPr>
      </w:pPr>
      <w:r w:rsidRPr="00B320E4">
        <w:rPr>
          <w:color w:val="auto"/>
          <w:spacing w:val="-1"/>
          <w:sz w:val="14"/>
          <w:szCs w:val="14"/>
          <w:vertAlign w:val="superscript"/>
          <w:lang w:val="uk"/>
        </w:rPr>
        <w:t>3</w:t>
      </w:r>
      <w:r w:rsidRPr="00B320E4">
        <w:rPr>
          <w:color w:val="auto"/>
          <w:spacing w:val="-1"/>
          <w:sz w:val="14"/>
          <w:szCs w:val="14"/>
          <w:lang w:val="uk"/>
        </w:rPr>
        <w:t xml:space="preserve"> </w:t>
      </w:r>
      <w:r w:rsidR="00932571" w:rsidRPr="00932571">
        <w:rPr>
          <w:spacing w:val="-1"/>
          <w:sz w:val="14"/>
          <w:szCs w:val="14"/>
          <w:lang w:val="uk"/>
        </w:rPr>
        <w:t xml:space="preserve">Країна у будь-який час може </w:t>
      </w:r>
      <w:proofErr w:type="spellStart"/>
      <w:r w:rsidR="00932571" w:rsidRPr="00932571">
        <w:rPr>
          <w:spacing w:val="-1"/>
          <w:sz w:val="14"/>
          <w:szCs w:val="14"/>
          <w:lang w:val="uk"/>
        </w:rPr>
        <w:t>внести</w:t>
      </w:r>
      <w:proofErr w:type="spellEnd"/>
      <w:r w:rsidR="00932571" w:rsidRPr="00932571">
        <w:rPr>
          <w:spacing w:val="-1"/>
          <w:sz w:val="14"/>
          <w:szCs w:val="14"/>
          <w:lang w:val="uk"/>
        </w:rPr>
        <w:t xml:space="preserve"> зміни до національних вимог. Важливо, щоб подорожуючі знали вимоги країни, до якої вони збираються виїжджати, попередньо ознайомившись з такою інформацією у відповідному консульстві чи посольстві</w:t>
      </w:r>
      <w:r w:rsidR="00932571">
        <w:rPr>
          <w:spacing w:val="-1"/>
          <w:sz w:val="14"/>
          <w:szCs w:val="14"/>
          <w:lang w:val="uk"/>
        </w:rPr>
        <w:t>.</w:t>
      </w:r>
      <w:r w:rsidRPr="0096151A">
        <w:rPr>
          <w:i/>
          <w:color w:val="auto"/>
          <w:spacing w:val="-1"/>
          <w:sz w:val="14"/>
          <w:szCs w:val="14"/>
          <w:lang w:val="uk"/>
        </w:rPr>
        <w:t xml:space="preserve"> </w:t>
      </w:r>
      <w:r>
        <w:rPr>
          <w:lang w:val="uk"/>
        </w:rPr>
        <w:t xml:space="preserve"> </w:t>
      </w:r>
    </w:p>
    <w:p w14:paraId="56B8998C" w14:textId="03A09919" w:rsidR="00932571" w:rsidRPr="00932571" w:rsidRDefault="00932571" w:rsidP="00711090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News Gothic BT" w:hAnsi="News Gothic BT" w:cs="News Gothic BT"/>
          <w:i/>
          <w:iCs/>
          <w:color w:val="000000"/>
          <w:spacing w:val="-1"/>
          <w:sz w:val="14"/>
          <w:szCs w:val="14"/>
          <w:lang w:val="uk"/>
        </w:rPr>
      </w:pPr>
      <w:r w:rsidRPr="00932571">
        <w:rPr>
          <w:rFonts w:ascii="News Gothic BT" w:hAnsi="News Gothic BT" w:cs="News Gothic BT"/>
          <w:color w:val="000000"/>
          <w:spacing w:val="-1"/>
          <w:sz w:val="14"/>
          <w:szCs w:val="14"/>
          <w:u w:val="single"/>
          <w:lang w:val="uk"/>
        </w:rPr>
        <w:t>Термін дії:</w:t>
      </w:r>
      <w:r w:rsidRPr="00932571">
        <w:rPr>
          <w:rFonts w:ascii="News Gothic BT" w:hAnsi="News Gothic BT" w:cs="News Gothic BT"/>
          <w:color w:val="000000"/>
          <w:spacing w:val="-1"/>
          <w:sz w:val="14"/>
          <w:szCs w:val="14"/>
          <w:lang w:val="uk"/>
        </w:rPr>
        <w:t xml:space="preserve"> </w:t>
      </w:r>
      <w:r w:rsidRPr="00932571">
        <w:rPr>
          <w:rFonts w:ascii="News Gothic BT" w:hAnsi="News Gothic BT" w:cs="News Gothic BT"/>
          <w:i/>
          <w:iCs/>
          <w:color w:val="000000"/>
          <w:spacing w:val="-1"/>
          <w:sz w:val="14"/>
          <w:szCs w:val="14"/>
          <w:lang w:val="uk"/>
        </w:rPr>
        <w:t>згідно з внесеною до ММСП (2005) поправкою, яка була ухвалена Всесвітньою Асамблеєю охорони здоров'я в резолюції WHA67.13, зазначається, що з 11 липня 2016 року всі довідки про вакцинацію проти жовтої гарячки будуть дійсними протягом усього життя вакцинованої особи замість  терміну дії зазначеної довідки, яка раніше складала 10 років; це також стосується вже виданих довідок та тих, що будуть видаватися.</w:t>
      </w:r>
    </w:p>
    <w:p w14:paraId="02E768CE" w14:textId="77777777" w:rsidR="00932571" w:rsidRPr="00932571" w:rsidRDefault="00932571" w:rsidP="00711090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News Gothic BT" w:hAnsi="News Gothic BT" w:cs="News Gothic BT"/>
          <w:i/>
          <w:iCs/>
          <w:color w:val="000000"/>
          <w:spacing w:val="-1"/>
          <w:sz w:val="14"/>
          <w:szCs w:val="14"/>
          <w:lang w:val="uk"/>
        </w:rPr>
      </w:pPr>
      <w:r w:rsidRPr="00932571">
        <w:rPr>
          <w:rFonts w:ascii="News Gothic BT" w:hAnsi="News Gothic BT" w:cs="News Gothic BT"/>
          <w:i/>
          <w:iCs/>
          <w:color w:val="000000"/>
          <w:spacing w:val="-1"/>
          <w:sz w:val="14"/>
          <w:szCs w:val="14"/>
          <w:lang w:val="uk"/>
        </w:rPr>
        <w:t>Відповідно, станом на 11 липня 2016 року, дійсні довідки про вакцинацію, які подорожуючі представляють, не можуть бути відхилені на підставі того, що з дати видачі такої довідки, а отже і з дати вакцинації особи минуло більше 10 років, як зазначено у довідці. Проведення повторної імунізації або ревакцинації не вимагається.</w:t>
      </w:r>
    </w:p>
    <w:p w14:paraId="0D24F6CB" w14:textId="77777777" w:rsidR="00932571" w:rsidRDefault="000A5442" w:rsidP="00932571">
      <w:pPr>
        <w:pStyle w:val="T1text"/>
        <w:pBdr>
          <w:bottom w:val="none" w:sz="0" w:space="0" w:color="auto"/>
        </w:pBdr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  <w:r w:rsidRPr="00B320E4">
        <w:rPr>
          <w:spacing w:val="-1"/>
          <w:sz w:val="14"/>
          <w:szCs w:val="14"/>
          <w:vertAlign w:val="superscript"/>
          <w:lang w:val="uk"/>
        </w:rPr>
        <w:t>4</w:t>
      </w:r>
      <w:r w:rsidRPr="005267FD">
        <w:rPr>
          <w:spacing w:val="-1"/>
          <w:sz w:val="14"/>
          <w:szCs w:val="14"/>
          <w:lang w:val="uk"/>
        </w:rPr>
        <w:t xml:space="preserve"> </w:t>
      </w:r>
      <w:r w:rsidR="00932571" w:rsidRPr="00932571">
        <w:rPr>
          <w:spacing w:val="-1"/>
          <w:sz w:val="14"/>
          <w:szCs w:val="14"/>
          <w:lang w:val="uk"/>
        </w:rPr>
        <w:t>Включає вимогу вакцинації проти жовтої гарячки для подорожуючих, які перебували у транзитній зоні аеропорту країни з ризиком передачі жовтої гарячки більше 12 годин.</w:t>
      </w:r>
    </w:p>
    <w:p w14:paraId="6F5F02D0" w14:textId="63E7173D" w:rsidR="000A5442" w:rsidRPr="00932571" w:rsidRDefault="000A5442" w:rsidP="00932571">
      <w:pPr>
        <w:pStyle w:val="T1text"/>
        <w:pBdr>
          <w:bottom w:val="none" w:sz="0" w:space="0" w:color="auto"/>
        </w:pBdr>
        <w:tabs>
          <w:tab w:val="left" w:pos="221"/>
        </w:tabs>
        <w:spacing w:before="57"/>
        <w:ind w:left="227" w:hanging="85"/>
        <w:rPr>
          <w:rStyle w:val="af3"/>
          <w:lang w:val="uk"/>
        </w:rPr>
      </w:pPr>
      <w:r w:rsidRPr="00451A70">
        <w:rPr>
          <w:spacing w:val="-1"/>
          <w:sz w:val="14"/>
          <w:szCs w:val="14"/>
          <w:vertAlign w:val="superscript"/>
          <w:lang w:val="uk"/>
        </w:rPr>
        <w:t>5</w:t>
      </w:r>
      <w:r>
        <w:rPr>
          <w:spacing w:val="-1"/>
          <w:sz w:val="14"/>
          <w:szCs w:val="14"/>
          <w:lang w:val="uk"/>
        </w:rPr>
        <w:tab/>
      </w:r>
      <w:r>
        <w:rPr>
          <w:spacing w:val="-1"/>
          <w:sz w:val="14"/>
          <w:szCs w:val="14"/>
          <w:vertAlign w:val="superscript"/>
          <w:lang w:val="uk"/>
        </w:rPr>
        <w:tab/>
      </w:r>
      <w:r w:rsidR="00932571" w:rsidRPr="00932571">
        <w:rPr>
          <w:spacing w:val="-1"/>
          <w:sz w:val="14"/>
          <w:szCs w:val="14"/>
          <w:lang w:val="uk"/>
        </w:rPr>
        <w:t>Ризик передачі жовтої гарячки існує лише у деяких частинах країни. Докладнішу інформацію можна знайти у</w:t>
      </w:r>
      <w:r w:rsidR="00932571" w:rsidRPr="002C382B">
        <w:rPr>
          <w:rFonts w:ascii="Arial" w:hAnsi="Arial" w:cs="Arial"/>
          <w:sz w:val="18"/>
          <w:szCs w:val="18"/>
        </w:rPr>
        <w:t xml:space="preserve"> </w:t>
      </w:r>
      <w:r w:rsidR="00932571" w:rsidRPr="00932571">
        <w:rPr>
          <w:rStyle w:val="af3"/>
          <w:spacing w:val="-1"/>
          <w:sz w:val="14"/>
          <w:szCs w:val="14"/>
          <w:lang w:val="uk"/>
        </w:rPr>
        <w:t>списку країн, перелічених у публікації "Міжнародні подорожі та здоров'я подорожуючих".</w:t>
      </w:r>
    </w:p>
    <w:p w14:paraId="6BFF1946" w14:textId="77777777" w:rsidR="00932571" w:rsidRPr="00932571" w:rsidRDefault="000A5442" w:rsidP="00932571">
      <w:pPr>
        <w:pStyle w:val="T1text"/>
        <w:tabs>
          <w:tab w:val="left" w:pos="221"/>
        </w:tabs>
        <w:spacing w:before="57"/>
        <w:ind w:left="227" w:hanging="85"/>
        <w:rPr>
          <w:rStyle w:val="af3"/>
          <w:sz w:val="14"/>
          <w:szCs w:val="14"/>
        </w:rPr>
      </w:pPr>
      <w:r w:rsidRPr="00451A70">
        <w:rPr>
          <w:spacing w:val="-1"/>
          <w:sz w:val="14"/>
          <w:szCs w:val="14"/>
          <w:vertAlign w:val="superscript"/>
          <w:lang w:val="uk"/>
        </w:rPr>
        <w:t>6</w:t>
      </w:r>
      <w:r w:rsidRPr="00451A70">
        <w:rPr>
          <w:spacing w:val="-1"/>
          <w:sz w:val="14"/>
          <w:szCs w:val="14"/>
          <w:vertAlign w:val="superscript"/>
          <w:lang w:val="uk"/>
        </w:rPr>
        <w:tab/>
      </w:r>
      <w:r w:rsidR="00932571" w:rsidRPr="00932571">
        <w:rPr>
          <w:spacing w:val="-1"/>
          <w:sz w:val="14"/>
          <w:szCs w:val="14"/>
          <w:lang w:val="uk"/>
        </w:rPr>
        <w:t xml:space="preserve">Список країн, до яких застосовуються ці вимоги, відрізняється від переліку країн ВООЗ з ризиком передачі жовтої гарячки. Докладнішу інформацію див. у </w:t>
      </w:r>
      <w:r w:rsidR="00932571" w:rsidRPr="00932571">
        <w:rPr>
          <w:rStyle w:val="af3"/>
          <w:sz w:val="14"/>
          <w:szCs w:val="14"/>
          <w:lang w:val="uk"/>
        </w:rPr>
        <w:t>списку країн, перелічених у публікації "Міжнародні подорожі та здоров'я подорожуючих".</w:t>
      </w:r>
    </w:p>
    <w:p w14:paraId="223D4381" w14:textId="29CB8FF8" w:rsidR="00FC2184" w:rsidRDefault="000A5442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  <w:r>
        <w:rPr>
          <w:spacing w:val="-1"/>
          <w:sz w:val="14"/>
          <w:szCs w:val="14"/>
          <w:vertAlign w:val="superscript"/>
          <w:lang w:val="uk"/>
        </w:rPr>
        <w:t>7</w:t>
      </w:r>
      <w:r>
        <w:rPr>
          <w:spacing w:val="-1"/>
          <w:sz w:val="14"/>
          <w:szCs w:val="14"/>
          <w:vertAlign w:val="superscript"/>
          <w:lang w:val="uk"/>
        </w:rPr>
        <w:tab/>
      </w:r>
      <w:r w:rsidR="00D0666E" w:rsidRPr="005267FD">
        <w:rPr>
          <w:spacing w:val="-1"/>
          <w:sz w:val="14"/>
          <w:szCs w:val="14"/>
          <w:lang w:val="uk"/>
        </w:rPr>
        <w:t xml:space="preserve"> </w:t>
      </w:r>
      <w:bookmarkEnd w:id="0"/>
      <w:r w:rsidR="00412886" w:rsidRPr="00932571">
        <w:rPr>
          <w:spacing w:val="-1"/>
          <w:sz w:val="14"/>
          <w:szCs w:val="14"/>
          <w:lang w:val="uk"/>
        </w:rPr>
        <w:t>Включає вимогу вакцинації проти жовтої гарячки для подорожуючих транзит</w:t>
      </w:r>
      <w:r w:rsidR="00412886">
        <w:rPr>
          <w:spacing w:val="-1"/>
          <w:sz w:val="14"/>
          <w:szCs w:val="14"/>
          <w:lang w:val="uk"/>
        </w:rPr>
        <w:t>о</w:t>
      </w:r>
      <w:r w:rsidR="00412886">
        <w:rPr>
          <w:rFonts w:asciiTheme="minorHAnsi" w:hAnsiTheme="minorHAnsi"/>
          <w:spacing w:val="-1"/>
          <w:sz w:val="14"/>
          <w:szCs w:val="14"/>
          <w:lang w:val="uk"/>
        </w:rPr>
        <w:t>м</w:t>
      </w:r>
      <w:r w:rsidR="00412886" w:rsidRPr="00932571">
        <w:rPr>
          <w:spacing w:val="-1"/>
          <w:sz w:val="14"/>
          <w:szCs w:val="14"/>
          <w:lang w:val="uk"/>
        </w:rPr>
        <w:t xml:space="preserve"> </w:t>
      </w:r>
      <w:r w:rsidR="00412886">
        <w:rPr>
          <w:spacing w:val="-1"/>
          <w:sz w:val="14"/>
          <w:szCs w:val="14"/>
          <w:lang w:val="uk"/>
        </w:rPr>
        <w:t>ч</w:t>
      </w:r>
      <w:r w:rsidR="00412886">
        <w:rPr>
          <w:rFonts w:asciiTheme="minorHAnsi" w:hAnsiTheme="minorHAnsi"/>
          <w:spacing w:val="-1"/>
          <w:sz w:val="14"/>
          <w:szCs w:val="14"/>
          <w:lang w:val="uk"/>
        </w:rPr>
        <w:t>ерез</w:t>
      </w:r>
      <w:r w:rsidR="00412886" w:rsidRPr="00932571">
        <w:rPr>
          <w:spacing w:val="-1"/>
          <w:sz w:val="14"/>
          <w:szCs w:val="14"/>
          <w:lang w:val="uk"/>
        </w:rPr>
        <w:t xml:space="preserve"> аеропорт країни з ризиком передачі жовтої гарячки.</w:t>
      </w:r>
    </w:p>
    <w:p w14:paraId="015EF7B0" w14:textId="3350BF34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3BC4046F" w14:textId="3AF9C91C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1BA51762" w14:textId="277EC6C5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459C47F0" w14:textId="178089E6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3936E983" w14:textId="0AA91FD5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1536EEAC" w14:textId="776EEA1D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75184C20" w14:textId="402D4F8D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2551ABAA" w14:textId="4933719F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559ACAEF" w14:textId="2E681B6D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6AF0EDF3" w14:textId="37E57CD0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79F20303" w14:textId="546A86EB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15C6D6E4" w14:textId="082EA36D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004041BA" w14:textId="3C2627BB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1ECEFC64" w14:textId="3F933B57" w:rsidR="00FF75A8" w:rsidRDefault="00FF75A8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0E584A95" w14:textId="6C31DEAA" w:rsidR="00711090" w:rsidRDefault="00711090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503803DD" w14:textId="0FF9028A" w:rsidR="00711090" w:rsidRDefault="00711090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5EE32606" w14:textId="4B368F5E" w:rsidR="00711090" w:rsidRDefault="00711090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72AE8D58" w14:textId="2D716893" w:rsidR="00711090" w:rsidRDefault="00711090" w:rsidP="00412886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/>
          <w:spacing w:val="-1"/>
          <w:sz w:val="14"/>
          <w:szCs w:val="14"/>
          <w:lang w:val="uk"/>
        </w:rPr>
      </w:pPr>
    </w:p>
    <w:p w14:paraId="69C2F220" w14:textId="34EE933C" w:rsidR="00FF75A8" w:rsidRPr="00FF75A8" w:rsidRDefault="00FF75A8" w:rsidP="00FF75A8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 w:cs="NewsGoth BT"/>
          <w:lang w:val="uk"/>
        </w:rPr>
      </w:pPr>
      <w:r w:rsidRPr="00FF75A8">
        <w:rPr>
          <w:rFonts w:asciiTheme="minorHAnsi" w:hAnsiTheme="minorHAnsi" w:cs="NewsGoth BT"/>
          <w:lang w:val="uk"/>
        </w:rPr>
        <w:t>© Всесвітня організація охорони здоров'я 20</w:t>
      </w:r>
      <w:r>
        <w:rPr>
          <w:rFonts w:asciiTheme="minorHAnsi" w:hAnsiTheme="minorHAnsi" w:cs="NewsGoth BT"/>
          <w:lang w:val="uk"/>
        </w:rPr>
        <w:t>20</w:t>
      </w:r>
      <w:r w:rsidRPr="00FF75A8">
        <w:rPr>
          <w:rFonts w:asciiTheme="minorHAnsi" w:hAnsiTheme="minorHAnsi" w:cs="NewsGoth BT"/>
          <w:lang w:val="uk"/>
        </w:rPr>
        <w:t>. Деякі права захищені. Даний матеріал є у доступі відповідно до ліцензії CC BY-NC-SA 3.0 IGO.</w:t>
      </w:r>
    </w:p>
    <w:p w14:paraId="76CFA27E" w14:textId="77777777" w:rsidR="00FF75A8" w:rsidRPr="00FF75A8" w:rsidRDefault="00FF75A8" w:rsidP="00FF75A8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 w:cs="NewsGoth BT"/>
          <w:lang w:val="uk"/>
        </w:rPr>
      </w:pPr>
    </w:p>
    <w:p w14:paraId="3D2B66EA" w14:textId="77777777" w:rsidR="00FF75A8" w:rsidRDefault="00FF75A8" w:rsidP="00FF75A8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 w:cs="NewsGoth BT"/>
          <w:lang w:val="uk"/>
        </w:rPr>
      </w:pPr>
      <w:r w:rsidRPr="00FF75A8">
        <w:rPr>
          <w:rFonts w:asciiTheme="minorHAnsi" w:hAnsiTheme="minorHAnsi" w:cs="NewsGoth BT"/>
          <w:lang w:val="uk"/>
        </w:rPr>
        <w:t>Використані визначення та представлення матеріалу у даній публікації не означають вираження будь-якої думки з боку ВООЗ щодо правового статусу</w:t>
      </w:r>
    </w:p>
    <w:p w14:paraId="7597B69E" w14:textId="6A4A3DA2" w:rsidR="00FF75A8" w:rsidRPr="00FF75A8" w:rsidRDefault="00FF75A8" w:rsidP="00FF75A8">
      <w:pPr>
        <w:pStyle w:val="T1text"/>
        <w:tabs>
          <w:tab w:val="left" w:pos="221"/>
        </w:tabs>
        <w:spacing w:before="57"/>
        <w:ind w:left="227" w:hanging="85"/>
        <w:rPr>
          <w:rFonts w:asciiTheme="minorHAnsi" w:hAnsiTheme="minorHAnsi" w:cs="NewsGoth BT"/>
          <w:lang w:val="uk"/>
        </w:rPr>
      </w:pPr>
      <w:r w:rsidRPr="00FF75A8">
        <w:rPr>
          <w:rFonts w:asciiTheme="minorHAnsi" w:hAnsiTheme="minorHAnsi" w:cs="NewsGoth BT"/>
          <w:lang w:val="uk"/>
        </w:rPr>
        <w:t>будь-якої країни, території, міста чи району, або щодо їх органів влади, або щодо делімітації їх меж або кордонів.</w:t>
      </w:r>
    </w:p>
    <w:p w14:paraId="23537093" w14:textId="77777777" w:rsidR="00FC2184" w:rsidRPr="00932571" w:rsidRDefault="00FC2184" w:rsidP="00FC2184">
      <w:pPr>
        <w:pStyle w:val="a8"/>
        <w:rPr>
          <w:rFonts w:ascii="NewsGoth BT" w:hAnsi="NewsGoth BT" w:cs="NewsGoth BT"/>
          <w:lang w:val="uk"/>
        </w:rPr>
      </w:pPr>
    </w:p>
    <w:p w14:paraId="53128088" w14:textId="77777777" w:rsidR="00FC2184" w:rsidRPr="00932571" w:rsidRDefault="00FC2184" w:rsidP="00FC2184">
      <w:pPr>
        <w:pStyle w:val="a8"/>
        <w:rPr>
          <w:rFonts w:ascii="NewsGoth BT" w:hAnsi="NewsGoth BT" w:cs="NewsGoth BT"/>
          <w:lang w:val="uk"/>
        </w:rPr>
      </w:pPr>
    </w:p>
    <w:p w14:paraId="07D9C60A" w14:textId="77777777" w:rsidR="00FC2184" w:rsidRPr="00932571" w:rsidRDefault="00FC2184" w:rsidP="00FC2184">
      <w:pPr>
        <w:pStyle w:val="a8"/>
        <w:rPr>
          <w:rFonts w:ascii="NewsGoth BT" w:hAnsi="NewsGoth BT" w:cs="NewsGoth BT"/>
          <w:lang w:val="uk"/>
        </w:rPr>
      </w:pPr>
    </w:p>
    <w:sectPr w:rsidR="00FC2184" w:rsidRPr="00932571" w:rsidSect="00887990">
      <w:headerReference w:type="default" r:id="rId7"/>
      <w:headerReference w:type="first" r:id="rId8"/>
      <w:footerReference w:type="first" r:id="rId9"/>
      <w:footnotePr>
        <w:numFmt w:val="lowerLetter"/>
      </w:footnotePr>
      <w:type w:val="continuous"/>
      <w:pgSz w:w="11906" w:h="16838"/>
      <w:pgMar w:top="24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C4C5" w14:textId="77777777" w:rsidR="00035AB7" w:rsidRDefault="00035AB7" w:rsidP="00EB7152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0C6E5249" w14:textId="77777777" w:rsidR="00035AB7" w:rsidRDefault="00035AB7" w:rsidP="00EB7152">
      <w:pPr>
        <w:spacing w:after="0" w:line="240" w:lineRule="auto"/>
      </w:pPr>
      <w:r>
        <w:rPr>
          <w:lang w:val="uk"/>
        </w:rPr>
        <w:continuationSeparator/>
      </w:r>
    </w:p>
  </w:endnote>
  <w:endnote w:type="continuationNotice" w:id="1">
    <w:p w14:paraId="5723CCD1" w14:textId="77777777" w:rsidR="00035AB7" w:rsidRDefault="00035A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B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561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D8EB7" w14:textId="639B1A15" w:rsidR="001D47A4" w:rsidRDefault="001D47A4">
        <w:pPr>
          <w:pStyle w:val="a8"/>
          <w:jc w:val="center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</w:p>
    </w:sdtContent>
  </w:sdt>
  <w:p w14:paraId="38C55D09" w14:textId="271689B4" w:rsidR="001D47A4" w:rsidRPr="0068441F" w:rsidRDefault="001D47A4" w:rsidP="000677FA">
    <w:pPr>
      <w:pStyle w:val="a8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8AFA" w14:textId="77777777" w:rsidR="00035AB7" w:rsidRDefault="00035AB7" w:rsidP="00EB7152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33F0E983" w14:textId="77777777" w:rsidR="00035AB7" w:rsidRDefault="00035AB7" w:rsidP="00EB7152">
      <w:pPr>
        <w:spacing w:after="0" w:line="240" w:lineRule="auto"/>
      </w:pPr>
      <w:r>
        <w:rPr>
          <w:lang w:val="uk"/>
        </w:rPr>
        <w:continuationSeparator/>
      </w:r>
    </w:p>
  </w:footnote>
  <w:footnote w:type="continuationNotice" w:id="1">
    <w:p w14:paraId="403031F9" w14:textId="77777777" w:rsidR="00035AB7" w:rsidRDefault="00035A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5"/>
      <w:tblW w:w="0" w:type="auto"/>
      <w:tblInd w:w="288" w:type="dxa"/>
      <w:tblLook w:val="04A0" w:firstRow="1" w:lastRow="0" w:firstColumn="1" w:lastColumn="0" w:noHBand="0" w:noVBand="1"/>
    </w:tblPr>
    <w:tblGrid>
      <w:gridCol w:w="2655"/>
      <w:gridCol w:w="2127"/>
      <w:gridCol w:w="2409"/>
      <w:gridCol w:w="2127"/>
    </w:tblGrid>
    <w:tr w:rsidR="001D47A4" w:rsidRPr="00236FE9" w14:paraId="57067A9D" w14:textId="77777777" w:rsidTr="00251C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55" w:type="dxa"/>
          <w:vMerge w:val="restart"/>
        </w:tcPr>
        <w:p w14:paraId="775137B5" w14:textId="579039AD" w:rsidR="001D47A4" w:rsidRPr="000E4D2E" w:rsidRDefault="001D47A4" w:rsidP="00DA59EE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587"/>
              <w:tab w:val="left" w:pos="3175"/>
              <w:tab w:val="left" w:pos="4819"/>
            </w:tabs>
            <w:spacing w:before="57"/>
            <w:ind w:left="0" w:firstLine="0"/>
            <w:rPr>
              <w:rFonts w:asciiTheme="minorHAnsi" w:hAnsiTheme="minorHAnsi" w:cstheme="majorBidi"/>
              <w:lang w:val="en-GB"/>
            </w:rPr>
          </w:pPr>
          <w:r w:rsidRPr="00B320E4">
            <w:rPr>
              <w:lang w:val="uk"/>
            </w:rPr>
            <w:t>Країн</w:t>
          </w:r>
          <w:r w:rsidR="000E4D2E">
            <w:rPr>
              <w:lang w:val="uk"/>
            </w:rPr>
            <w:t>а</w:t>
          </w:r>
        </w:p>
      </w:tc>
      <w:tc>
        <w:tcPr>
          <w:tcW w:w="2127" w:type="dxa"/>
          <w:vMerge w:val="restart"/>
        </w:tcPr>
        <w:p w14:paraId="01D308FA" w14:textId="141A0B0D" w:rsidR="001D47A4" w:rsidRPr="00A6632A" w:rsidRDefault="000E4D2E" w:rsidP="00DA59EE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587"/>
              <w:tab w:val="left" w:pos="3175"/>
              <w:tab w:val="left" w:pos="4819"/>
            </w:tabs>
            <w:spacing w:before="57"/>
            <w:ind w:left="0" w:firstLine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 w:cstheme="majorBidi"/>
              <w:lang w:val="ru-RU"/>
            </w:rPr>
          </w:pPr>
          <w:r w:rsidRPr="000E4D2E">
            <w:rPr>
              <w:lang w:val="uk"/>
            </w:rPr>
            <w:t>Країна з ризиком передачі жовтої гарячки</w:t>
          </w:r>
        </w:p>
      </w:tc>
      <w:tc>
        <w:tcPr>
          <w:tcW w:w="4536" w:type="dxa"/>
          <w:gridSpan w:val="2"/>
        </w:tcPr>
        <w:p w14:paraId="2346325A" w14:textId="69A8BD79" w:rsidR="001D47A4" w:rsidRPr="000E4D2E" w:rsidRDefault="000E4D2E" w:rsidP="000E4D2E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587"/>
              <w:tab w:val="left" w:pos="3175"/>
              <w:tab w:val="left" w:pos="4819"/>
            </w:tabs>
            <w:spacing w:before="57"/>
            <w:ind w:left="0" w:firstLine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 w:cstheme="majorBidi"/>
              <w:color w:val="auto"/>
              <w:lang w:val="ru-RU"/>
            </w:rPr>
          </w:pPr>
          <w:r w:rsidRPr="000E4D2E">
            <w:rPr>
              <w:color w:val="auto"/>
              <w:lang w:val="uk"/>
            </w:rPr>
            <w:t>Країна, що вимагає вакцинацію проти жовтої гарячки від подорожуючих, які прибувають з</w:t>
          </w:r>
          <w:r w:rsidRPr="000E4D2E">
            <w:rPr>
              <w:color w:val="auto"/>
              <w:vertAlign w:val="superscript"/>
              <w:lang w:val="uk"/>
            </w:rPr>
            <w:t>3</w:t>
          </w:r>
          <w:r w:rsidRPr="000E4D2E">
            <w:rPr>
              <w:color w:val="auto"/>
              <w:lang w:val="uk"/>
            </w:rPr>
            <w:t>:</w:t>
          </w:r>
        </w:p>
      </w:tc>
    </w:tr>
    <w:tr w:rsidR="001D47A4" w:rsidRPr="00236FE9" w14:paraId="6F1FF1AA" w14:textId="77777777" w:rsidTr="00F5698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8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55" w:type="dxa"/>
          <w:vMerge/>
          <w:tcBorders>
            <w:bottom w:val="single" w:sz="8" w:space="0" w:color="4BACC6" w:themeColor="accent5"/>
          </w:tcBorders>
        </w:tcPr>
        <w:p w14:paraId="2E9AC3A9" w14:textId="77777777" w:rsidR="001D47A4" w:rsidRPr="000E4D2E" w:rsidRDefault="001D47A4" w:rsidP="00DA59EE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587"/>
              <w:tab w:val="left" w:pos="3175"/>
              <w:tab w:val="left" w:pos="4819"/>
            </w:tabs>
            <w:spacing w:before="57"/>
            <w:ind w:left="0" w:firstLine="0"/>
            <w:rPr>
              <w:rFonts w:asciiTheme="majorBidi" w:hAnsiTheme="majorBidi" w:cstheme="majorBidi"/>
              <w:lang w:val="ru-RU"/>
            </w:rPr>
          </w:pPr>
        </w:p>
      </w:tc>
      <w:tc>
        <w:tcPr>
          <w:tcW w:w="2127" w:type="dxa"/>
          <w:vMerge/>
          <w:tcBorders>
            <w:bottom w:val="single" w:sz="8" w:space="0" w:color="4BACC6" w:themeColor="accent5"/>
          </w:tcBorders>
        </w:tcPr>
        <w:p w14:paraId="0250F015" w14:textId="77777777" w:rsidR="001D47A4" w:rsidRPr="000E4D2E" w:rsidRDefault="001D47A4" w:rsidP="00DA59EE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587"/>
              <w:tab w:val="left" w:pos="3175"/>
              <w:tab w:val="left" w:pos="4819"/>
            </w:tabs>
            <w:spacing w:before="57"/>
            <w:ind w:left="0" w:firstLine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lang w:val="ru-RU"/>
            </w:rPr>
          </w:pPr>
        </w:p>
      </w:tc>
      <w:tc>
        <w:tcPr>
          <w:tcW w:w="2409" w:type="dxa"/>
          <w:tcBorders>
            <w:top w:val="single" w:sz="8" w:space="0" w:color="4BACC6" w:themeColor="accent5"/>
            <w:bottom w:val="single" w:sz="8" w:space="0" w:color="4BACC6" w:themeColor="accent5"/>
          </w:tcBorders>
        </w:tcPr>
        <w:p w14:paraId="301904D0" w14:textId="77777777" w:rsidR="000E4D2E" w:rsidRPr="00976448" w:rsidRDefault="000E4D2E" w:rsidP="000E4D2E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879"/>
              <w:tab w:val="left" w:pos="3175"/>
              <w:tab w:val="left" w:pos="4819"/>
            </w:tabs>
            <w:spacing w:before="57"/>
            <w:ind w:left="0" w:right="-110" w:firstLine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color w:val="auto"/>
              <w:lang w:val="uk"/>
            </w:rPr>
          </w:pPr>
          <w:r w:rsidRPr="00976448">
            <w:rPr>
              <w:b/>
              <w:bCs/>
              <w:color w:val="auto"/>
              <w:lang w:val="uk"/>
            </w:rPr>
            <w:t>країн з ризиком передачі жовтої гарячки</w:t>
          </w:r>
        </w:p>
        <w:p w14:paraId="6C57E765" w14:textId="4ADA7368" w:rsidR="001D47A4" w:rsidRPr="00B320E4" w:rsidRDefault="000E4D2E" w:rsidP="000E4D2E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587"/>
              <w:tab w:val="left" w:pos="3175"/>
              <w:tab w:val="left" w:pos="4819"/>
            </w:tabs>
            <w:spacing w:before="57"/>
            <w:ind w:left="0" w:firstLine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/>
              <w:bCs/>
              <w:color w:val="auto"/>
              <w:lang w:val="en-GB"/>
            </w:rPr>
          </w:pPr>
          <w:r w:rsidRPr="00976448">
            <w:rPr>
              <w:b/>
              <w:bCs/>
              <w:color w:val="auto"/>
              <w:lang w:val="uk"/>
            </w:rPr>
            <w:t xml:space="preserve">(вік </w:t>
          </w:r>
          <w:r>
            <w:rPr>
              <w:b/>
              <w:bCs/>
              <w:color w:val="auto"/>
              <w:lang w:val="uk"/>
            </w:rPr>
            <w:t>п</w:t>
          </w:r>
          <w:r w:rsidRPr="00976448">
            <w:rPr>
              <w:b/>
              <w:bCs/>
              <w:color w:val="auto"/>
              <w:lang w:val="uk"/>
            </w:rPr>
            <w:t>одорожуючого)</w:t>
          </w:r>
        </w:p>
      </w:tc>
      <w:tc>
        <w:tcPr>
          <w:tcW w:w="2127" w:type="dxa"/>
          <w:tcBorders>
            <w:top w:val="single" w:sz="8" w:space="0" w:color="4BACC6" w:themeColor="accent5"/>
            <w:bottom w:val="single" w:sz="8" w:space="0" w:color="4BACC6" w:themeColor="accent5"/>
          </w:tcBorders>
        </w:tcPr>
        <w:p w14:paraId="0F5FC762" w14:textId="77777777" w:rsidR="00251CBA" w:rsidRDefault="00251CBA" w:rsidP="00251CBA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587"/>
              <w:tab w:val="left" w:pos="3175"/>
              <w:tab w:val="left" w:pos="4819"/>
            </w:tabs>
            <w:spacing w:before="57"/>
            <w:ind w:left="-108" w:firstLine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bCs/>
              <w:color w:val="auto"/>
              <w:lang w:val="uk"/>
            </w:rPr>
          </w:pPr>
          <w:r w:rsidRPr="00976448">
            <w:rPr>
              <w:b/>
              <w:bCs/>
              <w:color w:val="auto"/>
              <w:lang w:val="uk"/>
            </w:rPr>
            <w:t>всіх країн</w:t>
          </w:r>
        </w:p>
        <w:p w14:paraId="0355014F" w14:textId="61E0FD3C" w:rsidR="001D47A4" w:rsidRPr="00251CBA" w:rsidRDefault="00251CBA" w:rsidP="00251CBA">
          <w:pPr>
            <w:pStyle w:val="T1text"/>
            <w:pBdr>
              <w:bottom w:val="none" w:sz="0" w:space="0" w:color="auto"/>
            </w:pBdr>
            <w:tabs>
              <w:tab w:val="clear" w:pos="2268"/>
              <w:tab w:val="left" w:pos="1587"/>
              <w:tab w:val="left" w:pos="3175"/>
              <w:tab w:val="left" w:pos="4819"/>
            </w:tabs>
            <w:spacing w:before="57"/>
            <w:ind w:left="-108" w:firstLine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color w:val="auto"/>
              <w:lang w:val="uk"/>
            </w:rPr>
          </w:pPr>
          <w:r w:rsidRPr="00976448">
            <w:rPr>
              <w:b/>
              <w:bCs/>
              <w:color w:val="auto"/>
              <w:lang w:val="uk"/>
            </w:rPr>
            <w:t>(вік подорожуючого)</w:t>
          </w:r>
          <w:r w:rsidR="001D47A4" w:rsidRPr="00194E88">
            <w:rPr>
              <w:b/>
              <w:color w:val="auto"/>
              <w:lang w:val="uk"/>
            </w:rPr>
            <w:br/>
          </w:r>
        </w:p>
      </w:tc>
    </w:tr>
  </w:tbl>
  <w:p w14:paraId="3786E8EB" w14:textId="77777777" w:rsidR="001D47A4" w:rsidRPr="00A6632A" w:rsidRDefault="001D47A4" w:rsidP="00A80AE5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1784" w14:textId="2FA8DF37" w:rsidR="001D47A4" w:rsidRPr="00A6632A" w:rsidRDefault="001D47A4" w:rsidP="00024B9C">
    <w:pPr>
      <w:pStyle w:val="headAA"/>
      <w:rPr>
        <w:rFonts w:asciiTheme="majorBidi" w:hAnsiTheme="majorBidi" w:cstheme="majorBidi"/>
        <w:lang w:val="ru-RU"/>
      </w:rPr>
    </w:pPr>
    <w:r>
      <w:rPr>
        <w:lang w:val="uk"/>
      </w:rPr>
      <w:t xml:space="preserve">МІЖНАРОДНІ ПОДОРОЖІ ТА ЗДОРОВ'Я, </w:t>
    </w:r>
    <w:r w:rsidRPr="005267FD">
      <w:rPr>
        <w:lang w:val="uk"/>
      </w:rPr>
      <w:t>Додаток 1</w:t>
    </w:r>
    <w:r>
      <w:rPr>
        <w:lang w:val="uk"/>
      </w:rPr>
      <w:t xml:space="preserve"> – станом на 1 липня 2020 року</w:t>
    </w:r>
  </w:p>
  <w:p w14:paraId="602A4890" w14:textId="77777777" w:rsidR="00711090" w:rsidRDefault="001D47A4" w:rsidP="00777D4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7990"/>
        <w:sz w:val="28"/>
        <w:szCs w:val="28"/>
      </w:rPr>
    </w:pPr>
    <w:r w:rsidRPr="00682FDF">
      <w:rPr>
        <w:rFonts w:ascii="Arial" w:hAnsi="Arial" w:cs="Arial"/>
        <w:b/>
        <w:bCs/>
        <w:color w:val="007990"/>
        <w:sz w:val="28"/>
        <w:szCs w:val="28"/>
      </w:rPr>
      <w:t>Країни</w:t>
    </w:r>
    <w:r w:rsidRPr="00682FDF">
      <w:rPr>
        <w:rFonts w:ascii="Arial" w:hAnsi="Arial" w:cs="Arial"/>
        <w:b/>
        <w:bCs/>
        <w:color w:val="007990"/>
        <w:sz w:val="28"/>
        <w:szCs w:val="28"/>
        <w:vertAlign w:val="superscript"/>
      </w:rPr>
      <w:t>1</w:t>
    </w:r>
    <w:r w:rsidRPr="00682FDF">
      <w:rPr>
        <w:rFonts w:ascii="Arial" w:hAnsi="Arial" w:cs="Arial"/>
        <w:b/>
        <w:bCs/>
        <w:color w:val="007990"/>
        <w:sz w:val="28"/>
        <w:szCs w:val="28"/>
      </w:rPr>
      <w:t xml:space="preserve"> з р</w:t>
    </w:r>
    <w:r>
      <w:rPr>
        <w:rFonts w:ascii="Arial" w:hAnsi="Arial" w:cs="Arial"/>
        <w:b/>
        <w:bCs/>
        <w:color w:val="007990"/>
        <w:sz w:val="28"/>
        <w:szCs w:val="28"/>
      </w:rPr>
      <w:t xml:space="preserve">изиком передачі </w:t>
    </w:r>
    <w:r>
      <w:rPr>
        <w:rFonts w:ascii="Arial" w:hAnsi="Arial" w:cs="Arial"/>
        <w:b/>
        <w:bCs/>
        <w:color w:val="007990"/>
        <w:sz w:val="28"/>
        <w:szCs w:val="28"/>
        <w:lang w:val="uk-UA"/>
      </w:rPr>
      <w:t xml:space="preserve">вірусу </w:t>
    </w:r>
    <w:r>
      <w:rPr>
        <w:rFonts w:ascii="Arial" w:hAnsi="Arial" w:cs="Arial"/>
        <w:b/>
        <w:bCs/>
        <w:color w:val="007990"/>
        <w:sz w:val="28"/>
        <w:szCs w:val="28"/>
      </w:rPr>
      <w:t xml:space="preserve">жовтої </w:t>
    </w:r>
    <w:r>
      <w:rPr>
        <w:rFonts w:ascii="Arial" w:hAnsi="Arial" w:cs="Arial"/>
        <w:b/>
        <w:bCs/>
        <w:color w:val="007990"/>
        <w:sz w:val="28"/>
        <w:szCs w:val="28"/>
        <w:lang w:val="uk-UA"/>
      </w:rPr>
      <w:t>гарячки</w:t>
    </w:r>
    <w:r w:rsidRPr="00682FDF">
      <w:rPr>
        <w:rFonts w:ascii="Arial" w:hAnsi="Arial" w:cs="Arial"/>
        <w:b/>
        <w:bCs/>
        <w:color w:val="007990"/>
        <w:sz w:val="28"/>
        <w:szCs w:val="28"/>
        <w:vertAlign w:val="superscript"/>
      </w:rPr>
      <w:t>2</w:t>
    </w:r>
    <w:r w:rsidRPr="00682FDF">
      <w:rPr>
        <w:rFonts w:ascii="Arial" w:hAnsi="Arial" w:cs="Arial"/>
        <w:b/>
        <w:bCs/>
        <w:color w:val="007990"/>
        <w:sz w:val="28"/>
        <w:szCs w:val="28"/>
      </w:rPr>
      <w:t xml:space="preserve"> та</w:t>
    </w:r>
    <w:r w:rsidR="00777D45">
      <w:rPr>
        <w:rFonts w:ascii="Arial" w:hAnsi="Arial" w:cs="Arial"/>
        <w:b/>
        <w:bCs/>
        <w:color w:val="007990"/>
        <w:sz w:val="28"/>
        <w:szCs w:val="28"/>
        <w:lang w:val="uk-UA"/>
      </w:rPr>
      <w:t xml:space="preserve"> </w:t>
    </w:r>
    <w:r w:rsidRPr="00C808F4">
      <w:rPr>
        <w:rFonts w:ascii="Arial" w:hAnsi="Arial" w:cs="Arial"/>
        <w:b/>
        <w:bCs/>
        <w:color w:val="007990"/>
        <w:sz w:val="28"/>
        <w:szCs w:val="28"/>
      </w:rPr>
      <w:t>країни, як</w:t>
    </w:r>
    <w:r w:rsidRPr="00C808F4">
      <w:rPr>
        <w:rFonts w:ascii="Arial" w:hAnsi="Arial" w:cs="Arial"/>
        <w:b/>
        <w:bCs/>
        <w:color w:val="007990"/>
        <w:sz w:val="28"/>
        <w:szCs w:val="28"/>
        <w:lang w:val="uk-UA"/>
      </w:rPr>
      <w:t>і</w:t>
    </w:r>
    <w:r w:rsidRPr="00C808F4">
      <w:rPr>
        <w:rFonts w:ascii="Arial" w:hAnsi="Arial" w:cs="Arial"/>
        <w:b/>
        <w:bCs/>
        <w:color w:val="007990"/>
        <w:sz w:val="28"/>
        <w:szCs w:val="28"/>
      </w:rPr>
      <w:t xml:space="preserve"> вим</w:t>
    </w:r>
    <w:r>
      <w:rPr>
        <w:rFonts w:ascii="Arial" w:hAnsi="Arial" w:cs="Arial"/>
        <w:b/>
        <w:bCs/>
        <w:color w:val="007990"/>
        <w:sz w:val="28"/>
        <w:szCs w:val="28"/>
        <w:lang w:val="uk-UA"/>
      </w:rPr>
      <w:t>а</w:t>
    </w:r>
    <w:r w:rsidRPr="00C808F4">
      <w:rPr>
        <w:rFonts w:ascii="Arial" w:hAnsi="Arial" w:cs="Arial"/>
        <w:b/>
        <w:bCs/>
        <w:color w:val="007990"/>
        <w:sz w:val="28"/>
        <w:szCs w:val="28"/>
      </w:rPr>
      <w:t>гають вакцинацію</w:t>
    </w:r>
    <w:r>
      <w:rPr>
        <w:rFonts w:ascii="Arial" w:hAnsi="Arial" w:cs="Arial"/>
        <w:b/>
        <w:bCs/>
        <w:color w:val="007990"/>
        <w:sz w:val="28"/>
        <w:szCs w:val="28"/>
      </w:rPr>
      <w:t xml:space="preserve"> </w:t>
    </w:r>
    <w:r w:rsidRPr="00C808F4">
      <w:rPr>
        <w:rFonts w:ascii="Arial" w:hAnsi="Arial" w:cs="Arial"/>
        <w:b/>
        <w:bCs/>
        <w:color w:val="007990"/>
        <w:sz w:val="28"/>
        <w:szCs w:val="28"/>
      </w:rPr>
      <w:t>пр</w:t>
    </w:r>
    <w:r w:rsidRPr="00C808F4">
      <w:rPr>
        <w:rFonts w:ascii="Arial" w:hAnsi="Arial" w:cs="Arial"/>
        <w:b/>
        <w:bCs/>
        <w:color w:val="007990"/>
        <w:sz w:val="28"/>
        <w:szCs w:val="28"/>
        <w:lang w:val="uk-UA"/>
      </w:rPr>
      <w:t>оти жо</w:t>
    </w:r>
    <w:r w:rsidRPr="00C808F4">
      <w:rPr>
        <w:rFonts w:ascii="Arial" w:hAnsi="Arial" w:cs="Arial"/>
        <w:b/>
        <w:bCs/>
        <w:color w:val="007990"/>
        <w:sz w:val="28"/>
        <w:szCs w:val="28"/>
      </w:rPr>
      <w:t xml:space="preserve">втої </w:t>
    </w:r>
    <w:r w:rsidRPr="00C808F4">
      <w:rPr>
        <w:rFonts w:ascii="Arial" w:hAnsi="Arial" w:cs="Arial"/>
        <w:b/>
        <w:bCs/>
        <w:color w:val="007990"/>
        <w:sz w:val="28"/>
        <w:szCs w:val="28"/>
        <w:lang w:val="uk-UA"/>
      </w:rPr>
      <w:t>гарячки</w:t>
    </w:r>
    <w:r>
      <w:rPr>
        <w:rFonts w:ascii="Arial" w:hAnsi="Arial" w:cs="Arial"/>
        <w:b/>
        <w:bCs/>
        <w:color w:val="007990"/>
        <w:sz w:val="28"/>
        <w:szCs w:val="28"/>
      </w:rPr>
      <w:t xml:space="preserve">  </w:t>
    </w:r>
  </w:p>
  <w:p w14:paraId="22B3CC86" w14:textId="724BC750" w:rsidR="001D47A4" w:rsidRPr="001D47A4" w:rsidRDefault="001D47A4" w:rsidP="00777D45">
    <w:pPr>
      <w:autoSpaceDE w:val="0"/>
      <w:autoSpaceDN w:val="0"/>
      <w:adjustRightInd w:val="0"/>
      <w:spacing w:after="0" w:line="240" w:lineRule="auto"/>
      <w:rPr>
        <w:lang w:val="uk"/>
      </w:rPr>
    </w:pPr>
    <w:r>
      <w:rPr>
        <w:rFonts w:ascii="Arial" w:hAnsi="Arial" w:cs="Arial"/>
        <w:b/>
        <w:bCs/>
        <w:color w:val="007990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30"/>
    <w:rsid w:val="0000097F"/>
    <w:rsid w:val="000034BA"/>
    <w:rsid w:val="00005881"/>
    <w:rsid w:val="00024B9C"/>
    <w:rsid w:val="00025445"/>
    <w:rsid w:val="00027957"/>
    <w:rsid w:val="00032CE8"/>
    <w:rsid w:val="00033085"/>
    <w:rsid w:val="00035AB7"/>
    <w:rsid w:val="00045646"/>
    <w:rsid w:val="000540E1"/>
    <w:rsid w:val="00054257"/>
    <w:rsid w:val="00066903"/>
    <w:rsid w:val="000677FA"/>
    <w:rsid w:val="00075EE6"/>
    <w:rsid w:val="00080E75"/>
    <w:rsid w:val="00087CD8"/>
    <w:rsid w:val="00087E3C"/>
    <w:rsid w:val="00097275"/>
    <w:rsid w:val="000A0A16"/>
    <w:rsid w:val="000A0EE1"/>
    <w:rsid w:val="000A2C3B"/>
    <w:rsid w:val="000A5442"/>
    <w:rsid w:val="000B05A3"/>
    <w:rsid w:val="000B1F70"/>
    <w:rsid w:val="000B7F99"/>
    <w:rsid w:val="000C0247"/>
    <w:rsid w:val="000D6EE7"/>
    <w:rsid w:val="000E4D2E"/>
    <w:rsid w:val="000E5A02"/>
    <w:rsid w:val="000E6208"/>
    <w:rsid w:val="000F1877"/>
    <w:rsid w:val="000F4B29"/>
    <w:rsid w:val="0011014F"/>
    <w:rsid w:val="00114356"/>
    <w:rsid w:val="0012231F"/>
    <w:rsid w:val="00122464"/>
    <w:rsid w:val="00125B9C"/>
    <w:rsid w:val="00125DD0"/>
    <w:rsid w:val="001303EF"/>
    <w:rsid w:val="00130850"/>
    <w:rsid w:val="00136DCB"/>
    <w:rsid w:val="00167096"/>
    <w:rsid w:val="001674E1"/>
    <w:rsid w:val="001826C7"/>
    <w:rsid w:val="00190351"/>
    <w:rsid w:val="001912A5"/>
    <w:rsid w:val="00194E88"/>
    <w:rsid w:val="001A4D8D"/>
    <w:rsid w:val="001A6B03"/>
    <w:rsid w:val="001B718F"/>
    <w:rsid w:val="001C5AB4"/>
    <w:rsid w:val="001D0125"/>
    <w:rsid w:val="001D42DC"/>
    <w:rsid w:val="001D47A4"/>
    <w:rsid w:val="001E14F0"/>
    <w:rsid w:val="001E43AE"/>
    <w:rsid w:val="001E7380"/>
    <w:rsid w:val="001F33D4"/>
    <w:rsid w:val="001F5577"/>
    <w:rsid w:val="001F6590"/>
    <w:rsid w:val="00205A36"/>
    <w:rsid w:val="00207DE4"/>
    <w:rsid w:val="00216BB0"/>
    <w:rsid w:val="00227B48"/>
    <w:rsid w:val="00230C0C"/>
    <w:rsid w:val="00233BC8"/>
    <w:rsid w:val="00236FE9"/>
    <w:rsid w:val="00251CBA"/>
    <w:rsid w:val="002521EB"/>
    <w:rsid w:val="0026060F"/>
    <w:rsid w:val="00277318"/>
    <w:rsid w:val="0028021D"/>
    <w:rsid w:val="002829A1"/>
    <w:rsid w:val="00284A78"/>
    <w:rsid w:val="00287FE6"/>
    <w:rsid w:val="00292EA2"/>
    <w:rsid w:val="00297888"/>
    <w:rsid w:val="002B0E56"/>
    <w:rsid w:val="002B26F2"/>
    <w:rsid w:val="002B4322"/>
    <w:rsid w:val="002B5189"/>
    <w:rsid w:val="002B559A"/>
    <w:rsid w:val="002B56AA"/>
    <w:rsid w:val="002B788B"/>
    <w:rsid w:val="002C0DB5"/>
    <w:rsid w:val="002C1721"/>
    <w:rsid w:val="002C4C6A"/>
    <w:rsid w:val="002D0F48"/>
    <w:rsid w:val="002E0DEB"/>
    <w:rsid w:val="002F105A"/>
    <w:rsid w:val="002F1675"/>
    <w:rsid w:val="00300EA7"/>
    <w:rsid w:val="003056B2"/>
    <w:rsid w:val="00314B9C"/>
    <w:rsid w:val="0032229C"/>
    <w:rsid w:val="00325545"/>
    <w:rsid w:val="003307C7"/>
    <w:rsid w:val="00335158"/>
    <w:rsid w:val="00342A5E"/>
    <w:rsid w:val="00346EA5"/>
    <w:rsid w:val="00347A22"/>
    <w:rsid w:val="003553D5"/>
    <w:rsid w:val="00356CC9"/>
    <w:rsid w:val="00360325"/>
    <w:rsid w:val="00360380"/>
    <w:rsid w:val="003605EC"/>
    <w:rsid w:val="0036261B"/>
    <w:rsid w:val="00371B69"/>
    <w:rsid w:val="00373BE4"/>
    <w:rsid w:val="00380D71"/>
    <w:rsid w:val="00381D56"/>
    <w:rsid w:val="00383AB8"/>
    <w:rsid w:val="00386A3C"/>
    <w:rsid w:val="00394098"/>
    <w:rsid w:val="0039699F"/>
    <w:rsid w:val="003A08EB"/>
    <w:rsid w:val="003A3087"/>
    <w:rsid w:val="003A50EA"/>
    <w:rsid w:val="003B7112"/>
    <w:rsid w:val="003B7520"/>
    <w:rsid w:val="003C1263"/>
    <w:rsid w:val="003C242C"/>
    <w:rsid w:val="003C7760"/>
    <w:rsid w:val="003D16E7"/>
    <w:rsid w:val="003D3941"/>
    <w:rsid w:val="003E2920"/>
    <w:rsid w:val="003E3833"/>
    <w:rsid w:val="003F5804"/>
    <w:rsid w:val="003F5B7D"/>
    <w:rsid w:val="003F71F2"/>
    <w:rsid w:val="003F7D4F"/>
    <w:rsid w:val="00401635"/>
    <w:rsid w:val="00404100"/>
    <w:rsid w:val="004051F1"/>
    <w:rsid w:val="00412886"/>
    <w:rsid w:val="00413E2D"/>
    <w:rsid w:val="00414D8B"/>
    <w:rsid w:val="00415348"/>
    <w:rsid w:val="0042436F"/>
    <w:rsid w:val="00425DA4"/>
    <w:rsid w:val="00425F02"/>
    <w:rsid w:val="00430D89"/>
    <w:rsid w:val="004374FA"/>
    <w:rsid w:val="0044123D"/>
    <w:rsid w:val="00444587"/>
    <w:rsid w:val="00445A98"/>
    <w:rsid w:val="00446E5A"/>
    <w:rsid w:val="00451A70"/>
    <w:rsid w:val="00454F51"/>
    <w:rsid w:val="00461096"/>
    <w:rsid w:val="004657CD"/>
    <w:rsid w:val="0047373A"/>
    <w:rsid w:val="004737DA"/>
    <w:rsid w:val="00473B29"/>
    <w:rsid w:val="00476F51"/>
    <w:rsid w:val="00477FD6"/>
    <w:rsid w:val="0048192C"/>
    <w:rsid w:val="004845A7"/>
    <w:rsid w:val="0049308B"/>
    <w:rsid w:val="004A0EE2"/>
    <w:rsid w:val="004A54E5"/>
    <w:rsid w:val="004C12C0"/>
    <w:rsid w:val="004D42BB"/>
    <w:rsid w:val="004D4402"/>
    <w:rsid w:val="004E0178"/>
    <w:rsid w:val="004E4BCE"/>
    <w:rsid w:val="004E7263"/>
    <w:rsid w:val="004F03ED"/>
    <w:rsid w:val="004F11E1"/>
    <w:rsid w:val="004F13F8"/>
    <w:rsid w:val="004F4120"/>
    <w:rsid w:val="005148D8"/>
    <w:rsid w:val="00516238"/>
    <w:rsid w:val="00517EB0"/>
    <w:rsid w:val="005244A6"/>
    <w:rsid w:val="00525D26"/>
    <w:rsid w:val="005267FD"/>
    <w:rsid w:val="00530B7A"/>
    <w:rsid w:val="0053543C"/>
    <w:rsid w:val="00535F6B"/>
    <w:rsid w:val="00574DF8"/>
    <w:rsid w:val="00576CD6"/>
    <w:rsid w:val="00582997"/>
    <w:rsid w:val="0058603E"/>
    <w:rsid w:val="005957A2"/>
    <w:rsid w:val="00595EDA"/>
    <w:rsid w:val="005A0D0D"/>
    <w:rsid w:val="005A4574"/>
    <w:rsid w:val="005A7EEE"/>
    <w:rsid w:val="005B2DA7"/>
    <w:rsid w:val="005B47A9"/>
    <w:rsid w:val="005C506A"/>
    <w:rsid w:val="005C507E"/>
    <w:rsid w:val="005E154A"/>
    <w:rsid w:val="005E4A67"/>
    <w:rsid w:val="005F1A62"/>
    <w:rsid w:val="006071FE"/>
    <w:rsid w:val="00615469"/>
    <w:rsid w:val="006173D2"/>
    <w:rsid w:val="00620ED2"/>
    <w:rsid w:val="006214BC"/>
    <w:rsid w:val="00627F2E"/>
    <w:rsid w:val="00631FE9"/>
    <w:rsid w:val="00634EDD"/>
    <w:rsid w:val="00636D80"/>
    <w:rsid w:val="006373A5"/>
    <w:rsid w:val="00637CE2"/>
    <w:rsid w:val="00644554"/>
    <w:rsid w:val="00652616"/>
    <w:rsid w:val="006534D9"/>
    <w:rsid w:val="00670D34"/>
    <w:rsid w:val="00677262"/>
    <w:rsid w:val="006813D6"/>
    <w:rsid w:val="0068441F"/>
    <w:rsid w:val="00686CC9"/>
    <w:rsid w:val="00687863"/>
    <w:rsid w:val="00696659"/>
    <w:rsid w:val="006971F9"/>
    <w:rsid w:val="006A7639"/>
    <w:rsid w:val="006B377C"/>
    <w:rsid w:val="006C00C8"/>
    <w:rsid w:val="006D4411"/>
    <w:rsid w:val="006E0E98"/>
    <w:rsid w:val="006E3D6B"/>
    <w:rsid w:val="006F0024"/>
    <w:rsid w:val="00701574"/>
    <w:rsid w:val="00702B25"/>
    <w:rsid w:val="007079A7"/>
    <w:rsid w:val="007109B3"/>
    <w:rsid w:val="00710EAB"/>
    <w:rsid w:val="00711090"/>
    <w:rsid w:val="00712818"/>
    <w:rsid w:val="00712A7C"/>
    <w:rsid w:val="00722AF2"/>
    <w:rsid w:val="00737EFE"/>
    <w:rsid w:val="007428D7"/>
    <w:rsid w:val="00744009"/>
    <w:rsid w:val="00745F7D"/>
    <w:rsid w:val="007501B1"/>
    <w:rsid w:val="0075569E"/>
    <w:rsid w:val="007609DC"/>
    <w:rsid w:val="00761A7D"/>
    <w:rsid w:val="007623C7"/>
    <w:rsid w:val="00774ED0"/>
    <w:rsid w:val="00777D45"/>
    <w:rsid w:val="007818C7"/>
    <w:rsid w:val="00783216"/>
    <w:rsid w:val="0078625E"/>
    <w:rsid w:val="00791C0A"/>
    <w:rsid w:val="007B0DA7"/>
    <w:rsid w:val="007B3BAD"/>
    <w:rsid w:val="007B4A4D"/>
    <w:rsid w:val="007B5329"/>
    <w:rsid w:val="007C433B"/>
    <w:rsid w:val="007C7DD1"/>
    <w:rsid w:val="007D489A"/>
    <w:rsid w:val="007D7630"/>
    <w:rsid w:val="007E5902"/>
    <w:rsid w:val="007F68D4"/>
    <w:rsid w:val="007F76C1"/>
    <w:rsid w:val="00807E74"/>
    <w:rsid w:val="0081165E"/>
    <w:rsid w:val="00821A30"/>
    <w:rsid w:val="008344F0"/>
    <w:rsid w:val="00837A58"/>
    <w:rsid w:val="00852D25"/>
    <w:rsid w:val="0085635C"/>
    <w:rsid w:val="00857357"/>
    <w:rsid w:val="008605A9"/>
    <w:rsid w:val="0086086A"/>
    <w:rsid w:val="008648F3"/>
    <w:rsid w:val="0087395B"/>
    <w:rsid w:val="008761B8"/>
    <w:rsid w:val="00882080"/>
    <w:rsid w:val="00887990"/>
    <w:rsid w:val="00892684"/>
    <w:rsid w:val="008D0D2B"/>
    <w:rsid w:val="008D7890"/>
    <w:rsid w:val="008E66C5"/>
    <w:rsid w:val="008F6AA8"/>
    <w:rsid w:val="00901B91"/>
    <w:rsid w:val="009107D0"/>
    <w:rsid w:val="0091420B"/>
    <w:rsid w:val="00916A5B"/>
    <w:rsid w:val="00924FD0"/>
    <w:rsid w:val="00932571"/>
    <w:rsid w:val="00936D9E"/>
    <w:rsid w:val="00942270"/>
    <w:rsid w:val="009478AE"/>
    <w:rsid w:val="00951E66"/>
    <w:rsid w:val="00951FC5"/>
    <w:rsid w:val="00957EDC"/>
    <w:rsid w:val="0096151A"/>
    <w:rsid w:val="00966775"/>
    <w:rsid w:val="00972A10"/>
    <w:rsid w:val="009758AE"/>
    <w:rsid w:val="00976448"/>
    <w:rsid w:val="00976729"/>
    <w:rsid w:val="00983E2F"/>
    <w:rsid w:val="00986956"/>
    <w:rsid w:val="00995F28"/>
    <w:rsid w:val="009A1222"/>
    <w:rsid w:val="009B7219"/>
    <w:rsid w:val="009B77E9"/>
    <w:rsid w:val="009C0F3B"/>
    <w:rsid w:val="009D2760"/>
    <w:rsid w:val="009E427D"/>
    <w:rsid w:val="009E6CBB"/>
    <w:rsid w:val="00A039E2"/>
    <w:rsid w:val="00A11174"/>
    <w:rsid w:val="00A12F96"/>
    <w:rsid w:val="00A1692C"/>
    <w:rsid w:val="00A30F7D"/>
    <w:rsid w:val="00A317D8"/>
    <w:rsid w:val="00A35E64"/>
    <w:rsid w:val="00A45ABC"/>
    <w:rsid w:val="00A52632"/>
    <w:rsid w:val="00A528EF"/>
    <w:rsid w:val="00A64C15"/>
    <w:rsid w:val="00A6632A"/>
    <w:rsid w:val="00A73CB7"/>
    <w:rsid w:val="00A757FD"/>
    <w:rsid w:val="00A76236"/>
    <w:rsid w:val="00A80AE5"/>
    <w:rsid w:val="00A92EE2"/>
    <w:rsid w:val="00A92FA1"/>
    <w:rsid w:val="00A97C08"/>
    <w:rsid w:val="00A97CB0"/>
    <w:rsid w:val="00AB3EB1"/>
    <w:rsid w:val="00AB69A4"/>
    <w:rsid w:val="00AB778E"/>
    <w:rsid w:val="00AC7BC6"/>
    <w:rsid w:val="00AD0D3F"/>
    <w:rsid w:val="00AD66F4"/>
    <w:rsid w:val="00AD6A33"/>
    <w:rsid w:val="00AD7183"/>
    <w:rsid w:val="00AE30B9"/>
    <w:rsid w:val="00AF4A8F"/>
    <w:rsid w:val="00AF5672"/>
    <w:rsid w:val="00B00BAA"/>
    <w:rsid w:val="00B012F2"/>
    <w:rsid w:val="00B053CA"/>
    <w:rsid w:val="00B119CB"/>
    <w:rsid w:val="00B23A70"/>
    <w:rsid w:val="00B30612"/>
    <w:rsid w:val="00B320E4"/>
    <w:rsid w:val="00B46CE6"/>
    <w:rsid w:val="00B47C75"/>
    <w:rsid w:val="00B52F23"/>
    <w:rsid w:val="00B54244"/>
    <w:rsid w:val="00B620D6"/>
    <w:rsid w:val="00B67BD7"/>
    <w:rsid w:val="00B67F04"/>
    <w:rsid w:val="00B763C8"/>
    <w:rsid w:val="00B77FD6"/>
    <w:rsid w:val="00B82A6D"/>
    <w:rsid w:val="00B83622"/>
    <w:rsid w:val="00B87FBF"/>
    <w:rsid w:val="00B91AFC"/>
    <w:rsid w:val="00B93D20"/>
    <w:rsid w:val="00BA2527"/>
    <w:rsid w:val="00BA269F"/>
    <w:rsid w:val="00BA51C2"/>
    <w:rsid w:val="00BA682F"/>
    <w:rsid w:val="00BB1E05"/>
    <w:rsid w:val="00BB7311"/>
    <w:rsid w:val="00BB7C47"/>
    <w:rsid w:val="00BC3C80"/>
    <w:rsid w:val="00BC466B"/>
    <w:rsid w:val="00BD61AB"/>
    <w:rsid w:val="00BD6785"/>
    <w:rsid w:val="00BD6DD7"/>
    <w:rsid w:val="00BE4D9C"/>
    <w:rsid w:val="00BF1A8F"/>
    <w:rsid w:val="00BF4FDE"/>
    <w:rsid w:val="00C008D8"/>
    <w:rsid w:val="00C01CD1"/>
    <w:rsid w:val="00C0557E"/>
    <w:rsid w:val="00C10106"/>
    <w:rsid w:val="00C14DEB"/>
    <w:rsid w:val="00C2030D"/>
    <w:rsid w:val="00C327DA"/>
    <w:rsid w:val="00C4105B"/>
    <w:rsid w:val="00C42EA1"/>
    <w:rsid w:val="00C450AA"/>
    <w:rsid w:val="00C503C6"/>
    <w:rsid w:val="00C55B0D"/>
    <w:rsid w:val="00C569B1"/>
    <w:rsid w:val="00C66EE4"/>
    <w:rsid w:val="00C72288"/>
    <w:rsid w:val="00C7343B"/>
    <w:rsid w:val="00C83FFC"/>
    <w:rsid w:val="00C91720"/>
    <w:rsid w:val="00C951A2"/>
    <w:rsid w:val="00C95E9D"/>
    <w:rsid w:val="00CB7B3D"/>
    <w:rsid w:val="00CC1320"/>
    <w:rsid w:val="00CC1B41"/>
    <w:rsid w:val="00CC4B77"/>
    <w:rsid w:val="00CC762C"/>
    <w:rsid w:val="00CC7CDD"/>
    <w:rsid w:val="00CD388B"/>
    <w:rsid w:val="00CE2D6F"/>
    <w:rsid w:val="00CF2170"/>
    <w:rsid w:val="00CF52E9"/>
    <w:rsid w:val="00D000F3"/>
    <w:rsid w:val="00D0229A"/>
    <w:rsid w:val="00D060BE"/>
    <w:rsid w:val="00D0666E"/>
    <w:rsid w:val="00D14993"/>
    <w:rsid w:val="00D15E0D"/>
    <w:rsid w:val="00D27F22"/>
    <w:rsid w:val="00D42BD2"/>
    <w:rsid w:val="00D45CA3"/>
    <w:rsid w:val="00D54BBA"/>
    <w:rsid w:val="00D6281F"/>
    <w:rsid w:val="00D65F22"/>
    <w:rsid w:val="00D7528C"/>
    <w:rsid w:val="00D85CEE"/>
    <w:rsid w:val="00D97D24"/>
    <w:rsid w:val="00DA0961"/>
    <w:rsid w:val="00DA59EE"/>
    <w:rsid w:val="00DB0A55"/>
    <w:rsid w:val="00DB777D"/>
    <w:rsid w:val="00DC5A9B"/>
    <w:rsid w:val="00DC6124"/>
    <w:rsid w:val="00DC73E4"/>
    <w:rsid w:val="00DD6537"/>
    <w:rsid w:val="00DD68C9"/>
    <w:rsid w:val="00E01CAD"/>
    <w:rsid w:val="00E02216"/>
    <w:rsid w:val="00E07F48"/>
    <w:rsid w:val="00E100AF"/>
    <w:rsid w:val="00E11CA0"/>
    <w:rsid w:val="00E12E46"/>
    <w:rsid w:val="00E15766"/>
    <w:rsid w:val="00E24D05"/>
    <w:rsid w:val="00E330A7"/>
    <w:rsid w:val="00E33777"/>
    <w:rsid w:val="00E42257"/>
    <w:rsid w:val="00E4427E"/>
    <w:rsid w:val="00E53850"/>
    <w:rsid w:val="00E61239"/>
    <w:rsid w:val="00E65D42"/>
    <w:rsid w:val="00E72087"/>
    <w:rsid w:val="00E731BC"/>
    <w:rsid w:val="00E75F21"/>
    <w:rsid w:val="00E81096"/>
    <w:rsid w:val="00E84A9E"/>
    <w:rsid w:val="00EA24F5"/>
    <w:rsid w:val="00EA2600"/>
    <w:rsid w:val="00EA2EA0"/>
    <w:rsid w:val="00EB0DA2"/>
    <w:rsid w:val="00EB690B"/>
    <w:rsid w:val="00EB7152"/>
    <w:rsid w:val="00EB738D"/>
    <w:rsid w:val="00EC1546"/>
    <w:rsid w:val="00EC3550"/>
    <w:rsid w:val="00EC549C"/>
    <w:rsid w:val="00EC7CE4"/>
    <w:rsid w:val="00ED2258"/>
    <w:rsid w:val="00ED3A41"/>
    <w:rsid w:val="00EE07CB"/>
    <w:rsid w:val="00EE3E04"/>
    <w:rsid w:val="00EE44C0"/>
    <w:rsid w:val="00EE6401"/>
    <w:rsid w:val="00EE79D6"/>
    <w:rsid w:val="00EF16D6"/>
    <w:rsid w:val="00EF6776"/>
    <w:rsid w:val="00F02EAE"/>
    <w:rsid w:val="00F0778B"/>
    <w:rsid w:val="00F31834"/>
    <w:rsid w:val="00F3259E"/>
    <w:rsid w:val="00F3351B"/>
    <w:rsid w:val="00F337B4"/>
    <w:rsid w:val="00F35B42"/>
    <w:rsid w:val="00F3670F"/>
    <w:rsid w:val="00F453C5"/>
    <w:rsid w:val="00F565F4"/>
    <w:rsid w:val="00F5698D"/>
    <w:rsid w:val="00F62250"/>
    <w:rsid w:val="00F76E9F"/>
    <w:rsid w:val="00F92AB8"/>
    <w:rsid w:val="00F94C46"/>
    <w:rsid w:val="00FB1B12"/>
    <w:rsid w:val="00FC2184"/>
    <w:rsid w:val="00FC5FF8"/>
    <w:rsid w:val="00FE108B"/>
    <w:rsid w:val="00FE57BB"/>
    <w:rsid w:val="00FF69A0"/>
    <w:rsid w:val="00FF7333"/>
    <w:rsid w:val="00FF75A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2C281"/>
  <w15:docId w15:val="{5864CBB8-D4FC-4DE6-9490-BDCC4358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A">
    <w:name w:val="head AA"/>
    <w:basedOn w:val="a"/>
    <w:uiPriority w:val="99"/>
    <w:rsid w:val="00821A30"/>
    <w:pPr>
      <w:autoSpaceDE w:val="0"/>
      <w:autoSpaceDN w:val="0"/>
      <w:adjustRightInd w:val="0"/>
      <w:spacing w:after="113" w:line="240" w:lineRule="atLeast"/>
      <w:textAlignment w:val="center"/>
    </w:pPr>
    <w:rPr>
      <w:rFonts w:ascii="Gill Sans Light" w:hAnsi="Gill Sans Light" w:cs="Gill Sans Light"/>
      <w:caps/>
      <w:color w:val="000000"/>
      <w:sz w:val="20"/>
      <w:szCs w:val="20"/>
      <w:lang w:val="fr-FR"/>
    </w:rPr>
  </w:style>
  <w:style w:type="paragraph" w:customStyle="1" w:styleId="headA">
    <w:name w:val="head A"/>
    <w:basedOn w:val="a"/>
    <w:uiPriority w:val="99"/>
    <w:rsid w:val="00821A30"/>
    <w:pPr>
      <w:autoSpaceDE w:val="0"/>
      <w:autoSpaceDN w:val="0"/>
      <w:adjustRightInd w:val="0"/>
      <w:spacing w:after="0" w:line="440" w:lineRule="atLeast"/>
      <w:textAlignment w:val="center"/>
    </w:pPr>
    <w:rPr>
      <w:rFonts w:ascii="Gill Sans Bold" w:hAnsi="Gill Sans Bold" w:cs="Gill Sans Bold"/>
      <w:b/>
      <w:bCs/>
      <w:color w:val="00798F"/>
      <w:sz w:val="40"/>
      <w:szCs w:val="40"/>
      <w:lang w:val="fr-FR"/>
    </w:rPr>
  </w:style>
  <w:style w:type="paragraph" w:customStyle="1" w:styleId="T1text">
    <w:name w:val="T1 text"/>
    <w:basedOn w:val="a"/>
    <w:uiPriority w:val="99"/>
    <w:rsid w:val="00821A30"/>
    <w:pPr>
      <w:pBdr>
        <w:bottom w:val="single" w:sz="4" w:space="5" w:color="00798F"/>
      </w:pBdr>
      <w:tabs>
        <w:tab w:val="left" w:pos="2268"/>
      </w:tabs>
      <w:autoSpaceDE w:val="0"/>
      <w:autoSpaceDN w:val="0"/>
      <w:adjustRightInd w:val="0"/>
      <w:spacing w:after="57" w:line="200" w:lineRule="atLeast"/>
      <w:ind w:left="2268" w:hanging="2268"/>
      <w:textAlignment w:val="center"/>
    </w:pPr>
    <w:rPr>
      <w:rFonts w:ascii="News Gothic BT" w:hAnsi="News Gothic BT" w:cs="News Gothic BT"/>
      <w:color w:val="000000"/>
      <w:sz w:val="16"/>
      <w:szCs w:val="16"/>
      <w:lang w:val="fr-FR"/>
    </w:rPr>
  </w:style>
  <w:style w:type="paragraph" w:styleId="a3">
    <w:name w:val="Balloon Text"/>
    <w:basedOn w:val="a"/>
    <w:link w:val="a4"/>
    <w:uiPriority w:val="99"/>
    <w:semiHidden/>
    <w:unhideWhenUsed/>
    <w:rsid w:val="0033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07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E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B7152"/>
  </w:style>
  <w:style w:type="paragraph" w:styleId="a8">
    <w:name w:val="footer"/>
    <w:basedOn w:val="a"/>
    <w:link w:val="a9"/>
    <w:uiPriority w:val="99"/>
    <w:unhideWhenUsed/>
    <w:rsid w:val="00EB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B7152"/>
  </w:style>
  <w:style w:type="table" w:styleId="3">
    <w:name w:val="Light Shading Accent 3"/>
    <w:basedOn w:val="a1"/>
    <w:uiPriority w:val="60"/>
    <w:rsid w:val="00BA5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5">
    <w:name w:val="Light Shading Accent 5"/>
    <w:basedOn w:val="a1"/>
    <w:uiPriority w:val="60"/>
    <w:rsid w:val="007609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538552DCBB0F4C4BB087ED922D6A6322">
    <w:name w:val="538552DCBB0F4C4BB087ED922D6A6322"/>
    <w:rsid w:val="00EE79D6"/>
    <w:rPr>
      <w:rFonts w:eastAsiaTheme="minorEastAsia"/>
      <w:lang w:val="en-US" w:eastAsia="ja-JP"/>
    </w:rPr>
  </w:style>
  <w:style w:type="paragraph" w:styleId="aa">
    <w:name w:val="footnote text"/>
    <w:basedOn w:val="a"/>
    <w:link w:val="ab"/>
    <w:uiPriority w:val="99"/>
    <w:semiHidden/>
    <w:unhideWhenUsed/>
    <w:rsid w:val="001E14F0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1E14F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E14F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6844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41F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68441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41F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68441F"/>
    <w:rPr>
      <w:b/>
      <w:bCs/>
      <w:sz w:val="20"/>
      <w:szCs w:val="20"/>
    </w:rPr>
  </w:style>
  <w:style w:type="paragraph" w:customStyle="1" w:styleId="CLbody1">
    <w:name w:val="CLbody1"/>
    <w:basedOn w:val="a"/>
    <w:uiPriority w:val="99"/>
    <w:rsid w:val="002B788B"/>
    <w:pPr>
      <w:autoSpaceDE w:val="0"/>
      <w:autoSpaceDN w:val="0"/>
      <w:adjustRightInd w:val="0"/>
      <w:spacing w:after="57" w:line="180" w:lineRule="atLeast"/>
      <w:jc w:val="both"/>
      <w:textAlignment w:val="center"/>
    </w:pPr>
    <w:rPr>
      <w:rFonts w:ascii="NewsGoth BT" w:hAnsi="NewsGoth BT" w:cs="NewsGoth BT"/>
      <w:color w:val="000000"/>
      <w:sz w:val="14"/>
      <w:szCs w:val="14"/>
      <w:lang w:val="en-US"/>
    </w:rPr>
  </w:style>
  <w:style w:type="paragraph" w:styleId="af2">
    <w:name w:val="Revision"/>
    <w:hidden/>
    <w:uiPriority w:val="99"/>
    <w:semiHidden/>
    <w:rsid w:val="00371B69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35F6B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35F6B"/>
    <w:rPr>
      <w:color w:val="800080" w:themeColor="followedHyperlink"/>
      <w:u w:val="single"/>
    </w:rPr>
  </w:style>
  <w:style w:type="character" w:styleId="af5">
    <w:name w:val="Placeholder Text"/>
    <w:basedOn w:val="a0"/>
    <w:uiPriority w:val="99"/>
    <w:semiHidden/>
    <w:rsid w:val="00C3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3454-06A4-4827-8506-72D98E0F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4668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PONCE, Corinne Beatrice</dc:creator>
  <cp:lastModifiedBy>MMSP01</cp:lastModifiedBy>
  <cp:revision>6</cp:revision>
  <cp:lastPrinted>2020-01-29T23:08:00Z</cp:lastPrinted>
  <dcterms:created xsi:type="dcterms:W3CDTF">2020-10-30T10:58:00Z</dcterms:created>
  <dcterms:modified xsi:type="dcterms:W3CDTF">2020-10-30T13:09:00Z</dcterms:modified>
</cp:coreProperties>
</file>