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3C47" w14:textId="77777777" w:rsidR="00AD7E36" w:rsidRDefault="00AD7E36" w:rsidP="00450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1D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24683C5" wp14:editId="5639EB9D">
            <wp:extent cx="3337560" cy="1283335"/>
            <wp:effectExtent l="0" t="0" r="0" b="0"/>
            <wp:docPr id="1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31F2099B-9CFC-48DD-9D3D-9860B722B4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31F2099B-9CFC-48DD-9D3D-9860B722B4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AE1CC" w14:textId="0710D814" w:rsidR="0045014F" w:rsidRPr="00E74A32" w:rsidRDefault="0045014F" w:rsidP="00450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A32">
        <w:rPr>
          <w:rFonts w:ascii="Times New Roman" w:hAnsi="Times New Roman" w:cs="Times New Roman"/>
          <w:b/>
          <w:bCs/>
          <w:sz w:val="28"/>
          <w:szCs w:val="28"/>
        </w:rPr>
        <w:t>Аналітика впровадження ДКП за 2019 рік</w:t>
      </w:r>
    </w:p>
    <w:p w14:paraId="7EDAB802" w14:textId="77777777" w:rsidR="00C0228E" w:rsidRPr="00E74A32" w:rsidRDefault="00C0228E" w:rsidP="00F94873">
      <w:pPr>
        <w:jc w:val="both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>Дані щодо пацієнтів ДКП отримані шляхом проведення аналізу МІС ВІЛ. МІС ВІЛ є єдиним джерелом інформації щодо ДКП на національному рівні.</w:t>
      </w:r>
    </w:p>
    <w:p w14:paraId="5A29E89A" w14:textId="1B1BCCE0" w:rsidR="000218AE" w:rsidRPr="00E74A32" w:rsidRDefault="00C0228E" w:rsidP="00F94873">
      <w:pPr>
        <w:jc w:val="both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>Протягом 2019 року  в Україні послугу ДКП отримали 1834 людини</w:t>
      </w:r>
      <w:r w:rsidR="00DD1CA2" w:rsidRPr="00E74A32">
        <w:rPr>
          <w:rFonts w:ascii="Times New Roman" w:hAnsi="Times New Roman" w:cs="Times New Roman"/>
          <w:sz w:val="28"/>
          <w:szCs w:val="28"/>
        </w:rPr>
        <w:t>.</w:t>
      </w:r>
    </w:p>
    <w:p w14:paraId="489D5146" w14:textId="03921457" w:rsidR="000218AE" w:rsidRPr="009B7EA7" w:rsidRDefault="00DD1CA2" w:rsidP="00F948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4A32">
        <w:rPr>
          <w:rFonts w:ascii="Times New Roman" w:hAnsi="Times New Roman" w:cs="Times New Roman"/>
          <w:sz w:val="28"/>
          <w:szCs w:val="28"/>
        </w:rPr>
        <w:t>Розподіл клієнтів по областях</w:t>
      </w:r>
      <w:r w:rsidR="009B7EA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0"/>
        <w:gridCol w:w="3731"/>
      </w:tblGrid>
      <w:tr w:rsidR="00541173" w:rsidRPr="00E74A32" w14:paraId="178D5038" w14:textId="77777777" w:rsidTr="00C0228E">
        <w:trPr>
          <w:trHeight w:val="375"/>
        </w:trPr>
        <w:tc>
          <w:tcPr>
            <w:tcW w:w="5620" w:type="dxa"/>
            <w:shd w:val="clear" w:color="auto" w:fill="auto"/>
            <w:noWrap/>
            <w:vAlign w:val="bottom"/>
            <w:hideMark/>
          </w:tcPr>
          <w:p w14:paraId="7D85D879" w14:textId="77777777" w:rsidR="00541173" w:rsidRPr="00E74A32" w:rsidRDefault="00541173" w:rsidP="0054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Область 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12CE833C" w14:textId="76D295F6" w:rsidR="00541173" w:rsidRPr="00E74A32" w:rsidRDefault="00541173" w:rsidP="0054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всього </w:t>
            </w:r>
            <w:r w:rsidR="00C0228E" w:rsidRPr="00E7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клієнтів за 2019 рік</w:t>
            </w:r>
          </w:p>
        </w:tc>
      </w:tr>
      <w:tr w:rsidR="00541173" w:rsidRPr="00E74A32" w14:paraId="63B18A75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234B2965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157FD23F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</w:tr>
      <w:tr w:rsidR="00541173" w:rsidRPr="00E74A32" w14:paraId="0E4D8775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2D19A6F6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Волинська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4C26F9E4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</w:t>
            </w:r>
          </w:p>
        </w:tc>
      </w:tr>
      <w:tr w:rsidR="00541173" w:rsidRPr="00E74A32" w14:paraId="4F88D940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4F524EFF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Дніпропетровська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23AD6F05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236</w:t>
            </w:r>
          </w:p>
        </w:tc>
      </w:tr>
      <w:tr w:rsidR="00541173" w:rsidRPr="00E74A32" w14:paraId="74FFF65D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50033C33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Донецька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2729431A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</w:tr>
      <w:tr w:rsidR="00541173" w:rsidRPr="00E74A32" w14:paraId="7DC43CA5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1A9B3749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Житомирська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4FA4BBC4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</w:t>
            </w:r>
          </w:p>
        </w:tc>
      </w:tr>
      <w:tr w:rsidR="00541173" w:rsidRPr="00E74A32" w14:paraId="1A58A386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6C577C1A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Закарпатська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7340DC84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</w:tr>
      <w:tr w:rsidR="00541173" w:rsidRPr="00E74A32" w14:paraId="15B8DD43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558610FD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Запорізька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1346946D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89</w:t>
            </w:r>
          </w:p>
        </w:tc>
      </w:tr>
      <w:tr w:rsidR="00541173" w:rsidRPr="00E74A32" w14:paraId="560CC0D8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700D07A3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Івано-Франківська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3EEAF02D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</w:tr>
      <w:tr w:rsidR="00541173" w:rsidRPr="00E74A32" w14:paraId="7D2BF0AA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424EF7C9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6A84A146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74</w:t>
            </w:r>
          </w:p>
        </w:tc>
      </w:tr>
      <w:tr w:rsidR="00541173" w:rsidRPr="00E74A32" w14:paraId="18BAE5AB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19BC9BBA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Кіровоградська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73AEECAF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</w:tr>
      <w:tr w:rsidR="00541173" w:rsidRPr="00E74A32" w14:paraId="03C524E5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5509A0C5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Луганська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6D6982A0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</w:tr>
      <w:tr w:rsidR="00541173" w:rsidRPr="00E74A32" w14:paraId="5202C15C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3D2526E7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55525138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</w:t>
            </w:r>
          </w:p>
        </w:tc>
      </w:tr>
      <w:tr w:rsidR="00541173" w:rsidRPr="00E74A32" w14:paraId="21F1078A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4EC0D577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Миколаївська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56CA1769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</w:t>
            </w:r>
          </w:p>
        </w:tc>
      </w:tr>
      <w:tr w:rsidR="00541173" w:rsidRPr="00E74A32" w14:paraId="0C951D8F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36BAFE4B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Одеська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3EBA4FD3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281</w:t>
            </w:r>
          </w:p>
        </w:tc>
      </w:tr>
      <w:tr w:rsidR="00541173" w:rsidRPr="00E74A32" w14:paraId="7A793F58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4F9BAA80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Полтавська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21E8C924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74</w:t>
            </w:r>
          </w:p>
        </w:tc>
      </w:tr>
      <w:tr w:rsidR="00541173" w:rsidRPr="00E74A32" w14:paraId="2D1FEAB2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188007EF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Рівненська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02BD2422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</w:tr>
      <w:tr w:rsidR="00541173" w:rsidRPr="00E74A32" w14:paraId="6C122070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3C7B66F0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Сумська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6528DF79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541173" w:rsidRPr="00E74A32" w14:paraId="5C96207F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0E734FB8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Тернопільська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78C5F006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</w:tr>
      <w:tr w:rsidR="00541173" w:rsidRPr="00E74A32" w14:paraId="0B295AAC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06698DF8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Харківська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1A7810CD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</w:tr>
      <w:tr w:rsidR="00541173" w:rsidRPr="00E74A32" w14:paraId="5A52B27B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4C8835ED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Херсонська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20899CD7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47</w:t>
            </w:r>
          </w:p>
        </w:tc>
      </w:tr>
      <w:tr w:rsidR="00541173" w:rsidRPr="00E74A32" w14:paraId="2C0A124E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3195F260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Хмельницька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6080109C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</w:tr>
      <w:tr w:rsidR="00541173" w:rsidRPr="00E74A32" w14:paraId="2F8F5D3F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196D07D1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Черкаська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06D1895D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</w:tr>
      <w:tr w:rsidR="00541173" w:rsidRPr="00E74A32" w14:paraId="7BD58F19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29F91706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Чернівецька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53F5128D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</w:tr>
      <w:tr w:rsidR="00541173" w:rsidRPr="00E74A32" w14:paraId="376F5016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4ADFB728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Чернігівська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038243CA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</w:tr>
      <w:tr w:rsidR="00541173" w:rsidRPr="00E74A32" w14:paraId="0DF69B82" w14:textId="77777777" w:rsidTr="00C0228E">
        <w:trPr>
          <w:trHeight w:val="402"/>
        </w:trPr>
        <w:tc>
          <w:tcPr>
            <w:tcW w:w="5620" w:type="dxa"/>
            <w:shd w:val="clear" w:color="auto" w:fill="auto"/>
            <w:vAlign w:val="center"/>
            <w:hideMark/>
          </w:tcPr>
          <w:p w14:paraId="44601C35" w14:textId="77777777" w:rsidR="00541173" w:rsidRPr="00E74A32" w:rsidRDefault="00541173" w:rsidP="0054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Київ</w:t>
            </w:r>
          </w:p>
        </w:tc>
        <w:tc>
          <w:tcPr>
            <w:tcW w:w="3731" w:type="dxa"/>
            <w:shd w:val="clear" w:color="auto" w:fill="auto"/>
            <w:noWrap/>
            <w:vAlign w:val="bottom"/>
            <w:hideMark/>
          </w:tcPr>
          <w:p w14:paraId="3626EA48" w14:textId="77777777" w:rsidR="00541173" w:rsidRPr="00E74A32" w:rsidRDefault="00541173" w:rsidP="00C0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586</w:t>
            </w:r>
          </w:p>
        </w:tc>
      </w:tr>
    </w:tbl>
    <w:p w14:paraId="6E8DFC1A" w14:textId="7F705B45" w:rsidR="00C0228E" w:rsidRPr="00E74A32" w:rsidRDefault="00C0228E">
      <w:pPr>
        <w:rPr>
          <w:rFonts w:ascii="Times New Roman" w:hAnsi="Times New Roman" w:cs="Times New Roman"/>
          <w:sz w:val="28"/>
          <w:szCs w:val="28"/>
        </w:rPr>
      </w:pPr>
    </w:p>
    <w:p w14:paraId="0629D6DC" w14:textId="2597D9AC" w:rsidR="000218AE" w:rsidRPr="00E74A32" w:rsidRDefault="000218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AF49EC" wp14:editId="4E07B541">
            <wp:extent cx="5902657" cy="3766783"/>
            <wp:effectExtent l="0" t="0" r="3175" b="571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EB1EF262-1B90-489F-A901-5EA4E70CA5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4A70401" w14:textId="2C601901" w:rsidR="001449AE" w:rsidRPr="00F034FB" w:rsidRDefault="001449AE" w:rsidP="00144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4FB">
        <w:rPr>
          <w:rFonts w:ascii="Times New Roman" w:hAnsi="Times New Roman" w:cs="Times New Roman"/>
          <w:sz w:val="24"/>
          <w:szCs w:val="24"/>
        </w:rPr>
        <w:t xml:space="preserve">Джерело даних  МІС ВІЛ </w:t>
      </w:r>
    </w:p>
    <w:p w14:paraId="7DAC13F6" w14:textId="254B3E02" w:rsidR="00E74A32" w:rsidRDefault="00E74A32" w:rsidP="001449A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296926A" w14:textId="77777777" w:rsidR="00F034FB" w:rsidRDefault="00F034FB" w:rsidP="001449A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1C520BC" w14:textId="1168B53B" w:rsidR="005D01B3" w:rsidRPr="00E74A32" w:rsidRDefault="00F94873" w:rsidP="00F94873">
      <w:pPr>
        <w:jc w:val="both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 xml:space="preserve">Переважною більшістю клієнтів ДКП були чоловіки, відсоток яких становить 78%. </w:t>
      </w:r>
    </w:p>
    <w:p w14:paraId="26A71752" w14:textId="06517927" w:rsidR="000218AE" w:rsidRPr="00E74A32" w:rsidRDefault="00F94873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A11CC4" wp14:editId="774EF8CB">
            <wp:extent cx="6076950" cy="27432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AF877AC8-0A3B-4895-A982-C6A7B192D1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3867A7D" w14:textId="77777777" w:rsidR="001449AE" w:rsidRPr="00F034FB" w:rsidRDefault="001449AE" w:rsidP="00144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4FB">
        <w:rPr>
          <w:rFonts w:ascii="Times New Roman" w:hAnsi="Times New Roman" w:cs="Times New Roman"/>
          <w:sz w:val="24"/>
          <w:szCs w:val="24"/>
        </w:rPr>
        <w:t xml:space="preserve">Джерело даних  МІС ВІЛ </w:t>
      </w:r>
    </w:p>
    <w:p w14:paraId="7EA17806" w14:textId="0EACB871" w:rsidR="001449AE" w:rsidRDefault="001449AE">
      <w:pPr>
        <w:rPr>
          <w:rFonts w:ascii="Times New Roman" w:hAnsi="Times New Roman" w:cs="Times New Roman"/>
          <w:sz w:val="28"/>
          <w:szCs w:val="28"/>
        </w:rPr>
      </w:pPr>
    </w:p>
    <w:p w14:paraId="132C7762" w14:textId="715DB731" w:rsidR="009B7EA7" w:rsidRDefault="009B7EA7">
      <w:pPr>
        <w:rPr>
          <w:rFonts w:ascii="Times New Roman" w:hAnsi="Times New Roman" w:cs="Times New Roman"/>
          <w:sz w:val="28"/>
          <w:szCs w:val="28"/>
        </w:rPr>
      </w:pPr>
    </w:p>
    <w:p w14:paraId="3349C19F" w14:textId="2F95BD1D" w:rsidR="00F034FB" w:rsidRDefault="00F034FB">
      <w:pPr>
        <w:rPr>
          <w:rFonts w:ascii="Times New Roman" w:hAnsi="Times New Roman" w:cs="Times New Roman"/>
          <w:sz w:val="28"/>
          <w:szCs w:val="28"/>
        </w:rPr>
      </w:pPr>
    </w:p>
    <w:p w14:paraId="2DA81C1D" w14:textId="77777777" w:rsidR="00F034FB" w:rsidRPr="00E74A32" w:rsidRDefault="00F034FB">
      <w:pPr>
        <w:rPr>
          <w:rFonts w:ascii="Times New Roman" w:hAnsi="Times New Roman" w:cs="Times New Roman"/>
          <w:sz w:val="28"/>
          <w:szCs w:val="28"/>
        </w:rPr>
      </w:pPr>
    </w:p>
    <w:p w14:paraId="14E6251B" w14:textId="4928B522" w:rsidR="00612809" w:rsidRPr="00E74A32" w:rsidRDefault="00612809">
      <w:pPr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>Розподіл клієнтів за віком серед тих хто приймав ДКП у 2019 році</w:t>
      </w:r>
    </w:p>
    <w:p w14:paraId="39B9A6E7" w14:textId="5F1B823B" w:rsidR="001449AE" w:rsidRPr="00E74A32" w:rsidRDefault="001449AE">
      <w:pPr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 xml:space="preserve">Переважна більшість клієнтів у віці від 20 до 44 років, що становить більше 70% усіх клієнтів ДКП </w:t>
      </w:r>
    </w:p>
    <w:p w14:paraId="61918949" w14:textId="4D211973" w:rsidR="000218AE" w:rsidRPr="00E74A32" w:rsidRDefault="000218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A94116" wp14:editId="2B3B0C32">
            <wp:extent cx="6120765" cy="3437255"/>
            <wp:effectExtent l="0" t="0" r="13335" b="1079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4A0B4CCA-E6A2-431E-BBBF-0A2AE6A6D1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DA3BEE" w14:textId="634CAFEF" w:rsidR="001449AE" w:rsidRPr="00F034FB" w:rsidRDefault="001449AE" w:rsidP="00144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4FB">
        <w:rPr>
          <w:rFonts w:ascii="Times New Roman" w:hAnsi="Times New Roman" w:cs="Times New Roman"/>
          <w:sz w:val="24"/>
          <w:szCs w:val="24"/>
        </w:rPr>
        <w:t>Джерело даних МІС ВІЛ</w:t>
      </w:r>
    </w:p>
    <w:p w14:paraId="10064589" w14:textId="77777777" w:rsidR="001449AE" w:rsidRPr="00E74A32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AD57C7" w14:textId="2CE0DA70" w:rsidR="000218AE" w:rsidRPr="00E74A32" w:rsidRDefault="004B78BA">
      <w:pPr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 xml:space="preserve">Розподіл клієнтів за КГ </w:t>
      </w:r>
      <w:r w:rsidR="001449AE" w:rsidRPr="00E74A32">
        <w:rPr>
          <w:rFonts w:ascii="Times New Roman" w:hAnsi="Times New Roman" w:cs="Times New Roman"/>
          <w:sz w:val="28"/>
          <w:szCs w:val="28"/>
        </w:rPr>
        <w:t>у</w:t>
      </w:r>
      <w:r w:rsidR="00854D39" w:rsidRPr="00E74A32">
        <w:rPr>
          <w:rFonts w:ascii="Times New Roman" w:hAnsi="Times New Roman" w:cs="Times New Roman"/>
          <w:sz w:val="28"/>
          <w:szCs w:val="28"/>
        </w:rPr>
        <w:t xml:space="preserve"> </w:t>
      </w:r>
      <w:r w:rsidRPr="00E74A32">
        <w:rPr>
          <w:rFonts w:ascii="Times New Roman" w:hAnsi="Times New Roman" w:cs="Times New Roman"/>
          <w:sz w:val="28"/>
          <w:szCs w:val="28"/>
        </w:rPr>
        <w:t>2019 року</w:t>
      </w:r>
      <w:r w:rsidR="001449AE" w:rsidRPr="00E74A32">
        <w:rPr>
          <w:rFonts w:ascii="Times New Roman" w:hAnsi="Times New Roman" w:cs="Times New Roman"/>
          <w:sz w:val="28"/>
          <w:szCs w:val="28"/>
        </w:rPr>
        <w:t>:</w:t>
      </w:r>
    </w:p>
    <w:p w14:paraId="1E6344AF" w14:textId="218C7B1C" w:rsidR="001449AE" w:rsidRPr="00E74A32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 xml:space="preserve">ЧСЧ – 60% </w:t>
      </w:r>
    </w:p>
    <w:p w14:paraId="255BA848" w14:textId="3D57DD3F" w:rsidR="001449AE" w:rsidRPr="00E74A32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 xml:space="preserve">СП (жінки) – 6% </w:t>
      </w:r>
    </w:p>
    <w:p w14:paraId="6ECF85DD" w14:textId="766111F4" w:rsidR="001449AE" w:rsidRPr="00E74A32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 xml:space="preserve">ЛВНІ – 1% </w:t>
      </w:r>
    </w:p>
    <w:p w14:paraId="04FAC770" w14:textId="2420BCC6" w:rsidR="001449AE" w:rsidRPr="00E74A32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>ТГ люди – 3 людини</w:t>
      </w:r>
    </w:p>
    <w:p w14:paraId="01CA01A6" w14:textId="7ED8D27D" w:rsidR="001449AE" w:rsidRPr="00E74A32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>Інші  люди –</w:t>
      </w:r>
      <w:r w:rsidR="00905073">
        <w:rPr>
          <w:rFonts w:ascii="Times New Roman" w:hAnsi="Times New Roman" w:cs="Times New Roman"/>
          <w:sz w:val="28"/>
          <w:szCs w:val="28"/>
        </w:rPr>
        <w:t xml:space="preserve"> 33%</w:t>
      </w:r>
      <w:r w:rsidRPr="00E74A32">
        <w:rPr>
          <w:rFonts w:ascii="Times New Roman" w:hAnsi="Times New Roman" w:cs="Times New Roman"/>
          <w:sz w:val="28"/>
          <w:szCs w:val="28"/>
        </w:rPr>
        <w:t xml:space="preserve"> чоловіки та жінки, які мають високий ризик інфікування</w:t>
      </w:r>
    </w:p>
    <w:p w14:paraId="3B6E8584" w14:textId="32D15023" w:rsidR="004B78BA" w:rsidRPr="00E74A32" w:rsidRDefault="004B78BA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49B7F5B" wp14:editId="746AAE1D">
            <wp:extent cx="6120765" cy="2905125"/>
            <wp:effectExtent l="0" t="0" r="13335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C7346D2B-6C77-412F-94C4-E2EB204A52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0F6611" w14:textId="32698BAB" w:rsidR="00F94873" w:rsidRPr="00F034FB" w:rsidRDefault="001449AE" w:rsidP="00F03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4FB">
        <w:rPr>
          <w:rFonts w:ascii="Times New Roman" w:hAnsi="Times New Roman" w:cs="Times New Roman"/>
          <w:sz w:val="24"/>
          <w:szCs w:val="24"/>
        </w:rPr>
        <w:t xml:space="preserve">Джерело даних  МІС ВІЛ </w:t>
      </w:r>
    </w:p>
    <w:sectPr w:rsidR="00F94873" w:rsidRPr="00F034FB" w:rsidSect="00E74A32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B18AE"/>
    <w:multiLevelType w:val="hybridMultilevel"/>
    <w:tmpl w:val="FB20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3173"/>
    <w:multiLevelType w:val="hybridMultilevel"/>
    <w:tmpl w:val="8BC8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F7"/>
    <w:rsid w:val="000218AE"/>
    <w:rsid w:val="000E0C1A"/>
    <w:rsid w:val="0011450E"/>
    <w:rsid w:val="001449AE"/>
    <w:rsid w:val="00170EFB"/>
    <w:rsid w:val="00415AF7"/>
    <w:rsid w:val="00427A05"/>
    <w:rsid w:val="0045014F"/>
    <w:rsid w:val="004B78BA"/>
    <w:rsid w:val="00541173"/>
    <w:rsid w:val="005D01B3"/>
    <w:rsid w:val="00612809"/>
    <w:rsid w:val="00854D39"/>
    <w:rsid w:val="00905073"/>
    <w:rsid w:val="009B7EA7"/>
    <w:rsid w:val="00A44B58"/>
    <w:rsid w:val="00AD7E36"/>
    <w:rsid w:val="00B135E5"/>
    <w:rsid w:val="00C0228E"/>
    <w:rsid w:val="00DD1CA2"/>
    <w:rsid w:val="00E74A32"/>
    <w:rsid w:val="00EE5AD7"/>
    <w:rsid w:val="00F034FB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80E4"/>
  <w15:chartTrackingRefBased/>
  <w15:docId w15:val="{B01D3A54-F473-4A49-9400-4ED368D8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s\Desktop\PrEP%20MIS%20HIV\&#1072;&#1085;&#1072;&#1083;&#1110;&#1090;&#1080;&#1082;&#1072;2019%20&#1088;&#1086;&#1082;&#1091;\&#1072;&#1085;&#1072;&#1083;&#1110;&#1090;&#1080;&#1082;&#1072;%20&#1087;&#1086;%20&#1088;&#1077;&#1075;&#1110;&#1086;&#1085;&#1072;&#109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s\Desktop\PrEP%20MIS%20HIV\&#1072;&#1085;&#1072;&#1083;&#1110;&#1090;&#1080;&#1082;&#1072;2019%20&#1088;&#1086;&#1082;&#1091;\&#1072;&#1085;&#1072;&#1083;&#1110;&#1090;&#1080;&#1082;&#1072;%20&#1087;&#1086;%20&#1088;&#1077;&#1075;&#1110;&#1086;&#1085;&#1072;&#109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s\Desktop\PrEP%20MIS%20HIV\&#1072;&#1085;&#1072;&#1083;&#1110;&#1090;&#1080;&#1082;&#1072;2019%20&#1088;&#1086;&#1082;&#1091;\&#1072;&#1085;&#1072;&#1083;&#1110;&#1090;&#1080;&#1082;&#1072;%20&#1087;&#1086;%20&#1088;&#1077;&#1075;&#1110;&#1086;&#1085;&#1072;&#109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s\Desktop\PrEP%20MIS%20HIV\&#1072;&#1085;&#1072;&#1083;&#1110;&#1090;&#1080;&#1082;&#1072;2019%20&#1088;&#1086;&#1082;&#1091;\&#1072;&#1085;&#1072;&#1083;&#1110;&#1090;&#1080;&#1082;&#1072;%20&#1087;&#1086;%20&#1088;&#1077;&#1075;&#1110;&#1086;&#1085;&#1072;&#109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/>
              <a:t>Відсотковий розподіл </a:t>
            </a:r>
            <a:r>
              <a:rPr lang="ru-RU" sz="1400" baseline="0"/>
              <a:t>клієнтів ДКП по облатях у 2019 році</a:t>
            </a:r>
            <a:endParaRPr lang="ru-RU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всього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Лист3!$A$2:$A$26</c:f>
              <c:strCache>
                <c:ptCount val="25"/>
                <c:pt idx="0">
                  <c:v>Сумська</c:v>
                </c:pt>
                <c:pt idx="1">
                  <c:v>Вінницька</c:v>
                </c:pt>
                <c:pt idx="2">
                  <c:v>Закарпатська</c:v>
                </c:pt>
                <c:pt idx="3">
                  <c:v>Рівненська</c:v>
                </c:pt>
                <c:pt idx="4">
                  <c:v>Івано-Франківська</c:v>
                </c:pt>
                <c:pt idx="5">
                  <c:v>Кіровоградська</c:v>
                </c:pt>
                <c:pt idx="6">
                  <c:v>Чернівецька</c:v>
                </c:pt>
                <c:pt idx="7">
                  <c:v>Луганська</c:v>
                </c:pt>
                <c:pt idx="8">
                  <c:v>Тернопільська</c:v>
                </c:pt>
                <c:pt idx="9">
                  <c:v>Чернігівська</c:v>
                </c:pt>
                <c:pt idx="10">
                  <c:v>Черкаська</c:v>
                </c:pt>
                <c:pt idx="11">
                  <c:v>Донецька</c:v>
                </c:pt>
                <c:pt idx="12">
                  <c:v>Хмельницька</c:v>
                </c:pt>
                <c:pt idx="13">
                  <c:v>Житомирська</c:v>
                </c:pt>
                <c:pt idx="14">
                  <c:v>Львівська</c:v>
                </c:pt>
                <c:pt idx="15">
                  <c:v>Волинська</c:v>
                </c:pt>
                <c:pt idx="16">
                  <c:v>Миколаївська</c:v>
                </c:pt>
                <c:pt idx="17">
                  <c:v>Херсонська</c:v>
                </c:pt>
                <c:pt idx="18">
                  <c:v>Харківська</c:v>
                </c:pt>
                <c:pt idx="19">
                  <c:v>Київська</c:v>
                </c:pt>
                <c:pt idx="20">
                  <c:v>Полтавська</c:v>
                </c:pt>
                <c:pt idx="21">
                  <c:v>Запорізька</c:v>
                </c:pt>
                <c:pt idx="22">
                  <c:v>Дніпропетровська</c:v>
                </c:pt>
                <c:pt idx="23">
                  <c:v>Одеська</c:v>
                </c:pt>
                <c:pt idx="24">
                  <c:v>м. Київ</c:v>
                </c:pt>
              </c:strCache>
            </c:strRef>
          </c:cat>
          <c:val>
            <c:numRef>
              <c:f>Лист3!$B$2:$B$26</c:f>
            </c:numRef>
          </c:val>
          <c:extLst>
            <c:ext xmlns:c16="http://schemas.microsoft.com/office/drawing/2014/chart" uri="{C3380CC4-5D6E-409C-BE32-E72D297353CC}">
              <c16:uniqueId val="{00000000-6350-46D7-B95E-30CE87D884A9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частка регіону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Лист3!$A$2:$A$26</c:f>
              <c:strCache>
                <c:ptCount val="25"/>
                <c:pt idx="0">
                  <c:v>Сумська</c:v>
                </c:pt>
                <c:pt idx="1">
                  <c:v>Вінницька</c:v>
                </c:pt>
                <c:pt idx="2">
                  <c:v>Закарпатська</c:v>
                </c:pt>
                <c:pt idx="3">
                  <c:v>Рівненська</c:v>
                </c:pt>
                <c:pt idx="4">
                  <c:v>Івано-Франківська</c:v>
                </c:pt>
                <c:pt idx="5">
                  <c:v>Кіровоградська</c:v>
                </c:pt>
                <c:pt idx="6">
                  <c:v>Чернівецька</c:v>
                </c:pt>
                <c:pt idx="7">
                  <c:v>Луганська</c:v>
                </c:pt>
                <c:pt idx="8">
                  <c:v>Тернопільська</c:v>
                </c:pt>
                <c:pt idx="9">
                  <c:v>Чернігівська</c:v>
                </c:pt>
                <c:pt idx="10">
                  <c:v>Черкаська</c:v>
                </c:pt>
                <c:pt idx="11">
                  <c:v>Донецька</c:v>
                </c:pt>
                <c:pt idx="12">
                  <c:v>Хмельницька</c:v>
                </c:pt>
                <c:pt idx="13">
                  <c:v>Житомирська</c:v>
                </c:pt>
                <c:pt idx="14">
                  <c:v>Львівська</c:v>
                </c:pt>
                <c:pt idx="15">
                  <c:v>Волинська</c:v>
                </c:pt>
                <c:pt idx="16">
                  <c:v>Миколаївська</c:v>
                </c:pt>
                <c:pt idx="17">
                  <c:v>Херсонська</c:v>
                </c:pt>
                <c:pt idx="18">
                  <c:v>Харківська</c:v>
                </c:pt>
                <c:pt idx="19">
                  <c:v>Київська</c:v>
                </c:pt>
                <c:pt idx="20">
                  <c:v>Полтавська</c:v>
                </c:pt>
                <c:pt idx="21">
                  <c:v>Запорізька</c:v>
                </c:pt>
                <c:pt idx="22">
                  <c:v>Дніпропетровська</c:v>
                </c:pt>
                <c:pt idx="23">
                  <c:v>Одеська</c:v>
                </c:pt>
                <c:pt idx="24">
                  <c:v>м. Київ</c:v>
                </c:pt>
              </c:strCache>
            </c:strRef>
          </c:cat>
          <c:val>
            <c:numRef>
              <c:f>Лист3!$C$2:$C$26</c:f>
              <c:numCache>
                <c:formatCode>0.0%</c:formatCode>
                <c:ptCount val="25"/>
                <c:pt idx="0">
                  <c:v>3.2715376226826608E-3</c:v>
                </c:pt>
                <c:pt idx="1">
                  <c:v>5.9978189749182115E-3</c:v>
                </c:pt>
                <c:pt idx="2">
                  <c:v>6.5430752453653216E-3</c:v>
                </c:pt>
                <c:pt idx="3">
                  <c:v>7.6335877862595417E-3</c:v>
                </c:pt>
                <c:pt idx="4">
                  <c:v>9.2693565976008727E-3</c:v>
                </c:pt>
                <c:pt idx="5">
                  <c:v>9.2693565976008727E-3</c:v>
                </c:pt>
                <c:pt idx="6">
                  <c:v>1.0359869138495093E-2</c:v>
                </c:pt>
                <c:pt idx="7">
                  <c:v>1.1450381679389313E-2</c:v>
                </c:pt>
                <c:pt idx="8">
                  <c:v>1.4176663031624863E-2</c:v>
                </c:pt>
                <c:pt idx="9">
                  <c:v>1.4176663031624863E-2</c:v>
                </c:pt>
                <c:pt idx="10">
                  <c:v>1.4721919302071973E-2</c:v>
                </c:pt>
                <c:pt idx="11">
                  <c:v>1.5812431842966195E-2</c:v>
                </c:pt>
                <c:pt idx="12">
                  <c:v>1.6357688113413305E-2</c:v>
                </c:pt>
                <c:pt idx="13">
                  <c:v>1.7448200654307525E-2</c:v>
                </c:pt>
                <c:pt idx="14">
                  <c:v>1.7448200654307525E-2</c:v>
                </c:pt>
                <c:pt idx="15">
                  <c:v>1.8538713195201745E-2</c:v>
                </c:pt>
                <c:pt idx="16">
                  <c:v>2.5081788440567066E-2</c:v>
                </c:pt>
                <c:pt idx="17">
                  <c:v>2.5627044711014176E-2</c:v>
                </c:pt>
                <c:pt idx="18">
                  <c:v>2.6172300981461286E-2</c:v>
                </c:pt>
                <c:pt idx="19">
                  <c:v>4.0348964013086151E-2</c:v>
                </c:pt>
                <c:pt idx="20">
                  <c:v>4.0348964013086151E-2</c:v>
                </c:pt>
                <c:pt idx="21">
                  <c:v>4.8527808069792802E-2</c:v>
                </c:pt>
                <c:pt idx="22">
                  <c:v>0.128680479825518</c:v>
                </c:pt>
                <c:pt idx="23">
                  <c:v>0.15321701199563795</c:v>
                </c:pt>
                <c:pt idx="24">
                  <c:v>0.31952017448200654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50-46D7-B95E-30CE87D884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48"/>
        <c:axId val="915164656"/>
        <c:axId val="915158416"/>
      </c:barChart>
      <c:catAx>
        <c:axId val="915164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158416"/>
        <c:crosses val="autoZero"/>
        <c:auto val="1"/>
        <c:lblAlgn val="ctr"/>
        <c:lblOffset val="100"/>
        <c:noMultiLvlLbl val="0"/>
      </c:catAx>
      <c:valAx>
        <c:axId val="915158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164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baseline="0">
                <a:effectLst/>
              </a:rPr>
              <a:t>Р</a:t>
            </a:r>
            <a:r>
              <a:rPr lang="ru-RU" sz="1400" b="0" i="0" baseline="0">
                <a:effectLst/>
              </a:rPr>
              <a:t>озподіл за статтю серед усіх клієнтів ДКП у 2019 році</a:t>
            </a:r>
            <a:endParaRPr lang="uk-UA" sz="14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EA-49F0-9739-A6D32FC4DF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EA-49F0-9739-A6D32FC4DF34}"/>
              </c:ext>
            </c:extLst>
          </c:dPt>
          <c:dLbls>
            <c:dLbl>
              <c:idx val="0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EA-49F0-9739-A6D32FC4DF34}"/>
                </c:ext>
              </c:extLst>
            </c:dLbl>
            <c:dLbl>
              <c:idx val="1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EA-49F0-9739-A6D32FC4DF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Лист2!$E$5:$E$6</c:f>
              <c:strCache>
                <c:ptCount val="2"/>
                <c:pt idx="0">
                  <c:v>чоловіки</c:v>
                </c:pt>
                <c:pt idx="1">
                  <c:v>жінки </c:v>
                </c:pt>
              </c:strCache>
            </c:strRef>
          </c:cat>
          <c:val>
            <c:numRef>
              <c:f>Лист2!$F$5:$F$6</c:f>
              <c:numCache>
                <c:formatCode>General</c:formatCode>
                <c:ptCount val="2"/>
                <c:pt idx="0">
                  <c:v>1427</c:v>
                </c:pt>
                <c:pt idx="1">
                  <c:v>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EA-49F0-9739-A6D32FC4DF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Розподіл клієнтів</a:t>
            </a:r>
            <a:r>
              <a:rPr lang="uk-UA" baseline="0"/>
              <a:t> за віком</a:t>
            </a:r>
            <a:r>
              <a:rPr lang="en-US" baseline="0"/>
              <a:t> </a:t>
            </a:r>
            <a:r>
              <a:rPr lang="ru-RU" baseline="0"/>
              <a:t>серед у</a:t>
            </a:r>
            <a:r>
              <a:rPr lang="uk-UA" baseline="0"/>
              <a:t>сіх клієнтів ДКП у 2019 році  </a:t>
            </a:r>
            <a:endParaRPr lang="uk-UA"/>
          </a:p>
        </c:rich>
      </c:tx>
      <c:layout>
        <c:manualLayout>
          <c:xMode val="edge"/>
          <c:yMode val="edge"/>
          <c:x val="0.18021570833057637"/>
          <c:y val="2.98368901929010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Лист2!$G$21</c:f>
              <c:strCache>
                <c:ptCount val="1"/>
                <c:pt idx="0">
                  <c:v>частка чоловіків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Лист2!$F$22:$F$29</c:f>
              <c:strCache>
                <c:ptCount val="8"/>
                <c:pt idx="0">
                  <c:v>15-19 років включно</c:v>
                </c:pt>
                <c:pt idx="1">
                  <c:v>20-24 років включно</c:v>
                </c:pt>
                <c:pt idx="2">
                  <c:v>25-29 років включно</c:v>
                </c:pt>
                <c:pt idx="3">
                  <c:v>30-34 років включно</c:v>
                </c:pt>
                <c:pt idx="4">
                  <c:v>35-39 років включно</c:v>
                </c:pt>
                <c:pt idx="5">
                  <c:v>40-44 років включно</c:v>
                </c:pt>
                <c:pt idx="6">
                  <c:v>45-49 років включно</c:v>
                </c:pt>
                <c:pt idx="7">
                  <c:v>50 та &gt; років</c:v>
                </c:pt>
              </c:strCache>
            </c:strRef>
          </c:cat>
          <c:val>
            <c:numRef>
              <c:f>Лист2!$G$22:$G$29</c:f>
              <c:numCache>
                <c:formatCode>0%</c:formatCode>
                <c:ptCount val="8"/>
                <c:pt idx="0">
                  <c:v>3.9243167484232656E-2</c:v>
                </c:pt>
                <c:pt idx="1">
                  <c:v>0.19271198318149965</c:v>
                </c:pt>
                <c:pt idx="2">
                  <c:v>0.18850735809390329</c:v>
                </c:pt>
                <c:pt idx="3">
                  <c:v>0.21233356692361599</c:v>
                </c:pt>
                <c:pt idx="4">
                  <c:v>0.16748423265592152</c:v>
                </c:pt>
                <c:pt idx="5">
                  <c:v>0.1107217939733707</c:v>
                </c:pt>
                <c:pt idx="6">
                  <c:v>4.7652417659425371E-2</c:v>
                </c:pt>
                <c:pt idx="7">
                  <c:v>4.1345480028030832E-2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FF-43B1-90E5-1A9B544EDE7A}"/>
            </c:ext>
          </c:extLst>
        </c:ser>
        <c:ser>
          <c:idx val="1"/>
          <c:order val="1"/>
          <c:tx>
            <c:strRef>
              <c:f>Лист2!$H$21</c:f>
              <c:strCache>
                <c:ptCount val="1"/>
                <c:pt idx="0">
                  <c:v>частка жінок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Лист2!$F$22:$F$29</c:f>
              <c:strCache>
                <c:ptCount val="8"/>
                <c:pt idx="0">
                  <c:v>15-19 років включно</c:v>
                </c:pt>
                <c:pt idx="1">
                  <c:v>20-24 років включно</c:v>
                </c:pt>
                <c:pt idx="2">
                  <c:v>25-29 років включно</c:v>
                </c:pt>
                <c:pt idx="3">
                  <c:v>30-34 років включно</c:v>
                </c:pt>
                <c:pt idx="4">
                  <c:v>35-39 років включно</c:v>
                </c:pt>
                <c:pt idx="5">
                  <c:v>40-44 років включно</c:v>
                </c:pt>
                <c:pt idx="6">
                  <c:v>45-49 років включно</c:v>
                </c:pt>
                <c:pt idx="7">
                  <c:v>50 та &gt; років</c:v>
                </c:pt>
              </c:strCache>
            </c:strRef>
          </c:cat>
          <c:val>
            <c:numRef>
              <c:f>Лист2!$H$22:$H$29</c:f>
              <c:numCache>
                <c:formatCode>0%</c:formatCode>
                <c:ptCount val="8"/>
                <c:pt idx="0">
                  <c:v>2.4752475247524754E-2</c:v>
                </c:pt>
                <c:pt idx="1">
                  <c:v>0.11138613861386139</c:v>
                </c:pt>
                <c:pt idx="2">
                  <c:v>0.16336633663366337</c:v>
                </c:pt>
                <c:pt idx="3">
                  <c:v>0.19306930693069307</c:v>
                </c:pt>
                <c:pt idx="4">
                  <c:v>0.2202970297029703</c:v>
                </c:pt>
                <c:pt idx="5">
                  <c:v>0.13861386138613863</c:v>
                </c:pt>
                <c:pt idx="6">
                  <c:v>7.9207920792079209E-2</c:v>
                </c:pt>
                <c:pt idx="7">
                  <c:v>6.9306930693069313E-2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FF-43B1-90E5-1A9B544ED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911968"/>
        <c:axId val="148915296"/>
      </c:lineChart>
      <c:catAx>
        <c:axId val="14891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915296"/>
        <c:crosses val="autoZero"/>
        <c:auto val="1"/>
        <c:lblAlgn val="ctr"/>
        <c:lblOffset val="100"/>
        <c:noMultiLvlLbl val="0"/>
      </c:catAx>
      <c:valAx>
        <c:axId val="14891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91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Розподіл</a:t>
            </a:r>
            <a:r>
              <a:rPr lang="ru-RU" baseline="0"/>
              <a:t> клієнта відповідно до КГ у 2019 році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DE-437C-B633-521F115344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DE-437C-B633-521F115344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DE-437C-B633-521F115344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DE-437C-B633-521F115344C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DE-437C-B633-521F115344C2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 ТГ</a:t>
                    </a:r>
                    <a:r>
                      <a:rPr lang="ru-RU" baseline="0"/>
                      <a:t> людинги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1DE-437C-B633-521F115344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Лист4!$A$1:$A$5</c:f>
              <c:strCache>
                <c:ptCount val="5"/>
                <c:pt idx="0">
                  <c:v>ЛВНІ</c:v>
                </c:pt>
                <c:pt idx="1">
                  <c:v>ЧСЧ</c:v>
                </c:pt>
                <c:pt idx="2">
                  <c:v>Трансгендери</c:v>
                </c:pt>
                <c:pt idx="3">
                  <c:v>СП (ж)</c:v>
                </c:pt>
                <c:pt idx="4">
                  <c:v>інші </c:v>
                </c:pt>
              </c:strCache>
            </c:strRef>
          </c:cat>
          <c:val>
            <c:numRef>
              <c:f>Лист4!$B$1:$B$5</c:f>
              <c:numCache>
                <c:formatCode>General</c:formatCode>
                <c:ptCount val="5"/>
                <c:pt idx="0">
                  <c:v>20</c:v>
                </c:pt>
                <c:pt idx="1">
                  <c:v>1107</c:v>
                </c:pt>
                <c:pt idx="2">
                  <c:v>3</c:v>
                </c:pt>
                <c:pt idx="3">
                  <c:v>106</c:v>
                </c:pt>
                <c:pt idx="4">
                  <c:v>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1DE-437C-B633-521F115344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Andres</cp:lastModifiedBy>
  <cp:revision>12</cp:revision>
  <dcterms:created xsi:type="dcterms:W3CDTF">2021-03-26T07:50:00Z</dcterms:created>
  <dcterms:modified xsi:type="dcterms:W3CDTF">2021-04-21T13:48:00Z</dcterms:modified>
</cp:coreProperties>
</file>