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1117" w14:textId="3C074DBD" w:rsidR="00002B22" w:rsidRDefault="00002B22" w:rsidP="00002B22">
      <w:pPr>
        <w:ind w:left="4956" w:firstLine="708"/>
        <w:jc w:val="center"/>
        <w:rPr>
          <w:b/>
          <w:bCs/>
          <w:sz w:val="24"/>
          <w:szCs w:val="24"/>
          <w:lang w:val="uk-UA"/>
        </w:rPr>
      </w:pPr>
      <w:r>
        <w:rPr>
          <w:b/>
          <w:bCs/>
          <w:sz w:val="24"/>
          <w:szCs w:val="24"/>
          <w:lang w:val="uk-UA"/>
        </w:rPr>
        <w:t>Додаток № 6</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29FA43B6"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21610085"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1A3200">
        <w:rPr>
          <w:sz w:val="24"/>
          <w:szCs w:val="24"/>
          <w:lang w:val="uk-UA"/>
        </w:rPr>
        <w:t xml:space="preserve"> </w:t>
      </w:r>
      <w:r w:rsidR="00D97703" w:rsidRPr="001A3200">
        <w:rPr>
          <w:b/>
          <w:bCs/>
          <w:sz w:val="24"/>
          <w:szCs w:val="24"/>
          <w:lang w:val="uk-UA"/>
        </w:rPr>
        <w:t xml:space="preserve">ДК 021:2015:33600000-6 Фармацевтична продукція (сульфаметоксазол - 400мг/триметоприм - 80мг, МНН Sulfamethoxazole and trimethoprim) </w:t>
      </w:r>
      <w:r w:rsidRPr="001A3200">
        <w:rPr>
          <w:color w:val="000000"/>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6014E5A9"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E05FB7">
        <w:rPr>
          <w:sz w:val="24"/>
          <w:szCs w:val="24"/>
          <w:lang w:val="uk-UA"/>
        </w:rPr>
        <w:t>15 жовтня</w:t>
      </w:r>
      <w:r w:rsidR="004B7E96" w:rsidRPr="001A3200">
        <w:rPr>
          <w:sz w:val="24"/>
          <w:szCs w:val="24"/>
          <w:lang w:val="uk-UA"/>
        </w:rPr>
        <w:t xml:space="preserve"> 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навантажувально-розвантажувальні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3B1D677D" w14:textId="6B8AABBD" w:rsidR="005A4143" w:rsidRPr="001A3200" w:rsidRDefault="005A4143" w:rsidP="00AA06E7">
      <w:pPr>
        <w:jc w:val="both"/>
        <w:rPr>
          <w:sz w:val="24"/>
          <w:szCs w:val="24"/>
          <w:lang w:val="uk-UA"/>
        </w:rPr>
      </w:pPr>
      <w:r w:rsidRPr="005A4143">
        <w:rPr>
          <w:sz w:val="24"/>
          <w:szCs w:val="24"/>
          <w:lang w:val="uk-UA"/>
        </w:rPr>
        <w:t xml:space="preserve">Товар повинен бути </w:t>
      </w:r>
      <w:r w:rsidR="00AA06E7" w:rsidRPr="00AA06E7">
        <w:rPr>
          <w:sz w:val="24"/>
          <w:szCs w:val="24"/>
          <w:lang w:val="uk-UA"/>
        </w:rPr>
        <w:t>зареєстрованим в Україні згідно з чинним законодавством</w:t>
      </w:r>
      <w:r w:rsidR="00FA3260">
        <w:rPr>
          <w:sz w:val="24"/>
          <w:szCs w:val="24"/>
          <w:lang w:val="uk-UA"/>
        </w:rPr>
        <w:t xml:space="preserve">. </w:t>
      </w:r>
      <w:r w:rsidRPr="005A4143">
        <w:rPr>
          <w:sz w:val="24"/>
          <w:szCs w:val="24"/>
          <w:lang w:val="uk-UA"/>
        </w:rPr>
        <w:t>Ця вимога засвідчується завіреною копією документа, що підтверджує</w:t>
      </w:r>
      <w:r w:rsidR="00AA06E7">
        <w:rPr>
          <w:sz w:val="24"/>
          <w:szCs w:val="24"/>
          <w:lang w:val="uk-UA"/>
        </w:rPr>
        <w:t xml:space="preserve"> </w:t>
      </w:r>
      <w:r w:rsidR="00AA06E7" w:rsidRPr="00AA06E7">
        <w:rPr>
          <w:sz w:val="24"/>
          <w:szCs w:val="24"/>
          <w:lang w:val="uk-UA"/>
        </w:rPr>
        <w:t xml:space="preserve">Реєстраційне </w:t>
      </w:r>
      <w:r w:rsidR="00AA06E7">
        <w:rPr>
          <w:sz w:val="24"/>
          <w:szCs w:val="24"/>
          <w:lang w:val="uk-UA"/>
        </w:rPr>
        <w:t>п</w:t>
      </w:r>
      <w:r w:rsidR="00AA06E7" w:rsidRPr="00AA06E7">
        <w:rPr>
          <w:sz w:val="24"/>
          <w:szCs w:val="24"/>
          <w:lang w:val="uk-UA"/>
        </w:rPr>
        <w:t>освідчення на лікарський засіб</w:t>
      </w:r>
      <w:r w:rsidR="00FA3260">
        <w:rPr>
          <w:sz w:val="24"/>
          <w:szCs w:val="24"/>
          <w:lang w:val="uk-UA"/>
        </w:rPr>
        <w:t xml:space="preserve"> та</w:t>
      </w:r>
      <w:r w:rsidRPr="005A4143">
        <w:rPr>
          <w:sz w:val="24"/>
          <w:szCs w:val="24"/>
          <w:lang w:val="uk-UA"/>
        </w:rPr>
        <w:t xml:space="preserve"> </w:t>
      </w:r>
      <w:r w:rsidR="00AA06E7" w:rsidRPr="00AA06E7">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Pr>
          <w:sz w:val="24"/>
          <w:szCs w:val="24"/>
          <w:lang w:val="uk-UA"/>
        </w:rPr>
        <w:t>.</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367CC38" w14:textId="7D4FC1C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w:t>
      </w:r>
      <w:r w:rsidR="00EB7574" w:rsidRPr="001A3200">
        <w:rPr>
          <w:sz w:val="24"/>
          <w:szCs w:val="24"/>
          <w:lang w:val="uk-UA"/>
        </w:rPr>
        <w:t>7</w:t>
      </w:r>
      <w:r w:rsidRPr="001A3200">
        <w:rPr>
          <w:sz w:val="24"/>
          <w:szCs w:val="24"/>
          <w:lang w:val="uk-UA"/>
        </w:rPr>
        <w:t>. Договору. Сторони погоджуються з тим, що в такому випадку прострочення терміну поставки Товару відбулося з вини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т.ч.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lastRenderedPageBreak/>
        <w:t xml:space="preserve">Загальна ціна даного Договору складає </w:t>
      </w:r>
      <w:bookmarkStart w:id="1"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w:t>
      </w:r>
      <w:r w:rsidRPr="001A3200">
        <w:rPr>
          <w:sz w:val="24"/>
          <w:szCs w:val="24"/>
          <w:lang w:val="uk-UA"/>
        </w:rPr>
        <w:lastRenderedPageBreak/>
        <w:t>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77777777"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lastRenderedPageBreak/>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w:t>
      </w:r>
      <w:r w:rsidR="006C6AF8" w:rsidRPr="001A3200">
        <w:rPr>
          <w:sz w:val="24"/>
          <w:szCs w:val="24"/>
          <w:lang w:val="uk-UA"/>
        </w:rPr>
        <w:lastRenderedPageBreak/>
        <w:t>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w:t>
      </w:r>
      <w:r w:rsidR="009B3EFE" w:rsidRPr="001A3200">
        <w:rPr>
          <w:sz w:val="24"/>
          <w:szCs w:val="24"/>
          <w:lang w:val="uk-UA"/>
        </w:rPr>
        <w:lastRenderedPageBreak/>
        <w:t xml:space="preserve">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.3.6. Зміни ціни у зв’язку із зміною ставок податків і зборів пропорційно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75D2D6F7"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 xml:space="preserve">.9. Сторони зобов’язуються письмово повідомляти одна одну про зміну своїх </w:t>
      </w:r>
      <w:r w:rsidR="009B3EFE" w:rsidRPr="001A3200">
        <w:rPr>
          <w:rFonts w:eastAsia="Arial Unicode MS"/>
          <w:sz w:val="24"/>
          <w:szCs w:val="24"/>
          <w:lang w:val="uk-UA" w:eastAsia="ar-SA"/>
        </w:rPr>
        <w:lastRenderedPageBreak/>
        <w:t>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6CE89DDF"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68FF610E" w14:textId="283B3B77"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036514DB" w14:textId="57DDDA1E"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75059274" w14:textId="71D05902"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2"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E05FB7" w14:paraId="6550D50A" w14:textId="77777777" w:rsidTr="00264002">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6E0B81" w:rsidRPr="001A3200" w:rsidRDefault="005D1B52" w:rsidP="006E0B81">
            <w:pPr>
              <w:jc w:val="center"/>
              <w:rPr>
                <w:b/>
                <w:bCs/>
                <w:szCs w:val="24"/>
                <w:lang w:val="uk-UA" w:eastAsia="uk-UA"/>
              </w:rPr>
            </w:pPr>
            <w:r w:rsidRPr="001A3200">
              <w:rPr>
                <w:b/>
                <w:bCs/>
                <w:szCs w:val="24"/>
                <w:lang w:val="uk-UA" w:eastAsia="uk-UA"/>
              </w:rPr>
              <w:t>1</w:t>
            </w:r>
            <w:r w:rsidR="00242FAD" w:rsidRPr="001A3200">
              <w:rPr>
                <w:b/>
                <w:bCs/>
                <w:szCs w:val="24"/>
                <w:lang w:val="uk-UA" w:eastAsia="uk-UA"/>
              </w:rPr>
              <w:t>.</w:t>
            </w:r>
          </w:p>
        </w:tc>
        <w:tc>
          <w:tcPr>
            <w:tcW w:w="4364" w:type="dxa"/>
            <w:tcBorders>
              <w:top w:val="single" w:sz="4" w:space="0" w:color="auto"/>
              <w:left w:val="single" w:sz="4" w:space="0" w:color="auto"/>
              <w:bottom w:val="single" w:sz="4" w:space="0" w:color="auto"/>
              <w:right w:val="single" w:sz="4" w:space="0" w:color="auto"/>
            </w:tcBorders>
          </w:tcPr>
          <w:p w14:paraId="2ECD245C" w14:textId="4DF17540" w:rsidR="006E0B81" w:rsidRPr="001A3200" w:rsidRDefault="00257587" w:rsidP="00E1117A">
            <w:pPr>
              <w:rPr>
                <w:b/>
                <w:szCs w:val="24"/>
                <w:highlight w:val="yellow"/>
                <w:lang w:val="uk-UA" w:eastAsia="uk-UA"/>
              </w:rPr>
            </w:pPr>
            <w:r w:rsidRPr="00257587">
              <w:rPr>
                <w:b/>
                <w:szCs w:val="24"/>
                <w:lang w:val="uk-UA" w:eastAsia="uk-UA"/>
              </w:rPr>
              <w:t>ДК 021:2015:33600000-6 Фармацевтична продукція (сульфаметоксазол - 400мг/триметоприм - 80мг, МНН Sulfamethoxazole and trimethoprim)</w:t>
            </w:r>
          </w:p>
        </w:tc>
        <w:tc>
          <w:tcPr>
            <w:tcW w:w="1134" w:type="dxa"/>
            <w:tcBorders>
              <w:top w:val="single" w:sz="4" w:space="0" w:color="auto"/>
              <w:left w:val="single" w:sz="4" w:space="0" w:color="auto"/>
              <w:bottom w:val="single" w:sz="4" w:space="0" w:color="auto"/>
              <w:right w:val="single" w:sz="4" w:space="0" w:color="auto"/>
            </w:tcBorders>
            <w:noWrap/>
          </w:tcPr>
          <w:p w14:paraId="774AAF1F" w14:textId="5B40CBB8"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64A72179"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tcPr>
          <w:p w14:paraId="5156F2A5" w14:textId="1D27708E"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tcPr>
          <w:p w14:paraId="2B5CC79E" w14:textId="1181019C"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2"/>
    <w:p w14:paraId="42883B6F" w14:textId="77777777"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r w:rsidRPr="001A3200">
              <w:rPr>
                <w:rFonts w:eastAsia="MS Mincho"/>
                <w:b/>
                <w:sz w:val="24"/>
                <w:szCs w:val="24"/>
                <w:lang w:val="uk-UA"/>
              </w:rPr>
              <w:t>м.п.</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514333"/>
    <w:rsid w:val="005A4143"/>
    <w:rsid w:val="005D043F"/>
    <w:rsid w:val="005D1B52"/>
    <w:rsid w:val="005D5420"/>
    <w:rsid w:val="005F2DA6"/>
    <w:rsid w:val="00622DC7"/>
    <w:rsid w:val="00634A67"/>
    <w:rsid w:val="00644F8A"/>
    <w:rsid w:val="00647BB3"/>
    <w:rsid w:val="00661A5E"/>
    <w:rsid w:val="006652C4"/>
    <w:rsid w:val="00666177"/>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B23EA"/>
    <w:rsid w:val="008B455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2205A"/>
    <w:rsid w:val="00E26728"/>
    <w:rsid w:val="00E357EE"/>
    <w:rsid w:val="00E45378"/>
    <w:rsid w:val="00E60C2E"/>
    <w:rsid w:val="00E758B8"/>
    <w:rsid w:val="00E84E37"/>
    <w:rsid w:val="00E904F1"/>
    <w:rsid w:val="00E95879"/>
    <w:rsid w:val="00EB14BC"/>
    <w:rsid w:val="00EB7574"/>
    <w:rsid w:val="00EC0AEF"/>
    <w:rsid w:val="00EC7521"/>
    <w:rsid w:val="00EC7D14"/>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17445</Words>
  <Characters>9945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23</cp:revision>
  <dcterms:created xsi:type="dcterms:W3CDTF">2021-04-27T12:31:00Z</dcterms:created>
  <dcterms:modified xsi:type="dcterms:W3CDTF">2021-08-25T14:19:00Z</dcterms:modified>
</cp:coreProperties>
</file>